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38" w:lineRule="exact"/>
        <w:rPr>
          <w:sz w:val="24"/>
          <w:szCs w:val="24"/>
          <w:color w:val="auto"/>
        </w:rPr>
      </w:pPr>
    </w:p>
    <w:p>
      <w:pPr>
        <w:ind w:left="3320" w:hanging="1006"/>
        <w:spacing w:after="0"/>
        <w:tabs>
          <w:tab w:leader="none" w:pos="3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2022</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4" w:lineRule="exact"/>
        <w:rPr>
          <w:sz w:val="24"/>
          <w:szCs w:val="24"/>
          <w:color w:val="auto"/>
        </w:rPr>
      </w:pPr>
    </w:p>
    <w:p>
      <w:pPr>
        <w:ind w:left="3320" w:hanging="1006"/>
        <w:spacing w:after="0"/>
        <w:tabs>
          <w:tab w:leader="none" w:pos="3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5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001-35095</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COMMUNITY BANKS,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3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Georgia</w:t>
            </w:r>
          </w:p>
        </w:tc>
        <w:tc>
          <w:tcPr>
            <w:tcW w:w="5980" w:type="dxa"/>
            <w:vAlign w:val="bottom"/>
            <w:gridSpan w:val="2"/>
          </w:tcPr>
          <w:p>
            <w:pPr>
              <w:jc w:val="center"/>
              <w:ind w:left="2159"/>
              <w:spacing w:after="0"/>
              <w:rPr>
                <w:sz w:val="20"/>
                <w:szCs w:val="20"/>
                <w:color w:val="auto"/>
              </w:rPr>
            </w:pPr>
            <w:r>
              <w:rPr>
                <w:rFonts w:ascii="Times New Roman" w:cs="Times New Roman" w:eastAsia="Times New Roman" w:hAnsi="Times New Roman"/>
                <w:sz w:val="16"/>
                <w:szCs w:val="16"/>
                <w:b w:val="1"/>
                <w:bCs w:val="1"/>
                <w:color w:val="auto"/>
              </w:rPr>
              <w:t>58-1807304</w:t>
            </w:r>
          </w:p>
        </w:tc>
      </w:tr>
      <w:tr>
        <w:trPr>
          <w:trHeight w:val="234"/>
        </w:trPr>
        <w:tc>
          <w:tcPr>
            <w:tcW w:w="20" w:type="dxa"/>
            <w:vAlign w:val="bottom"/>
          </w:tcPr>
          <w:p>
            <w:pPr>
              <w:spacing w:after="0"/>
              <w:rPr>
                <w:sz w:val="20"/>
                <w:szCs w:val="20"/>
                <w:color w:val="auto"/>
              </w:rPr>
            </w:pPr>
          </w:p>
        </w:tc>
        <w:tc>
          <w:tcPr>
            <w:tcW w:w="37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c>
          <w:tcPr>
            <w:tcW w:w="2240" w:type="dxa"/>
            <w:vAlign w:val="bottom"/>
          </w:tcPr>
          <w:p>
            <w:pPr>
              <w:spacing w:after="0"/>
              <w:rPr>
                <w:sz w:val="20"/>
                <w:szCs w:val="20"/>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338"/>
        </w:trPr>
        <w:tc>
          <w:tcPr>
            <w:tcW w:w="20" w:type="dxa"/>
            <w:vAlign w:val="bottom"/>
          </w:tcPr>
          <w:p>
            <w:pPr>
              <w:spacing w:after="0"/>
              <w:rPr>
                <w:sz w:val="24"/>
                <w:szCs w:val="24"/>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125 Highway 515 East</w:t>
            </w:r>
          </w:p>
        </w:tc>
        <w:tc>
          <w:tcPr>
            <w:tcW w:w="22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Blairsville, Georgia</w:t>
            </w:r>
          </w:p>
        </w:tc>
        <w:tc>
          <w:tcPr>
            <w:tcW w:w="5980" w:type="dxa"/>
            <w:vAlign w:val="bottom"/>
            <w:gridSpan w:val="2"/>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w w:val="99"/>
              </w:rPr>
              <w:t>30512</w:t>
            </w:r>
          </w:p>
        </w:tc>
      </w:tr>
      <w:tr>
        <w:trPr>
          <w:trHeight w:val="209"/>
        </w:trPr>
        <w:tc>
          <w:tcPr>
            <w:tcW w:w="2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9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(706) 781-2265</w:t>
            </w:r>
          </w:p>
        </w:tc>
        <w:tc>
          <w:tcPr>
            <w:tcW w:w="37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1"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4"/>
                <w:szCs w:val="24"/>
                <w:color w:val="auto"/>
              </w:rPr>
            </w:pPr>
          </w:p>
        </w:tc>
        <w:tc>
          <w:tcPr>
            <w:tcW w:w="2880" w:type="dxa"/>
            <w:vAlign w:val="bottom"/>
            <w:gridSpan w:val="2"/>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2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Common stock, par value $1 per share</w:t>
            </w:r>
          </w:p>
        </w:tc>
        <w:tc>
          <w:tcPr>
            <w:tcW w:w="280" w:type="dxa"/>
            <w:vAlign w:val="bottom"/>
          </w:tcPr>
          <w:p>
            <w:pPr>
              <w:spacing w:after="0"/>
              <w:rPr>
                <w:sz w:val="18"/>
                <w:szCs w:val="18"/>
                <w:color w:val="auto"/>
              </w:rPr>
            </w:pPr>
          </w:p>
        </w:tc>
        <w:tc>
          <w:tcPr>
            <w:tcW w:w="234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UCBI</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161"/>
        </w:trPr>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Depositary shares, each representing 1/1000th interest in a share of</w:t>
            </w:r>
          </w:p>
        </w:tc>
        <w:tc>
          <w:tcPr>
            <w:tcW w:w="280" w:type="dxa"/>
            <w:vAlign w:val="bottom"/>
          </w:tcPr>
          <w:p>
            <w:pPr>
              <w:spacing w:after="0"/>
              <w:rPr>
                <w:sz w:val="13"/>
                <w:szCs w:val="13"/>
                <w:color w:val="auto"/>
              </w:rPr>
            </w:pPr>
          </w:p>
        </w:tc>
        <w:tc>
          <w:tcPr>
            <w:tcW w:w="2340" w:type="dxa"/>
            <w:vAlign w:val="bottom"/>
            <w:gridSpan w:val="2"/>
            <w:vMerge w:val="restart"/>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UCBIO</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190"/>
        </w:trPr>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Series I Non-Cumulative Preferred Stock</w:t>
            </w:r>
          </w:p>
        </w:tc>
        <w:tc>
          <w:tcPr>
            <w:tcW w:w="28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2"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4"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Large 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5"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Indicate by check mark whether the registrant is a shell company (as defined in Rule 12b-2 of the Exchange Act).</w:t>
      </w:r>
    </w:p>
    <w:p>
      <w:pPr>
        <w:spacing w:after="0" w:line="16" w:lineRule="exact"/>
        <w:rPr>
          <w:sz w:val="24"/>
          <w:szCs w:val="24"/>
          <w:color w:val="auto"/>
        </w:rPr>
      </w:pPr>
    </w:p>
    <w:p>
      <w:pPr>
        <w:ind w:left="5180"/>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There were 106,062,838 shares of the registrant’s common stock, par value $1 per share, outstanding as of July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w w:val="98"/>
              </w:rPr>
              <w:t>Glossary of Defined Terms</w:t>
            </w:r>
          </w:p>
        </w:tc>
        <w:tc>
          <w:tcPr>
            <w:tcW w:w="7420" w:type="dxa"/>
            <w:vAlign w:val="bottom"/>
            <w:gridSpan w:val="14"/>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Cautionary Note Regarding Forward-looking Statements</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40" w:type="dxa"/>
            <w:vAlign w:val="bottom"/>
            <w:gridSpan w:val="13"/>
            <w:shd w:val="clear" w:color="auto" w:fill="CCEEFF"/>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58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840" w:type="dxa"/>
            <w:vAlign w:val="bottom"/>
            <w:tcBorders>
              <w:top w:val="single" w:sz="8" w:color="CCEE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40" w:type="dxa"/>
            <w:vAlign w:val="bottom"/>
            <w:tcBorders>
              <w:top w:val="single" w:sz="8" w:color="0000FF"/>
            </w:tcBorders>
            <w:gridSpan w:val="10"/>
          </w:tcPr>
          <w:p>
            <w:pPr>
              <w:spacing w:after="0"/>
              <w:rPr>
                <w:sz w:val="19"/>
                <w:szCs w:val="19"/>
                <w:color w:val="auto"/>
              </w:rPr>
            </w:pPr>
          </w:p>
        </w:tc>
        <w:tc>
          <w:tcPr>
            <w:tcW w:w="4200" w:type="dxa"/>
            <w:vAlign w:val="bottom"/>
            <w:tcBorders>
              <w:top w:val="single" w:sz="8" w:color="CCEEFF"/>
            </w:tcBorders>
            <w:gridSpan w:val="3"/>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Balance Sheets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Comprehensive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Changes in Shareholders’ Equity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Cash Flows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Notes to Consolidated Financial Statements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3.</w:t>
            </w: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4.</w:t>
            </w: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40" w:type="dxa"/>
            <w:vAlign w:val="bottom"/>
            <w:gridSpan w:val="13"/>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1.</w:t>
            </w: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Legal Proceedings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1A.</w:t>
            </w:r>
          </w:p>
        </w:tc>
        <w:tc>
          <w:tcPr>
            <w:tcW w:w="948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Risk Factors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shd w:val="clear" w:color="auto" w:fill="CCEEFF"/>
          </w:tcPr>
          <w:p>
            <w:pPr>
              <w:spacing w:after="0"/>
              <w:rPr>
                <w:sz w:val="18"/>
                <w:szCs w:val="18"/>
                <w:color w:val="auto"/>
              </w:rPr>
            </w:pPr>
          </w:p>
        </w:tc>
      </w:tr>
      <w:tr>
        <w:trPr>
          <w:trHeight w:val="189"/>
        </w:trPr>
        <w:tc>
          <w:tcPr>
            <w:tcW w:w="580" w:type="dxa"/>
            <w:vAlign w:val="bottom"/>
            <w:tcBorders>
              <w:top w:val="single" w:sz="8" w:color="CCEEFF"/>
            </w:tcBorders>
          </w:tcPr>
          <w:p>
            <w:pPr>
              <w:spacing w:after="0"/>
              <w:rPr>
                <w:sz w:val="16"/>
                <w:szCs w:val="16"/>
                <w:color w:val="auto"/>
              </w:rPr>
            </w:pPr>
          </w:p>
        </w:tc>
        <w:tc>
          <w:tcPr>
            <w:tcW w:w="54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6"/>
              </w:rPr>
              <w:t>Item 6.</w:t>
            </w:r>
          </w:p>
        </w:tc>
        <w:tc>
          <w:tcPr>
            <w:tcW w:w="120" w:type="dxa"/>
            <w:vAlign w:val="bottom"/>
            <w:tcBorders>
              <w:top w:val="single" w:sz="8" w:color="0000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980" w:type="dxa"/>
            <w:vAlign w:val="bottom"/>
            <w:tcBorders>
              <w:top w:val="single" w:sz="8" w:color="0000FF"/>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Exhibits</w:t>
            </w:r>
          </w:p>
        </w:tc>
        <w:tc>
          <w:tcPr>
            <w:tcW w:w="8500" w:type="dxa"/>
            <w:vAlign w:val="bottom"/>
            <w:tcBorders>
              <w:top w:val="single" w:sz="8" w:color="CCEEFF"/>
            </w:tcBorders>
            <w:gridSpan w:val="17"/>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Borders>
              <w:top w:val="single" w:sz="8" w:color="CCEEFF"/>
            </w:tcBorders>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may be used throughout this report, including the consolidated financial statements and related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69"/>
        </w:trPr>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2021 10-K</w:t>
            </w:r>
          </w:p>
        </w:tc>
        <w:tc>
          <w:tcPr>
            <w:tcW w:w="120" w:type="dxa"/>
            <w:vAlign w:val="bottom"/>
            <w:tcBorders>
              <w:top w:val="single" w:sz="8" w:color="CCEEFF"/>
            </w:tcBorders>
            <w:shd w:val="clear" w:color="auto" w:fill="CCEEFF"/>
          </w:tcPr>
          <w:p>
            <w:pPr>
              <w:spacing w:after="0"/>
              <w:rPr>
                <w:sz w:val="14"/>
                <w:szCs w:val="14"/>
                <w:color w:val="auto"/>
              </w:rPr>
            </w:pPr>
          </w:p>
        </w:tc>
        <w:tc>
          <w:tcPr>
            <w:tcW w:w="85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United’s Annual Report on Form 10-K for the year ended December 31, 2021 filed with the SEC on February 25,</w:t>
            </w:r>
          </w:p>
        </w:tc>
      </w:tr>
      <w:tr>
        <w:trPr>
          <w:trHeight w:val="243"/>
        </w:trPr>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AFS</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ALCO</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Asset/Liability Management Committee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Aquesta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Aquesta Financial Holdings, Inc. and its wholly-owned subsidiary, Aquesta Bank</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Board of Directors</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Bank-owned life insurance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expected credit loss model</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CET1</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equity tier 1</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 Mercantile Exchange</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(interchangeable with "United" below)</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CVA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valuation adjustment</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Reserve System</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Home Loan Bank</w:t>
            </w:r>
          </w:p>
        </w:tc>
      </w:tr>
      <w:tr>
        <w:trPr>
          <w:trHeight w:val="175"/>
        </w:trPr>
        <w:tc>
          <w:tcPr>
            <w:tcW w:w="2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FinTrust</w:t>
            </w:r>
          </w:p>
        </w:tc>
        <w:tc>
          <w:tcPr>
            <w:tcW w:w="8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FinTrust Capital Partners, LLC, and its operating subsidiaries, FinTrust Capital Advisors, LLC, FinTrust Capital</w:t>
            </w:r>
          </w:p>
        </w:tc>
      </w:tr>
      <w:tr>
        <w:trPr>
          <w:trHeight w:val="239"/>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Group, LLC and FinTrust Brokerage Services, LLC</w:t>
            </w:r>
          </w:p>
        </w:tc>
      </w:tr>
      <w:tr>
        <w:trPr>
          <w:trHeight w:val="234"/>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taxable equivalent</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government-sponsored enterprise</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HELOC</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equity lines of credit</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HFI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for investment</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on an unconsolidated basis</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HTM</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MD&amp;A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MBS</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NOW</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Negotiable order of withdrawal</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NPA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asset</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OREO</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PCD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credit deteriorated</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Paycheck Protection Program</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 Financial Corporation and its wholly-owned subsidiary, Progress Bank &amp; Trust</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Reliant</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Reliant Bancorp, Inc. and its wholly-owned subsidiary, Reliant Bank</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Small Business Administration</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TDR</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Troubled debt restructuring</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Department of the Treasury</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and its direct and indirect subsidiaries</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Department of Agriculture</w:t>
            </w:r>
          </w:p>
        </w:tc>
      </w:tr>
    </w:tbl>
    <w:p>
      <w:pPr>
        <w:spacing w:after="0" w:line="200" w:lineRule="exact"/>
        <w:rPr>
          <w:sz w:val="20"/>
          <w:szCs w:val="20"/>
          <w:color w:val="auto"/>
        </w:rPr>
      </w:pPr>
    </w:p>
    <w:p>
      <w:pPr>
        <w:sectPr>
          <w:pgSz w:w="11900" w:h="16838" w:orient="portrait"/>
          <w:cols w:equalWidth="0" w:num="1">
            <w:col w:w="11200"/>
          </w:cols>
          <w:pgMar w:left="320" w:top="927" w:right="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(including the expected completion date of the Progress transaction), and statements about our future performance, operations, products and services, and should be viewed with caution.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Important factors that could cause our actual results and financial condition to differ materially from those indicated in the forward-looking statements include, but are not limited to the following:</w:t>
      </w:r>
    </w:p>
    <w:p>
      <w:pPr>
        <w:spacing w:after="0" w:line="207"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housing prices, the real estate market, the job market, consumer confidence, the financial condition of our borrowers and consumer spending habits, which may affect, among other things, the levels of non-performing assets, charge-offs and provision expense;</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policies associated with economic conditions, examination conclusions or regulatory developments, either as they currently exist or as they may be affected by conditions associated with the COVID-19 pandemic;</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COVID-19’s continuing effects on the economic and business environments in which we operate;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market, operational, liquidity and interest rate risks associated with our business;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interest rate environment, including interest rate changes made by the Federal Reserve, the discontinuation of LIBOR as an interest rate benchmark, and cash flow reassessments, may reduce net interest margin and/or the volumes and values of loans made or held as well as the value of other financial assets;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geographic diversification and any unanticipated or greater than anticipated adverse conditions in the national or local economies in which we operate;</w:t>
      </w: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concentration in industries or sectors that may experience unanticipated or anticipated adverse conditions greater than other industries or sectors in the national or local economies in which we operate;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expansion into new geographic or product markets;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recent, pending or potential future mergers or acquisitions, including our ability to successfully complete acquisitions and therefore, to integrate or expand businesses and operations that we acquire;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financial institutions and other financial service providers, including non-bank financial technology providers, and our ability to attract customers from other financial institutions;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fraudulent and negligent conduct of our customers, third party service providers or employees;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the vulnerability of our network and online banking portals, and the systems of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key components of our business infrastructure and services required to operate our business;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required to make substantial expenditures to keep pace with regulatory initiatives and the rapid technological changes in the financial services market;</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access to capital;</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(e.g., tax), regulatory or accounting changes that may adversely affect us;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ACL resulting from the CECL methodology, either alone or as that may be affected by conditions arising out of the COVID-19 pandemic, inflation, changing interest rates or other factors;</w:t>
      </w: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or development that would cause us to conclude that there was impairment of any asset, including intangible assets, such as goodwill;</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declare and pay dividends and other distributions from the Bank to the Holding Company, which could affect Holding Company liquidity, including the ability to pay dividends to shareholders or undertake other capital initiatives, such as share repurchases; and</w:t>
      </w: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forward-looking statements. Additional factors that may cause actual results to differ materially from those contemplated by any forward-looking statements also may be found in our 2021 10-K (including the “Risk Factor” section of that report), Quarterly Reports on Form 10-Q, and Current Reports on Form 8-K filed with the SEC and available at the SEC’s website at http://www.sec.gov. We do not intend to and, except as required by law, hereby disclaim any obligation to update or revise any forward-looking statement contained in this Report, which speaks only as of the date of its filing with the SEC, whether as a result of new information, future events, or otherwise. The financial statements and information contained herein have not been reviewed, or confirmed for accuracy or relevance, by the FDIC or any other regulator.</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 w:name="page5"/>
    <w:bookmarkEnd w:id="4"/>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Consolidated Balance Sheets </w:t>
      </w:r>
      <w:r>
        <w:rPr>
          <w:rFonts w:ascii="Times New Roman" w:cs="Times New Roman" w:eastAsia="Times New Roman" w:hAnsi="Times New Roman"/>
          <w:sz w:val="18"/>
          <w:szCs w:val="18"/>
          <w:i w:val="1"/>
          <w:iCs w:val="1"/>
          <w:color w:val="auto"/>
        </w:rPr>
        <w:t>(Unaudited)</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20320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144,244</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977,397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2,147,266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and other short-term investments</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w:t>
            </w:r>
          </w:p>
        </w:tc>
        <w:tc>
          <w:tcPr>
            <w:tcW w:w="0" w:type="dxa"/>
            <w:vAlign w:val="bottom"/>
          </w:tcPr>
          <w:p>
            <w:pPr>
              <w:spacing w:after="0"/>
              <w:rPr>
                <w:sz w:val="1"/>
                <w:szCs w:val="1"/>
                <w:color w:val="auto"/>
              </w:rPr>
            </w:pPr>
          </w:p>
        </w:tc>
      </w:tr>
      <w:tr>
        <w:trPr>
          <w:trHeight w:val="207"/>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1,215,707</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2,318,510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securities available-for-sale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3,960,285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4,496,824</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securities held-to-maturity (fair value $2,431,138 and $1,148,804, respectively)</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2,722,475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1,156,098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held for sale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44,109</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and leases held for investment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14,541,230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11,760,346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allowance for credit losses - loans and leases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(102,532)</w:t>
            </w:r>
          </w:p>
        </w:tc>
        <w:tc>
          <w:tcPr>
            <w:tcW w:w="0" w:type="dxa"/>
            <w:vAlign w:val="bottom"/>
          </w:tcPr>
          <w:p>
            <w:pPr>
              <w:spacing w:after="0"/>
              <w:rPr>
                <w:sz w:val="1"/>
                <w:szCs w:val="1"/>
                <w:color w:val="auto"/>
              </w:rPr>
            </w:pPr>
          </w:p>
        </w:tc>
      </w:tr>
      <w:tr>
        <w:trPr>
          <w:trHeight w:val="207"/>
        </w:trPr>
        <w:tc>
          <w:tcPr>
            <w:tcW w:w="8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Loans and leases, net</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14,404,305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11,657,814</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245,296</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217,713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 net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782,544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472,407</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501,662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338,000</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24,213,008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20,946,771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8,155,494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6,956,981</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12,717,589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11,284,198</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deposits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20,873,083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18,241,179</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324,371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247,360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364,266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235,987</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21,561,720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18,724,526</w:t>
            </w: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Preferred stock, $1 par value: 10,000,000 shares authorized;</w:t>
            </w:r>
          </w:p>
        </w:tc>
        <w:tc>
          <w:tcPr>
            <w:tcW w:w="2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0" w:type="dxa"/>
            <w:vAlign w:val="bottom"/>
          </w:tcPr>
          <w:p>
            <w:pPr>
              <w:spacing w:after="0"/>
              <w:rPr>
                <w:sz w:val="1"/>
                <w:szCs w:val="1"/>
                <w:color w:val="auto"/>
              </w:rPr>
            </w:pP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4,000 shares Series I issued and outstanding; $25,000 per share liquidation preference</w:t>
            </w:r>
          </w:p>
        </w:tc>
        <w:tc>
          <w:tcPr>
            <w:tcW w:w="2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4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$1 par value: 200,000,000 shares authorized,</w:t>
            </w:r>
          </w:p>
        </w:tc>
        <w:tc>
          <w:tcPr>
            <w:tcW w:w="2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106,034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89,350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106,033,960 and 89,349,826 shares issued and outstanding, respectively</w:t>
            </w:r>
          </w:p>
        </w:tc>
        <w:tc>
          <w:tcPr>
            <w:tcW w:w="2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issuable: 578,251 and 595,705 shares, respectively</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2,304,608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1,721,007</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330,654</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(264,194)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(26,476)</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2,651,288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2,222,245</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24,213,008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20,946,771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34" w:right="27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Income </w:t>
      </w:r>
      <w:r>
        <w:rPr>
          <w:rFonts w:ascii="Times New Roman" w:cs="Times New Roman" w:eastAsia="Times New Roman" w:hAnsi="Times New Roman"/>
          <w:sz w:val="16"/>
          <w:szCs w:val="16"/>
          <w:i w:val="1"/>
          <w:iCs w:val="1"/>
          <w:color w:val="auto"/>
        </w:rPr>
        <w:t>(Unaudited)</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ind w:left="3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80" w:type="dxa"/>
            <w:vAlign w:val="bottom"/>
          </w:tcPr>
          <w:p>
            <w:pPr>
              <w:spacing w:after="0"/>
              <w:rPr>
                <w:sz w:val="15"/>
                <w:szCs w:val="15"/>
                <w:color w:val="auto"/>
              </w:rPr>
            </w:pPr>
          </w:p>
        </w:tc>
        <w:tc>
          <w:tcPr>
            <w:tcW w:w="2340" w:type="dxa"/>
            <w:vAlign w:val="bottom"/>
            <w:gridSpan w:val="4"/>
          </w:tcPr>
          <w:p>
            <w:pPr>
              <w:jc w:val="right"/>
              <w:ind w:right="628"/>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10"/>
        </w:trPr>
        <w:tc>
          <w:tcPr>
            <w:tcW w:w="5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02"/>
        </w:trPr>
        <w:tc>
          <w:tcPr>
            <w:tcW w:w="5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7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revenue: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
        </w:trPr>
        <w:tc>
          <w:tcPr>
            <w:tcW w:w="5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including fees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155,266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128,058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302,007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253,784</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securities, including tax exempt of $2,539, $2,255, $5,194 and $4,405, respectively</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32,990</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 in banks and short-term investments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r>
      <w:tr>
        <w:trPr>
          <w:trHeight w:val="189"/>
        </w:trPr>
        <w:tc>
          <w:tcPr>
            <w:tcW w:w="5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interest revenue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187,378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145,809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358,437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287,351</w:t>
            </w:r>
          </w:p>
        </w:tc>
      </w:tr>
      <w:tr>
        <w:trPr>
          <w:trHeight w:val="189"/>
        </w:trPr>
        <w:tc>
          <w:tcPr>
            <w:tcW w:w="5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6"/>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8,839</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borrowings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8,070</w:t>
            </w:r>
          </w:p>
        </w:tc>
      </w:tr>
      <w:tr>
        <w:trPr>
          <w:trHeight w:val="189"/>
        </w:trPr>
        <w:tc>
          <w:tcPr>
            <w:tcW w:w="5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interest expense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16,911</w:t>
            </w:r>
          </w:p>
        </w:tc>
      </w:tr>
      <w:tr>
        <w:trPr>
          <w:trHeight w:val="203"/>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interest revenue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178,903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138,376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342,695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270,440</w:t>
            </w:r>
          </w:p>
        </w:tc>
      </w:tr>
      <w:tr>
        <w:trPr>
          <w:trHeight w:val="196"/>
        </w:trPr>
        <w:tc>
          <w:tcPr>
            <w:tcW w:w="5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Provision for (release of) credit losses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28,690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(25,869)</w:t>
            </w:r>
          </w:p>
        </w:tc>
      </w:tr>
      <w:tr>
        <w:trPr>
          <w:trHeight w:val="196"/>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interest revenue after provision for credit losses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173,299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151,964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314,005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296,309</w:t>
            </w:r>
          </w:p>
        </w:tc>
      </w:tr>
      <w:tr>
        <w:trPr>
          <w:trHeight w:val="189"/>
        </w:trPr>
        <w:tc>
          <w:tcPr>
            <w:tcW w:w="5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 charges and fees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15,905</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 gains and other related fees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33,708</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Wealth management fees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7,327</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Gains from sales of other loans,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5,153</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Lending and loan servicing fees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4,245</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gains (losses),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96"/>
        </w:trPr>
        <w:tc>
          <w:tcPr>
            <w:tcW w:w="5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14,167</w:t>
            </w:r>
          </w:p>
        </w:tc>
      </w:tr>
      <w:tr>
        <w:trPr>
          <w:trHeight w:val="203"/>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noninterest income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33,458</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72,431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80,546</w:t>
            </w:r>
          </w:p>
        </w:tc>
      </w:tr>
      <w:tr>
        <w:trPr>
          <w:trHeight w:val="190"/>
        </w:trPr>
        <w:tc>
          <w:tcPr>
            <w:tcW w:w="5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206,757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187,805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386,436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376,855</w:t>
            </w:r>
          </w:p>
        </w:tc>
      </w:tr>
      <w:tr>
        <w:trPr>
          <w:trHeight w:val="189"/>
        </w:trPr>
        <w:tc>
          <w:tcPr>
            <w:tcW w:w="5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6"/>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119,999</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Communications and equipment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14,611</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14,034</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Advertising and public relations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2,692</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Postage, printing and supplies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3,440</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9,162</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Lending and loan servicing 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6,058</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Outside services - electronic banking</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4,503</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FDIC assessments and other regulatory charges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w:t>
            </w:r>
          </w:p>
        </w:tc>
      </w:tr>
      <w:tr>
        <w:trPr>
          <w:trHeight w:val="196"/>
        </w:trPr>
        <w:tc>
          <w:tcPr>
            <w:tcW w:w="5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7,903</w:t>
            </w:r>
          </w:p>
        </w:tc>
      </w:tr>
      <w:tr>
        <w:trPr>
          <w:trHeight w:val="203"/>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120,790</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95,540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240,065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190,734</w:t>
            </w:r>
          </w:p>
        </w:tc>
      </w:tr>
      <w:tr>
        <w:trPr>
          <w:trHeight w:val="189"/>
        </w:trPr>
        <w:tc>
          <w:tcPr>
            <w:tcW w:w="5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85,967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146,371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186,121</w:t>
            </w:r>
          </w:p>
        </w:tc>
      </w:tr>
      <w:tr>
        <w:trPr>
          <w:trHeight w:val="203"/>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19,125</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42,155</w:t>
            </w:r>
          </w:p>
        </w:tc>
      </w:tr>
      <w:tr>
        <w:trPr>
          <w:trHeight w:val="203"/>
        </w:trPr>
        <w:tc>
          <w:tcPr>
            <w:tcW w:w="5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66,842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70,260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114,861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143,966</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0"/>
        </w:trPr>
        <w:tc>
          <w:tcPr>
            <w:tcW w:w="5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03"/>
        </w:trPr>
        <w:tc>
          <w:tcPr>
            <w:tcW w:w="5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64,761</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68,109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110,827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139,634</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9"/>
        </w:trPr>
        <w:tc>
          <w:tcPr>
            <w:tcW w:w="5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5"/>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21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87,306</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87,443</w:t>
            </w:r>
          </w:p>
        </w:tc>
      </w:tr>
    </w:tbl>
    <w:p>
      <w:pPr>
        <w:spacing w:after="0" w:line="3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Comprehensive Income </w:t>
      </w:r>
      <w:r>
        <w:rPr>
          <w:rFonts w:ascii="Times New Roman" w:cs="Times New Roman" w:eastAsia="Times New Roman" w:hAnsi="Times New Roman"/>
          <w:sz w:val="16"/>
          <w:szCs w:val="16"/>
          <w:i w:val="1"/>
          <w:iCs w:val="1"/>
          <w:color w:val="auto"/>
        </w:rPr>
        <w:t>(Unaudited)</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58"/>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40" w:type="dxa"/>
            <w:vAlign w:val="bottom"/>
          </w:tcPr>
          <w:p>
            <w:pPr>
              <w:spacing w:after="0"/>
              <w:rPr>
                <w:sz w:val="13"/>
                <w:szCs w:val="13"/>
                <w:color w:val="auto"/>
              </w:rPr>
            </w:pPr>
          </w:p>
        </w:tc>
        <w:tc>
          <w:tcPr>
            <w:tcW w:w="8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9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Net of Tax</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40" w:type="dxa"/>
            <w:vAlign w:val="bottom"/>
          </w:tcPr>
          <w:p>
            <w:pPr>
              <w:spacing w:after="0"/>
              <w:rPr>
                <w:sz w:val="13"/>
                <w:szCs w:val="13"/>
                <w:color w:val="auto"/>
              </w:rPr>
            </w:pPr>
          </w:p>
        </w:tc>
        <w:tc>
          <w:tcPr>
            <w:tcW w:w="8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86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9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(Expense)</w:t>
            </w:r>
          </w:p>
        </w:tc>
        <w:tc>
          <w:tcPr>
            <w:tcW w:w="94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9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(Expense)</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20" w:type="dxa"/>
            <w:vAlign w:val="bottom"/>
          </w:tcPr>
          <w:p>
            <w:pPr>
              <w:spacing w:after="0"/>
              <w:rPr>
                <w:sz w:val="18"/>
                <w:szCs w:val="18"/>
                <w:color w:val="auto"/>
              </w:rPr>
            </w:pPr>
          </w:p>
        </w:tc>
        <w:tc>
          <w:tcPr>
            <w:tcW w:w="74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91"/>
        </w:trPr>
        <w:tc>
          <w:tcPr>
            <w:tcW w:w="5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72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72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85,967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114,861</w:t>
            </w:r>
          </w:p>
        </w:tc>
        <w:tc>
          <w:tcPr>
            <w:tcW w:w="0" w:type="dxa"/>
            <w:vAlign w:val="bottom"/>
          </w:tcPr>
          <w:p>
            <w:pPr>
              <w:spacing w:after="0"/>
              <w:rPr>
                <w:sz w:val="1"/>
                <w:szCs w:val="1"/>
                <w:color w:val="auto"/>
              </w:rPr>
            </w:pPr>
          </w:p>
        </w:tc>
      </w:tr>
      <w:tr>
        <w:trPr>
          <w:trHeight w:val="211"/>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losses on available-for-sale securities: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Unrealized holding losses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76,774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(248,079)</w:t>
            </w: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Reclassification of securities from available-for-sale to held-to-maturity</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66,674</w:t>
            </w:r>
          </w:p>
        </w:tc>
        <w:tc>
          <w:tcPr>
            <w:tcW w:w="0" w:type="dxa"/>
            <w:vAlign w:val="bottom"/>
          </w:tcPr>
          <w:p>
            <w:pPr>
              <w:spacing w:after="0"/>
              <w:rPr>
                <w:sz w:val="1"/>
                <w:szCs w:val="1"/>
                <w:color w:val="auto"/>
              </w:rPr>
            </w:pPr>
          </w:p>
        </w:tc>
      </w:tr>
      <w:tr>
        <w:trPr>
          <w:trHeight w:val="211"/>
        </w:trPr>
        <w:tc>
          <w:tcPr>
            <w:tcW w:w="56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Realized (gains) losses included in net income</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unrealized losses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55,025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(178,696)</w:t>
            </w:r>
          </w:p>
        </w:tc>
        <w:tc>
          <w:tcPr>
            <w:tcW w:w="0" w:type="dxa"/>
            <w:vAlign w:val="bottom"/>
          </w:tcPr>
          <w:p>
            <w:pPr>
              <w:spacing w:after="0"/>
              <w:rPr>
                <w:sz w:val="1"/>
                <w:szCs w:val="1"/>
                <w:color w:val="auto"/>
              </w:rPr>
            </w:pPr>
          </w:p>
        </w:tc>
      </w:tr>
      <w:tr>
        <w:trPr>
          <w:trHeight w:val="211"/>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Unrealized losses on held-to-maturity securities transferred from available-for-sale: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Reclassification of unrealized losses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20,770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(66,674)</w:t>
            </w:r>
          </w:p>
        </w:tc>
        <w:tc>
          <w:tcPr>
            <w:tcW w:w="0" w:type="dxa"/>
            <w:vAlign w:val="bottom"/>
          </w:tcPr>
          <w:p>
            <w:pPr>
              <w:spacing w:after="0"/>
              <w:rPr>
                <w:sz w:val="1"/>
                <w:szCs w:val="1"/>
                <w:color w:val="auto"/>
              </w:rPr>
            </w:pPr>
          </w:p>
        </w:tc>
      </w:tr>
      <w:tr>
        <w:trPr>
          <w:trHeight w:val="211"/>
        </w:trPr>
        <w:tc>
          <w:tcPr>
            <w:tcW w:w="56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Amortization of unrealized losses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1,769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activity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20,348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(65,327)</w:t>
            </w:r>
          </w:p>
        </w:tc>
        <w:tc>
          <w:tcPr>
            <w:tcW w:w="0" w:type="dxa"/>
            <w:vAlign w:val="bottom"/>
          </w:tcPr>
          <w:p>
            <w:pPr>
              <w:spacing w:after="0"/>
              <w:rPr>
                <w:sz w:val="1"/>
                <w:szCs w:val="1"/>
                <w:color w:val="auto"/>
              </w:rPr>
            </w:pPr>
          </w:p>
        </w:tc>
      </w:tr>
      <w:tr>
        <w:trPr>
          <w:trHeight w:val="211"/>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instruments designated as cash flow hedges: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Unrealized holding gains on derivatives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w:t>
            </w:r>
          </w:p>
        </w:tc>
        <w:tc>
          <w:tcPr>
            <w:tcW w:w="0" w:type="dxa"/>
            <w:vAlign w:val="bottom"/>
          </w:tcPr>
          <w:p>
            <w:pPr>
              <w:spacing w:after="0"/>
              <w:rPr>
                <w:sz w:val="1"/>
                <w:szCs w:val="1"/>
                <w:color w:val="auto"/>
              </w:rPr>
            </w:pPr>
          </w:p>
        </w:tc>
      </w:tr>
      <w:tr>
        <w:trPr>
          <w:trHeight w:val="211"/>
        </w:trPr>
        <w:tc>
          <w:tcPr>
            <w:tcW w:w="56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Losses on derivative instruments realized in net income</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flow hedge activity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6,051</w:t>
            </w:r>
          </w:p>
        </w:tc>
        <w:tc>
          <w:tcPr>
            <w:tcW w:w="0" w:type="dxa"/>
            <w:vAlign w:val="bottom"/>
          </w:tcPr>
          <w:p>
            <w:pPr>
              <w:spacing w:after="0"/>
              <w:rPr>
                <w:sz w:val="1"/>
                <w:szCs w:val="1"/>
                <w:color w:val="auto"/>
              </w:rPr>
            </w:pPr>
          </w:p>
        </w:tc>
      </w:tr>
      <w:tr>
        <w:trPr>
          <w:trHeight w:val="211"/>
        </w:trPr>
        <w:tc>
          <w:tcPr>
            <w:tcW w:w="5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Amortization of defined benefit pension plan net periodic pension cost components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09"/>
        </w:trPr>
        <w:tc>
          <w:tcPr>
            <w:tcW w:w="5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(116,556)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(88,853)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73,210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(237,718)</w:t>
            </w:r>
          </w:p>
        </w:tc>
        <w:tc>
          <w:tcPr>
            <w:tcW w:w="0" w:type="dxa"/>
            <w:vAlign w:val="bottom"/>
          </w:tcPr>
          <w:p>
            <w:pPr>
              <w:spacing w:after="0"/>
              <w:rPr>
                <w:sz w:val="1"/>
                <w:szCs w:val="1"/>
                <w:color w:val="auto"/>
              </w:rPr>
            </w:pPr>
          </w:p>
        </w:tc>
      </w:tr>
      <w:tr>
        <w:trPr>
          <w:trHeight w:val="214"/>
        </w:trPr>
        <w:tc>
          <w:tcPr>
            <w:tcW w:w="5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Comprehensive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(30,589)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(22,011)</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(164,557)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41,700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(122,857)</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92,265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143,966</w:t>
            </w:r>
          </w:p>
        </w:tc>
        <w:tc>
          <w:tcPr>
            <w:tcW w:w="0" w:type="dxa"/>
            <w:vAlign w:val="bottom"/>
          </w:tcPr>
          <w:p>
            <w:pPr>
              <w:spacing w:after="0"/>
              <w:rPr>
                <w:sz w:val="1"/>
                <w:szCs w:val="1"/>
                <w:color w:val="auto"/>
              </w:rPr>
            </w:pPr>
          </w:p>
        </w:tc>
      </w:tr>
      <w:tr>
        <w:trPr>
          <w:trHeight w:val="211"/>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gains (losses) on available-for-sale securities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(28,887)</w:t>
            </w:r>
          </w:p>
        </w:tc>
        <w:tc>
          <w:tcPr>
            <w:tcW w:w="0" w:type="dxa"/>
            <w:vAlign w:val="bottom"/>
          </w:tcPr>
          <w:p>
            <w:pPr>
              <w:spacing w:after="0"/>
              <w:rPr>
                <w:sz w:val="1"/>
                <w:szCs w:val="1"/>
                <w:color w:val="auto"/>
              </w:rPr>
            </w:pPr>
          </w:p>
        </w:tc>
      </w:tr>
      <w:tr>
        <w:trPr>
          <w:trHeight w:val="211"/>
        </w:trPr>
        <w:tc>
          <w:tcPr>
            <w:tcW w:w="5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Reclassification adjustment for gains included in net income</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(28,914)</w:t>
            </w:r>
          </w:p>
        </w:tc>
        <w:tc>
          <w:tcPr>
            <w:tcW w:w="0" w:type="dxa"/>
            <w:vAlign w:val="bottom"/>
          </w:tcPr>
          <w:p>
            <w:pPr>
              <w:spacing w:after="0"/>
              <w:rPr>
                <w:sz w:val="1"/>
                <w:szCs w:val="1"/>
                <w:color w:val="auto"/>
              </w:rPr>
            </w:pPr>
          </w:p>
        </w:tc>
      </w:tr>
      <w:tr>
        <w:trPr>
          <w:trHeight w:val="211"/>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instruments designated as cash flow hedges: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Unrealized holding gains (losses) on derivatives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0" w:type="dxa"/>
            <w:vAlign w:val="bottom"/>
          </w:tcPr>
          <w:p>
            <w:pPr>
              <w:spacing w:after="0"/>
              <w:rPr>
                <w:sz w:val="1"/>
                <w:szCs w:val="1"/>
                <w:color w:val="auto"/>
              </w:rPr>
            </w:pPr>
          </w:p>
        </w:tc>
      </w:tr>
      <w:tr>
        <w:trPr>
          <w:trHeight w:val="211"/>
        </w:trPr>
        <w:tc>
          <w:tcPr>
            <w:tcW w:w="56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Losses on derivative instruments realized in net income</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flow hedge activity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0" w:type="dxa"/>
            <w:vAlign w:val="bottom"/>
          </w:tcPr>
          <w:p>
            <w:pPr>
              <w:spacing w:after="0"/>
              <w:rPr>
                <w:sz w:val="1"/>
                <w:szCs w:val="1"/>
                <w:color w:val="auto"/>
              </w:rPr>
            </w:pPr>
          </w:p>
        </w:tc>
      </w:tr>
      <w:tr>
        <w:trPr>
          <w:trHeight w:val="211"/>
        </w:trPr>
        <w:tc>
          <w:tcPr>
            <w:tcW w:w="5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Amortization of defined benefit pension plan net periodic pension cost components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09"/>
        </w:trPr>
        <w:tc>
          <w:tcPr>
            <w:tcW w:w="5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7,896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10,109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(26,042)</w:t>
            </w:r>
          </w:p>
        </w:tc>
        <w:tc>
          <w:tcPr>
            <w:tcW w:w="0" w:type="dxa"/>
            <w:vAlign w:val="bottom"/>
          </w:tcPr>
          <w:p>
            <w:pPr>
              <w:spacing w:after="0"/>
              <w:rPr>
                <w:sz w:val="1"/>
                <w:szCs w:val="1"/>
                <w:color w:val="auto"/>
              </w:rPr>
            </w:pPr>
          </w:p>
        </w:tc>
      </w:tr>
      <w:tr>
        <w:trPr>
          <w:trHeight w:val="214"/>
        </w:trPr>
        <w:tc>
          <w:tcPr>
            <w:tcW w:w="5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100,161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(22,865)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77,296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149,970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(32,046)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117,924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 of Changes in Shareholders’ Equity </w:t>
      </w: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Issuable</w:t>
            </w: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2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86,776,508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86,777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1,640,583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192,185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2,031,084</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70,260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70,260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7,036</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(1,719)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dividends ($0.19 per share)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(16,720)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35,675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2,711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221"/>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2021</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86,664,894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86,665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1,636,875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244,006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2,086,286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106,025,210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2,302,189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354,409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(175,341)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2,695,015</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66,842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66,842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(88,853)</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(1,719)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dividends ($0.21 per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(22,562)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(22,562)</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2,230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106,033,960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106,034</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11,448</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2,304,608</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396,970</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(264,194)</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2,651,288</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86,675,279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86,675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10,855</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1,638,999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136,869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37,710</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2,007,530</w:t>
            </w: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143,966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143,966</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(5,101)</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(3,438)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(3,438)</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dividends ($0.38 per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(33,391)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(33,391)</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70,845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68,770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2021</w:t>
            </w: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86,664,894</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86,665</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10,650</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1,636,875</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244,006</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11,668</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2,086,286</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89,349,826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89,350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11,288</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1,721,007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330,654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(26,476)</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2,222,245</w:t>
            </w: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114,861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114,861</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(237,718)</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acquisitions</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16,571,545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579,805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596,376</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(3,438)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(3,438)</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dividends ($0.42 per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(45,107)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(45,107)</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49,443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63,146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106,033,960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106,034</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11,448</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2,304,608</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396,970</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(264,194)</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2,651,288</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Cash Flows </w:t>
      </w:r>
      <w:r>
        <w:rPr>
          <w:rFonts w:ascii="Times New Roman" w:cs="Times New Roman" w:eastAsia="Times New Roman" w:hAnsi="Times New Roman"/>
          <w:sz w:val="16"/>
          <w:szCs w:val="16"/>
          <w:i w:val="1"/>
          <w:iCs w:val="1"/>
          <w:color w:val="auto"/>
        </w:rPr>
        <w:t>(Unaudited)</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200"/>
        </w:trPr>
        <w:tc>
          <w:tcPr>
            <w:tcW w:w="8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114,861</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143,966</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amortization and accretion, net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22,086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(2,961)</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Provision for (release of) credit losses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28,690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(25,869)</w:t>
            </w: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 based compensation</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4,861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3,141</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income tax expense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14,621</w:t>
            </w: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Securities (gains) losses, net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Gains from sales of other loans, net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(5,153)</w:t>
            </w: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 assets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6,317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20,444</w:t>
            </w:r>
          </w:p>
        </w:tc>
      </w:tr>
      <w:tr>
        <w:trPr>
          <w:trHeight w:val="200"/>
        </w:trPr>
        <w:tc>
          <w:tcPr>
            <w:tcW w:w="83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49,707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7,071</w:t>
            </w:r>
          </w:p>
        </w:tc>
      </w:tr>
      <w:tr>
        <w:trPr>
          <w:trHeight w:val="205"/>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Loans held for sale</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119,837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7,239</w:t>
            </w:r>
          </w:p>
        </w:tc>
      </w:tr>
      <w:tr>
        <w:trPr>
          <w:trHeight w:val="194"/>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347,410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162,458</w:t>
            </w:r>
          </w:p>
        </w:tc>
      </w:tr>
      <w:tr>
        <w:trPr>
          <w:trHeight w:val="185"/>
        </w:trPr>
        <w:tc>
          <w:tcPr>
            <w:tcW w:w="8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2"/>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Debt securities held-to-maturity:</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maturities and calls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90,576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35,590</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Purchases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(326,494)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(468,740)</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Debt securities available-for-sale: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sales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281,521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78,111</w:t>
            </w: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maturities and calls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336,511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456,899</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Purchases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(1,498,515)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(1,437,481)</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(increase) decrease in loans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(435,015)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8,861</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investments, outflows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(23,016)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(8,432)</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Equity investments, inflows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5,026</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sales of premises and equipment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840</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Purchases of premises and equipment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(16,774)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(14,565)</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cash received in acquisition</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35,243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sale of other real estate and repossessed assets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2,042</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investing inflows</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767</w:t>
            </w:r>
          </w:p>
        </w:tc>
      </w:tr>
      <w:tr>
        <w:trPr>
          <w:trHeight w:val="194"/>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(1,533,704)</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(1,341,082)</w:t>
            </w:r>
          </w:p>
        </w:tc>
      </w:tr>
      <w:tr>
        <w:trPr>
          <w:trHeight w:val="185"/>
        </w:trPr>
        <w:tc>
          <w:tcPr>
            <w:tcW w:w="8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2"/>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increase in deposits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128,688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1,096,791</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Repayment of long-term debt</w:t>
            </w:r>
          </w:p>
        </w:tc>
        <w:tc>
          <w:tcPr>
            <w:tcW w:w="3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(65,632)</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FHLB advances</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5,000</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Repayment of FHLB advances</w:t>
            </w:r>
          </w:p>
        </w:tc>
        <w:tc>
          <w:tcPr>
            <w:tcW w:w="3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issuance of common stock for dividend reinvestment and employee benefit plans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320</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paid for shares withheld to cover payroll taxes related to equity instruments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3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(5,101)</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dividends on common stock</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(40,694)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(32,593)</w:t>
            </w:r>
          </w:p>
        </w:tc>
      </w:tr>
      <w:tr>
        <w:trPr>
          <w:trHeight w:val="200"/>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Cash dividends on preferred stock</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(3,438)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(3,438)</w:t>
            </w:r>
          </w:p>
        </w:tc>
      </w:tr>
      <w:tr>
        <w:trPr>
          <w:trHeight w:val="19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financing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83,491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989,402</w:t>
            </w:r>
          </w:p>
        </w:tc>
      </w:tr>
      <w:tr>
        <w:trPr>
          <w:trHeight w:val="203"/>
        </w:trPr>
        <w:tc>
          <w:tcPr>
            <w:tcW w:w="8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change in cash and cash equivalents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(1,102,803)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(189,222)</w:t>
            </w:r>
          </w:p>
        </w:tc>
      </w:tr>
      <w:tr>
        <w:trPr>
          <w:trHeight w:val="203"/>
        </w:trPr>
        <w:tc>
          <w:tcPr>
            <w:tcW w:w="8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Cash and cash equivalents, beginning of period</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2,318,510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1,608,619</w:t>
            </w:r>
          </w:p>
        </w:tc>
      </w:tr>
      <w:tr>
        <w:trPr>
          <w:trHeight w:val="183"/>
        </w:trPr>
        <w:tc>
          <w:tcPr>
            <w:tcW w:w="8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end of period</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1,215,707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1,419,397</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11220"/>
          </w:cols>
          <w:pgMar w:left="320" w:top="9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United’s accounting and financial reporting policies conform to GAAP and reporting guidelines of banking regulatory authorities. The accompanying interim consolidated financial statements have not been audited. All material intercompany balances and transactions have been eliminated. A more detailed description of United’s accounting policies is included in its 2021 10-K.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2021 10-K.</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Accounting Standards Updates and Recently Adopted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Standards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2021, the FASB issued ASU No. 2021-05, </w:t>
      </w:r>
      <w:r>
        <w:rPr>
          <w:rFonts w:ascii="Times New Roman" w:cs="Times New Roman" w:eastAsia="Times New Roman" w:hAnsi="Times New Roman"/>
          <w:sz w:val="18"/>
          <w:szCs w:val="18"/>
          <w:i w:val="1"/>
          <w:iCs w:val="1"/>
          <w:color w:val="auto"/>
        </w:rPr>
        <w:t>Leases (Topic 842): Lessors - Certain Leases with Variable Lease Payments</w:t>
      </w:r>
      <w:r>
        <w:rPr>
          <w:rFonts w:ascii="Times New Roman" w:cs="Times New Roman" w:eastAsia="Times New Roman" w:hAnsi="Times New Roman"/>
          <w:sz w:val="18"/>
          <w:szCs w:val="18"/>
          <w:color w:val="auto"/>
        </w:rPr>
        <w:t>. The update amends the lease classification requirements for lessors to align them with practice under the former lease accounting standard. Specifically, lessors should classify a lease with variable lease payments that do not depend on a reference index or rate as an operating lease if certain criteria are met. United adopted this update as of January 1, 2022, with no material impact on the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Standards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2022, the FASB issued ASU No. 2022-01, </w:t>
      </w:r>
      <w:r>
        <w:rPr>
          <w:rFonts w:ascii="Times New Roman" w:cs="Times New Roman" w:eastAsia="Times New Roman" w:hAnsi="Times New Roman"/>
          <w:sz w:val="18"/>
          <w:szCs w:val="18"/>
          <w:i w:val="1"/>
          <w:iCs w:val="1"/>
          <w:color w:val="auto"/>
        </w:rPr>
        <w:t>Derivatives and Hedging (Topic 815): Fair Value Hedging - Portfolio Layer Method</w:t>
      </w:r>
      <w:r>
        <w:rPr>
          <w:rFonts w:ascii="Times New Roman" w:cs="Times New Roman" w:eastAsia="Times New Roman" w:hAnsi="Times New Roman"/>
          <w:sz w:val="18"/>
          <w:szCs w:val="18"/>
          <w:color w:val="auto"/>
        </w:rPr>
        <w:t>. The update expands the current last-of-layer method to a portfolio layer method which allows multiple hedged layers of a single closed portfolio and non-prepayable financial assets. In addition, the update specifies that eligible hedging instruments may include spot-starting or forward-starting swaps and that the number of hedged layers corresponds with the number of hedges designated. Finally, the update provides additional guidance on the accounting for and disclosure of hedge basis adjustments. For public entities, this guidance is effective for fiscal years beginning after December 15, 2022. United does not expect the new guidance to have a material impact on the consolidated financial statements.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2022, the FASB issued ASU No. 2022-02, </w:t>
      </w:r>
      <w:r>
        <w:rPr>
          <w:rFonts w:ascii="Times New Roman" w:cs="Times New Roman" w:eastAsia="Times New Roman" w:hAnsi="Times New Roman"/>
          <w:sz w:val="18"/>
          <w:szCs w:val="18"/>
          <w:i w:val="1"/>
          <w:iCs w:val="1"/>
          <w:color w:val="auto"/>
        </w:rPr>
        <w:t>Financial Instruments - Credit Losses (Topic 326): Troubled Debt Restructurings and Vintage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update eliminates the previous accounting guidance for TDRs by creditors, while enhancing disclosure requirements for certain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refinancings and restructurings when a borrower is experiencing financial difficulty. The update also requires that an entity disclose current-period gross charge-offs by year of origination. For public entities, this guidance is effective for fiscal years beginning after December 15, 2022. United does not expect the new guidance to have a material impact on the consolidated financial statements.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No. 2022-03, </w:t>
      </w:r>
      <w:r>
        <w:rPr>
          <w:rFonts w:ascii="Times New Roman" w:cs="Times New Roman" w:eastAsia="Times New Roman" w:hAnsi="Times New Roman"/>
          <w:sz w:val="18"/>
          <w:szCs w:val="18"/>
          <w:i w:val="1"/>
          <w:iCs w:val="1"/>
          <w:color w:val="auto"/>
        </w:rPr>
        <w:t>Fair Value Measurement (Topic 820) -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The update clarifies that a contractual restriction on the sale of an equity security is not considered part of the unit of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therefore, is not considered in measuring fair value. For public entities, this guidance is effective for fiscal years beginning after December 15, 2023. United does not expect the new guidance to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Supplemental Cash Flow Information</w:t>
      </w:r>
    </w:p>
    <w:p>
      <w:pPr>
        <w:spacing w:after="0" w:line="25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supplemental schedule of significant non-cash investing and financing activities for the six months ended June 30, 2022 and 2021 is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transactions: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Unsettled government guaranteed loan sales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6,435</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Transfers of loans to repossessed and foreclosed properties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w:t>
            </w:r>
          </w:p>
        </w:tc>
      </w:tr>
      <w:tr>
        <w:trPr>
          <w:trHeight w:val="213"/>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Transfers of AFS securities to HTM securities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1,288,982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r>
      <w:tr>
        <w:trPr>
          <w:trHeight w:val="213"/>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Assets acquired</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Liabilities assumed</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2,657,173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assets acquired</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issued and options converted</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of Reliant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 2022, United acquired all of the outstanding common stock of Reliant in a stock transaction. Reliant was headquartered in Brentwood, Tennessee, a suburb of Nashville, Tennessee, and operated a 25-branch network in Tennessee. United’s operating results for the three and six months ended June 30, 2022 include the operating results of the acquired business for the period subsequent to the acquisition date of January 1,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purchased assets and assumed liabilities were recorded at their acquisition date fair values and are summarized in the table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40" w:type="dxa"/>
            <w:vAlign w:val="bottom"/>
            <w:tcBorders>
              <w:bottom w:val="single" w:sz="8" w:color="auto"/>
            </w:tcBorders>
          </w:tcPr>
          <w:p>
            <w:pPr>
              <w:spacing w:after="0"/>
              <w:rPr>
                <w:sz w:val="18"/>
                <w:szCs w:val="18"/>
                <w:color w:val="auto"/>
              </w:rPr>
            </w:pPr>
          </w:p>
        </w:tc>
        <w:tc>
          <w:tcPr>
            <w:tcW w:w="5740" w:type="dxa"/>
            <w:vAlign w:val="bottom"/>
            <w:tcBorders>
              <w:bottom w:val="single" w:sz="8" w:color="auto"/>
            </w:tcBorders>
          </w:tcPr>
          <w:p>
            <w:pPr>
              <w:ind w:left="3420"/>
              <w:spacing w:after="0"/>
              <w:rPr>
                <w:sz w:val="20"/>
                <w:szCs w:val="20"/>
                <w:color w:val="auto"/>
              </w:rPr>
            </w:pPr>
            <w:r>
              <w:rPr>
                <w:rFonts w:ascii="Times New Roman" w:cs="Times New Roman" w:eastAsia="Times New Roman" w:hAnsi="Times New Roman"/>
                <w:sz w:val="16"/>
                <w:szCs w:val="16"/>
                <w:b w:val="1"/>
                <w:bCs w:val="1"/>
                <w:color w:val="auto"/>
              </w:rPr>
              <w:t>Reliant</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r>
        <w:trPr>
          <w:trHeight w:val="212"/>
        </w:trPr>
        <w:tc>
          <w:tcPr>
            <w:tcW w:w="1940" w:type="dxa"/>
            <w:vAlign w:val="bottom"/>
          </w:tcPr>
          <w:p>
            <w:pPr>
              <w:spacing w:after="0"/>
              <w:rPr>
                <w:sz w:val="18"/>
                <w:szCs w:val="18"/>
                <w:color w:val="auto"/>
              </w:rPr>
            </w:pPr>
          </w:p>
        </w:tc>
        <w:tc>
          <w:tcPr>
            <w:tcW w:w="5740" w:type="dxa"/>
            <w:vAlign w:val="bottom"/>
            <w:tcBorders>
              <w:bottom w:val="single" w:sz="8" w:color="auto"/>
            </w:tcBorders>
          </w:tcPr>
          <w:p>
            <w:pPr>
              <w:ind w:left="250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Fair Value Recorded by United </w:t>
            </w:r>
            <w:r>
              <w:rPr>
                <w:rFonts w:ascii="Times New Roman" w:cs="Times New Roman" w:eastAsia="Times New Roman" w:hAnsi="Times New Roman"/>
                <w:sz w:val="21"/>
                <w:szCs w:val="21"/>
                <w:b w:val="1"/>
                <w:bCs w:val="1"/>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60" w:type="dxa"/>
            <w:vAlign w:val="bottom"/>
          </w:tcPr>
          <w:p>
            <w:pPr>
              <w:spacing w:after="0"/>
              <w:rPr>
                <w:sz w:val="18"/>
                <w:szCs w:val="18"/>
                <w:color w:val="auto"/>
              </w:rPr>
            </w:pPr>
          </w:p>
        </w:tc>
      </w:tr>
      <w:tr>
        <w:trPr>
          <w:trHeight w:val="208"/>
        </w:trPr>
        <w:tc>
          <w:tcPr>
            <w:tcW w:w="194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1960" w:type="dxa"/>
            <w:vAlign w:val="bottom"/>
            <w:tcBorders>
              <w:bottom w:val="single" w:sz="8" w:color="CCEEFF"/>
            </w:tcBorders>
          </w:tcPr>
          <w:p>
            <w:pPr>
              <w:spacing w:after="0"/>
              <w:rPr>
                <w:sz w:val="18"/>
                <w:szCs w:val="18"/>
                <w:color w:val="auto"/>
              </w:rPr>
            </w:pPr>
          </w:p>
        </w:tc>
      </w:tr>
      <w:tr>
        <w:trPr>
          <w:trHeight w:val="198"/>
        </w:trPr>
        <w:tc>
          <w:tcPr>
            <w:tcW w:w="1940" w:type="dxa"/>
            <w:vAlign w:val="bottom"/>
            <w:shd w:val="clear" w:color="auto" w:fill="CCEEFF"/>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62,867</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249,107</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116,406</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2,320,737</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35,631</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Bank-owned life insurance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78,170</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12,027</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Core deposit intangible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14,500</w:t>
            </w:r>
          </w:p>
        </w:tc>
        <w:tc>
          <w:tcPr>
            <w:tcW w:w="1960" w:type="dxa"/>
            <w:vAlign w:val="bottom"/>
          </w:tcPr>
          <w:p>
            <w:pPr>
              <w:spacing w:after="0"/>
              <w:rPr>
                <w:sz w:val="18"/>
                <w:szCs w:val="18"/>
                <w:color w:val="auto"/>
              </w:rPr>
            </w:pPr>
          </w:p>
        </w:tc>
      </w:tr>
      <w:tr>
        <w:trPr>
          <w:trHeight w:val="216"/>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59,768</w:t>
            </w:r>
          </w:p>
        </w:tc>
        <w:tc>
          <w:tcPr>
            <w:tcW w:w="1960" w:type="dxa"/>
            <w:vAlign w:val="bottom"/>
            <w:shd w:val="clear" w:color="auto" w:fill="CCEEFF"/>
          </w:tcPr>
          <w:p>
            <w:pPr>
              <w:spacing w:after="0"/>
              <w:rPr>
                <w:sz w:val="18"/>
                <w:szCs w:val="18"/>
                <w:color w:val="auto"/>
              </w:rPr>
            </w:pPr>
          </w:p>
        </w:tc>
      </w:tr>
      <w:tr>
        <w:trPr>
          <w:trHeight w:val="212"/>
        </w:trPr>
        <w:tc>
          <w:tcPr>
            <w:tcW w:w="194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2,955,006</w:t>
            </w:r>
          </w:p>
        </w:tc>
        <w:tc>
          <w:tcPr>
            <w:tcW w:w="1960" w:type="dxa"/>
            <w:vAlign w:val="bottom"/>
          </w:tcPr>
          <w:p>
            <w:pPr>
              <w:spacing w:after="0"/>
              <w:rPr>
                <w:sz w:val="18"/>
                <w:szCs w:val="18"/>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r>
      <w:tr>
        <w:trPr>
          <w:trHeight w:val="183"/>
        </w:trPr>
        <w:tc>
          <w:tcPr>
            <w:tcW w:w="1940" w:type="dxa"/>
            <w:vAlign w:val="bottom"/>
            <w:shd w:val="clear" w:color="auto" w:fill="CCEEFF"/>
          </w:tcPr>
          <w:p>
            <w:pPr>
              <w:spacing w:after="0"/>
              <w:rPr>
                <w:sz w:val="15"/>
                <w:szCs w:val="15"/>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2,504,823</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76,730</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48,620</w:t>
            </w:r>
          </w:p>
        </w:tc>
        <w:tc>
          <w:tcPr>
            <w:tcW w:w="1960" w:type="dxa"/>
            <w:vAlign w:val="bottom"/>
            <w:shd w:val="clear" w:color="auto" w:fill="CCEEFF"/>
          </w:tcPr>
          <w:p>
            <w:pPr>
              <w:spacing w:after="0"/>
              <w:rPr>
                <w:sz w:val="19"/>
                <w:szCs w:val="19"/>
                <w:color w:val="auto"/>
              </w:rPr>
            </w:pPr>
          </w:p>
        </w:tc>
      </w:tr>
      <w:tr>
        <w:trPr>
          <w:trHeight w:val="207"/>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2,657,173</w:t>
            </w:r>
          </w:p>
        </w:tc>
        <w:tc>
          <w:tcPr>
            <w:tcW w:w="1960" w:type="dxa"/>
            <w:vAlign w:val="bottom"/>
            <w:tcBorders>
              <w:bottom w:val="single" w:sz="8" w:color="CCEEFF"/>
            </w:tcBorders>
          </w:tcPr>
          <w:p>
            <w:pPr>
              <w:spacing w:after="0"/>
              <w:rPr>
                <w:sz w:val="17"/>
                <w:szCs w:val="17"/>
                <w:color w:val="auto"/>
              </w:rPr>
            </w:pPr>
          </w:p>
        </w:tc>
      </w:tr>
      <w:tr>
        <w:trPr>
          <w:trHeight w:val="212"/>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297,833</w:t>
            </w:r>
          </w:p>
        </w:tc>
        <w:tc>
          <w:tcPr>
            <w:tcW w:w="1960" w:type="dxa"/>
            <w:vAlign w:val="bottom"/>
            <w:shd w:val="clear" w:color="auto" w:fill="CCEEFF"/>
          </w:tcPr>
          <w:p>
            <w:pPr>
              <w:spacing w:after="0"/>
              <w:rPr>
                <w:sz w:val="18"/>
                <w:szCs w:val="18"/>
                <w:color w:val="auto"/>
              </w:rPr>
            </w:pPr>
          </w:p>
        </w:tc>
      </w:tr>
      <w:tr>
        <w:trPr>
          <w:trHeight w:val="194"/>
        </w:trPr>
        <w:tc>
          <w:tcPr>
            <w:tcW w:w="1940" w:type="dxa"/>
            <w:vAlign w:val="bottom"/>
          </w:tcPr>
          <w:p>
            <w:pPr>
              <w:spacing w:after="0"/>
              <w:rPr>
                <w:sz w:val="16"/>
                <w:szCs w:val="16"/>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 transferred</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18"/>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960" w:type="dxa"/>
            <w:vAlign w:val="bottom"/>
            <w:shd w:val="clear" w:color="auto" w:fill="CCEEFF"/>
          </w:tcPr>
          <w:p>
            <w:pPr>
              <w:spacing w:after="0"/>
              <w:rPr>
                <w:sz w:val="18"/>
                <w:szCs w:val="18"/>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(16,571,545 shares)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595,581</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converted</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960" w:type="dxa"/>
            <w:vAlign w:val="bottom"/>
            <w:shd w:val="clear" w:color="auto" w:fill="CCEEFF"/>
          </w:tcPr>
          <w:p>
            <w:pPr>
              <w:spacing w:after="0"/>
              <w:rPr>
                <w:sz w:val="19"/>
                <w:szCs w:val="19"/>
                <w:color w:val="auto"/>
              </w:rPr>
            </w:pPr>
          </w:p>
        </w:tc>
      </w:tr>
      <w:tr>
        <w:trPr>
          <w:trHeight w:val="207"/>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fair value of consideration transferred</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597,000</w:t>
            </w:r>
          </w:p>
        </w:tc>
        <w:tc>
          <w:tcPr>
            <w:tcW w:w="1960" w:type="dxa"/>
            <w:vAlign w:val="bottom"/>
            <w:tcBorders>
              <w:bottom w:val="single" w:sz="8" w:color="CCEEFF"/>
            </w:tcBorders>
          </w:tcPr>
          <w:p>
            <w:pPr>
              <w:spacing w:after="0"/>
              <w:rPr>
                <w:sz w:val="17"/>
                <w:szCs w:val="17"/>
                <w:color w:val="auto"/>
              </w:rPr>
            </w:pPr>
          </w:p>
        </w:tc>
      </w:tr>
      <w:tr>
        <w:trPr>
          <w:trHeight w:val="237"/>
        </w:trPr>
        <w:tc>
          <w:tcPr>
            <w:tcW w:w="194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299,167</w:t>
            </w:r>
          </w:p>
        </w:tc>
        <w:tc>
          <w:tcPr>
            <w:tcW w:w="1960" w:type="dxa"/>
            <w:vAlign w:val="bottom"/>
            <w:tcBorders>
              <w:bottom w:val="single" w:sz="8" w:color="CCEEFF"/>
            </w:tcBorders>
            <w:shd w:val="clear" w:color="auto" w:fill="CCEEFF"/>
          </w:tcPr>
          <w:p>
            <w:pPr>
              <w:spacing w:after="0"/>
              <w:rPr>
                <w:sz w:val="20"/>
                <w:szCs w:val="20"/>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firstLine="8"/>
        <w:spacing w:after="0" w:line="254" w:lineRule="auto"/>
        <w:tabs>
          <w:tab w:leader="none" w:pos="166"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Fair values are preliminary and are subject to refinement for a period not to exceed one year after the closing date of an acquisition as information relative to closing date fair values becomes available.</w:t>
      </w:r>
    </w:p>
    <w:p>
      <w:pPr>
        <w:spacing w:after="0" w:line="2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Goodwill represents the intangible value of Reliant’s business and reputation within the markets it served and is not expected to be deductible for income tax purposes. The Reliant core deposit intangible will be amortized over its expected useful life of 10 years using the sum-of-the-years-digits method.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additional information related to the acquired Reliant loan portfolio at the acquisition date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1, 2022</w:t>
            </w:r>
          </w:p>
        </w:tc>
      </w:tr>
      <w:tr>
        <w:trPr>
          <w:trHeight w:val="199"/>
        </w:trPr>
        <w:tc>
          <w:tcPr>
            <w:tcW w:w="7140" w:type="dxa"/>
            <w:vAlign w:val="bottom"/>
            <w:tcBorders>
              <w:top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6"/>
                <w:szCs w:val="16"/>
                <w:b w:val="1"/>
                <w:bCs w:val="1"/>
                <w:color w:val="auto"/>
              </w:rPr>
              <w:t>PCD loans:</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r>
      <w:tr>
        <w:trPr>
          <w:trHeight w:val="213"/>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Par value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258,462</w:t>
            </w:r>
          </w:p>
        </w:tc>
        <w:tc>
          <w:tcPr>
            <w:tcW w:w="2300" w:type="dxa"/>
            <w:vAlign w:val="bottom"/>
          </w:tcPr>
          <w:p>
            <w:pPr>
              <w:spacing w:after="0"/>
              <w:rPr>
                <w:sz w:val="18"/>
                <w:szCs w:val="18"/>
                <w:color w:val="auto"/>
              </w:rPr>
            </w:pPr>
          </w:p>
        </w:tc>
      </w:tr>
      <w:tr>
        <w:trPr>
          <w:trHeight w:val="219"/>
        </w:trPr>
        <w:tc>
          <w:tcPr>
            <w:tcW w:w="71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ACL at acquisition</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(12,737)</w:t>
            </w:r>
          </w:p>
        </w:tc>
        <w:tc>
          <w:tcPr>
            <w:tcW w:w="2300" w:type="dxa"/>
            <w:vAlign w:val="bottom"/>
            <w:shd w:val="clear" w:color="auto" w:fill="CCEEFF"/>
          </w:tcPr>
          <w:p>
            <w:pPr>
              <w:spacing w:after="0"/>
              <w:rPr>
                <w:sz w:val="19"/>
                <w:szCs w:val="19"/>
                <w:color w:val="auto"/>
              </w:rPr>
            </w:pPr>
          </w:p>
        </w:tc>
      </w:tr>
      <w:tr>
        <w:trPr>
          <w:trHeight w:val="213"/>
        </w:trPr>
        <w:tc>
          <w:tcPr>
            <w:tcW w:w="7140" w:type="dxa"/>
            <w:vAlign w:val="bottom"/>
            <w:tcBorders>
              <w:bottom w:val="single" w:sz="8" w:color="CCEEFF"/>
            </w:tcBorders>
          </w:tcPr>
          <w:p>
            <w:pPr>
              <w:ind w:left="2300"/>
              <w:spacing w:after="0"/>
              <w:rPr>
                <w:sz w:val="20"/>
                <w:szCs w:val="20"/>
                <w:color w:val="auto"/>
              </w:rPr>
            </w:pPr>
            <w:r>
              <w:rPr>
                <w:rFonts w:ascii="Times New Roman" w:cs="Times New Roman" w:eastAsia="Times New Roman" w:hAnsi="Times New Roman"/>
                <w:sz w:val="16"/>
                <w:szCs w:val="16"/>
                <w:color w:val="auto"/>
              </w:rPr>
              <w:t>Non-credit discount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(3,294)</w:t>
            </w:r>
          </w:p>
        </w:tc>
        <w:tc>
          <w:tcPr>
            <w:tcW w:w="2300" w:type="dxa"/>
            <w:vAlign w:val="bottom"/>
            <w:tcBorders>
              <w:bottom w:val="single" w:sz="8" w:color="CCEEFF"/>
            </w:tcBorders>
          </w:tcPr>
          <w:p>
            <w:pPr>
              <w:spacing w:after="0"/>
              <w:rPr>
                <w:sz w:val="18"/>
                <w:szCs w:val="18"/>
                <w:color w:val="auto"/>
              </w:rPr>
            </w:pPr>
          </w:p>
        </w:tc>
      </w:tr>
      <w:tr>
        <w:trPr>
          <w:trHeight w:val="237"/>
        </w:trPr>
        <w:tc>
          <w:tcPr>
            <w:tcW w:w="7140" w:type="dxa"/>
            <w:vAlign w:val="bottom"/>
            <w:tcBorders>
              <w:bottom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Purchase price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242,431</w:t>
            </w:r>
          </w:p>
        </w:tc>
        <w:tc>
          <w:tcPr>
            <w:tcW w:w="2300" w:type="dxa"/>
            <w:vAlign w:val="bottom"/>
            <w:tcBorders>
              <w:bottom w:val="single" w:sz="8" w:color="CCEEFF"/>
            </w:tcBorders>
            <w:shd w:val="clear" w:color="auto" w:fill="CCEEFF"/>
          </w:tcPr>
          <w:p>
            <w:pPr>
              <w:spacing w:after="0"/>
              <w:rPr>
                <w:sz w:val="20"/>
                <w:szCs w:val="20"/>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r>
      <w:tr>
        <w:trPr>
          <w:trHeight w:val="163"/>
        </w:trPr>
        <w:tc>
          <w:tcPr>
            <w:tcW w:w="7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16"/>
        </w:trPr>
        <w:tc>
          <w:tcPr>
            <w:tcW w:w="71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b w:val="1"/>
                <w:bCs w:val="1"/>
                <w:color w:val="auto"/>
              </w:rPr>
              <w:t>Non-PCD loans: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13"/>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Fair value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2,078,306</w:t>
            </w:r>
          </w:p>
        </w:tc>
        <w:tc>
          <w:tcPr>
            <w:tcW w:w="2300" w:type="dxa"/>
            <w:vAlign w:val="bottom"/>
          </w:tcPr>
          <w:p>
            <w:pPr>
              <w:spacing w:after="0"/>
              <w:rPr>
                <w:sz w:val="18"/>
                <w:szCs w:val="18"/>
                <w:color w:val="auto"/>
              </w:rPr>
            </w:pPr>
          </w:p>
        </w:tc>
      </w:tr>
      <w:tr>
        <w:trPr>
          <w:trHeight w:val="219"/>
        </w:trPr>
        <w:tc>
          <w:tcPr>
            <w:tcW w:w="71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Gross contractual amounts receivable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2,355,205</w:t>
            </w:r>
          </w:p>
        </w:tc>
        <w:tc>
          <w:tcPr>
            <w:tcW w:w="2300" w:type="dxa"/>
            <w:vAlign w:val="bottom"/>
            <w:shd w:val="clear" w:color="auto" w:fill="CCEEFF"/>
          </w:tcPr>
          <w:p>
            <w:pPr>
              <w:spacing w:after="0"/>
              <w:rPr>
                <w:sz w:val="19"/>
                <w:szCs w:val="19"/>
                <w:color w:val="auto"/>
              </w:rPr>
            </w:pPr>
          </w:p>
        </w:tc>
      </w:tr>
      <w:tr>
        <w:trPr>
          <w:trHeight w:val="210"/>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Estimate of contractual cash flows not expected to be collected</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25,990</w:t>
            </w:r>
          </w:p>
        </w:tc>
        <w:tc>
          <w:tcPr>
            <w:tcW w:w="2300" w:type="dxa"/>
            <w:vAlign w:val="bottom"/>
          </w:tcPr>
          <w:p>
            <w:pPr>
              <w:spacing w:after="0"/>
              <w:rPr>
                <w:sz w:val="18"/>
                <w:szCs w:val="18"/>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discloses the impact of the Reliant acquisition since the date of acquisition. The table also presents certain pro forma information as if Reliant had been acquired on January 1, 2021. These results combine the historical results of the acquired entity with United’s consolidated statement of income. Adjustments were made for the estimated impact of certain fair value adjustments and other acquisition-related activity; however pro forma financial results presented are not necessarily indicative of what would have occurred had the acquisition taken place in earlier years.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Merger-related costs from the Reliant acquisition of $5.46 million and $14.0 million have been excluded from the three and six months ended June 30, 2022 pro forma information presented below and included in the three and six months ended June 30, 2021 pro forma information presented below. The actual results and pro forma information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5"/>
                <w:szCs w:val="15"/>
                <w:color w:val="auto"/>
              </w:rPr>
            </w:pPr>
          </w:p>
        </w:tc>
        <w:tc>
          <w:tcPr>
            <w:tcW w:w="244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08"/>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Net Income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Net Income</w:t>
            </w:r>
          </w:p>
        </w:tc>
      </w:tr>
      <w:tr>
        <w:trPr>
          <w:trHeight w:val="21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04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040" w:type="dxa"/>
            <w:vAlign w:val="bottom"/>
            <w:tcBorders>
              <w:top w:val="single" w:sz="8" w:color="auto"/>
              <w:bottom w:val="single" w:sz="8" w:color="CCEEFF"/>
            </w:tcBorders>
          </w:tcPr>
          <w:p>
            <w:pPr>
              <w:spacing w:after="0"/>
              <w:rPr>
                <w:sz w:val="18"/>
                <w:szCs w:val="18"/>
                <w:color w:val="auto"/>
              </w:rPr>
            </w:pPr>
          </w:p>
        </w:tc>
      </w:tr>
      <w:tr>
        <w:trPr>
          <w:trHeight w:val="21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Actual Reliant results included in statement of income since acquisition date</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29,172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43,086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16,148</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consolidated pro forma as if Reliant had been acquired January 1, 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206,227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70,569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137,329</w:t>
            </w:r>
          </w:p>
        </w:tc>
      </w:tr>
      <w:tr>
        <w:trPr>
          <w:trHeight w:val="273"/>
        </w:trPr>
        <w:tc>
          <w:tcPr>
            <w:tcW w:w="5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14"/>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consolidated pro forma as if Reliant had been acquired January 1, 2021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225,717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79,607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435,858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146,618</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Announced Acquisition of Progress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4, 2022, United announced an agreement to acquire Progress Financial Corporation and its wholly-owned subsidiary, Progress Bank &amp; Trust, collectively referred to as “Progress”. Progress is headquartered in Huntsville, Alabama, and operates 14 offices in high-growth southeastern markets, including Huntsville, Birmingham, Daphne and Tuscaloosa in Alabama and the Florida Panhandle. As of June 30, 2022, Progress had total assets of $1.84 billion, total loans of $1.34 billion, and total deposits of $1.65 billion. In addition to traditional banking products, Progress offers wealth management and private banking through Progress Financial Services with approximately $1.12 billion in assets under management. The merger, which is subject to regulatory approval, the approval of Progress shareholders, and other customary conditions, is expected to close in the fourth quarter of 2022.</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Investment Securities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and the first six months of 2022, United transferred AFS debt securities to HTM with a fair value on the transfer date of $184 million and $1.29 billion, respectively. Included in the amount transferred were unrealized losses totaling $30.0 million and $87.4 million for the second quarter and the first six months of 2022, respectively, which are recorded in AOCI. Transfer date unrealized losses are amortized and reclassified out of AOCI as a yield adjustment, which is offset by discount accretion of the transferred HTM securities. Amortization of transfer date unrealized losses and discount accretion are recognized over the remaining life of the securities.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amortized cost basis, unrealized gains and losses and fair value of HTM debt securities as of the dates indicated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36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6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07"/>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17,957</w:t>
            </w: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87,866</w:t>
            </w: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247,297</w:t>
            </w: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1,557,372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1,419,366</w:t>
            </w: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728,209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645,333</w:t>
            </w:r>
          </w:p>
        </w:tc>
      </w:tr>
      <w:tr>
        <w:trPr>
          <w:trHeight w:val="21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13,319</w:t>
            </w:r>
          </w:p>
        </w:tc>
      </w:tr>
      <w:tr>
        <w:trPr>
          <w:trHeight w:val="212"/>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2,722,475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291,812</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2,431,138</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4"/>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r>
      <w:tr>
        <w:trPr>
          <w:trHeight w:val="211"/>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19,823</w:t>
            </w: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69,059</w:t>
            </w: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257,949</w:t>
            </w: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379,975</w:t>
            </w: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406,977</w:t>
            </w:r>
          </w:p>
        </w:tc>
      </w:tr>
      <w:tr>
        <w:trPr>
          <w:trHeight w:val="213"/>
        </w:trPr>
        <w:tc>
          <w:tcPr>
            <w:tcW w:w="4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15,021</w:t>
            </w:r>
          </w:p>
        </w:tc>
      </w:tr>
      <w:tr>
        <w:trPr>
          <w:trHeight w:val="237"/>
        </w:trPr>
        <w:tc>
          <w:tcPr>
            <w:tcW w:w="4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1,156,098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1,148,804</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amortized cost basis, unrealized gains and losses, and fair value of AFS debt securities as of the dates indicated are presented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38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8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194,627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11,924</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182,703</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257,182</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321,883</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1,605,953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1,501,078</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386,213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369,493</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702,084</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30,968</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219,956</w:t>
            </w: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383,907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374,938</w:t>
            </w:r>
          </w:p>
        </w:tc>
      </w:tr>
      <w:tr>
        <w:trPr>
          <w:trHeight w:val="237"/>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4,213,711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255,683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3,960,285</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218,027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217,520</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187,032</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275,844</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2,060,964</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84,170</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870,563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857,381</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16,470</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193,166</w:t>
            </w: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603,824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604,277</w:t>
            </w:r>
          </w:p>
        </w:tc>
      </w:tr>
      <w:tr>
        <w:trPr>
          <w:trHeight w:val="237"/>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4,516,529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4,496,824</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Securities with a carrying value of $1.62 billion and $1.46 billion were pledged, primarily to secure public deposits, at June 30, 2022 and December 31, 2021, respectively.</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HTM debt securities in an unrealized loss position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Pr>
          <w:p>
            <w:pPr>
              <w:spacing w:after="0"/>
              <w:rPr>
                <w:sz w:val="18"/>
                <w:szCs w:val="18"/>
                <w:color w:val="auto"/>
              </w:rPr>
            </w:pPr>
          </w:p>
        </w:tc>
        <w:tc>
          <w:tcPr>
            <w:tcW w:w="222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55,423</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1,085,121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1,386,210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138,174</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520,424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645,332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82,876</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0" w:type="dxa"/>
            <w:vAlign w:val="bottom"/>
          </w:tcPr>
          <w:p>
            <w:pPr>
              <w:spacing w:after="0"/>
              <w:rPr>
                <w:sz w:val="1"/>
                <w:szCs w:val="1"/>
                <w:color w:val="auto"/>
              </w:rPr>
            </w:pPr>
          </w:p>
        </w:tc>
      </w:tr>
      <w:tr>
        <w:trPr>
          <w:trHeight w:val="212"/>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1,899,034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234,018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477,924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57,794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2,376,958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291,812</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314,049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324,433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798,967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822,758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AFS debt securities in an unrealized loss position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Pr>
          <w:p>
            <w:pPr>
              <w:spacing w:after="0"/>
              <w:rPr>
                <w:sz w:val="18"/>
                <w:szCs w:val="18"/>
                <w:color w:val="auto"/>
              </w:rPr>
            </w:pPr>
          </w:p>
        </w:tc>
        <w:tc>
          <w:tcPr>
            <w:tcW w:w="222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182,703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182,703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12,975</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1,298,911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1,456,466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105,143</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369,493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369,493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19,856</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244,043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301,964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9,032</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3,091,456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3,633,126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255,683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111,606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111,606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1,534,744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1,609,225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648,249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195,164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195,735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0" w:type="dxa"/>
            <w:vAlign w:val="bottom"/>
          </w:tcPr>
          <w:p>
            <w:pPr>
              <w:spacing w:after="0"/>
              <w:rPr>
                <w:sz w:val="1"/>
                <w:szCs w:val="1"/>
                <w:color w:val="auto"/>
              </w:rPr>
            </w:pPr>
          </w:p>
        </w:tc>
      </w:tr>
      <w:tr>
        <w:trPr>
          <w:trHeight w:val="212"/>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2,787,798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49,598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164,323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2,952,121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56,298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2022, there were 711 AFS debt securities and 296 HTM debt securities that were in an unrealized loss position. United does not intend to sell nor does it believe it will be required to sell securities in an unrealized loss position prior to the recovery of their amortized cost basis. Unrealized losses at June 30, 2022 were primarily attributable to changes in interest rates.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2022 and December 31, 2021, estimated credit losses and, thus, the related ACL on HTM debt securities were de minimis due to the high credit quality of the portfolio, which included securities issued or guaranteed by U.S. Government agencies, GSEs, high credit quality municipalities and supranational entities. As a result, no ACL was recorded on the HTM portfolio at June 30, 2022 or December 31, 2021. In addition, based on the assessments performed at June 30, 2022 and December 31, 2021, there was no ACL required related to the AFS portfolio.</w:t>
      </w:r>
    </w:p>
    <w:p>
      <w:pPr>
        <w:spacing w:after="0" w:line="2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The following table presents accrued interest receivable for the periods indicated on HTM and AFS debt securities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which was excluded from the estimate of credit losses.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4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Accrued Interest Receivable</w:t>
            </w:r>
          </w:p>
        </w:tc>
      </w:tr>
      <w:tr>
        <w:trPr>
          <w:trHeight w:val="211"/>
        </w:trPr>
        <w:tc>
          <w:tcPr>
            <w:tcW w:w="48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680" w:type="dxa"/>
            <w:vAlign w:val="bottom"/>
          </w:tcPr>
          <w:p>
            <w:pPr>
              <w:spacing w:after="0"/>
              <w:rPr>
                <w:sz w:val="18"/>
                <w:szCs w:val="18"/>
                <w:color w:val="auto"/>
              </w:rPr>
            </w:pPr>
          </w:p>
        </w:tc>
      </w:tr>
      <w:tr>
        <w:trPr>
          <w:trHeight w:val="211"/>
        </w:trPr>
        <w:tc>
          <w:tcPr>
            <w:tcW w:w="4820" w:type="dxa"/>
            <w:vAlign w:val="bottom"/>
            <w:tcBorders>
              <w:top w:val="single" w:sz="8" w:color="CCEEFF"/>
            </w:tcBorders>
            <w:shd w:val="clear" w:color="auto" w:fill="CCEEFF"/>
          </w:tcPr>
          <w:p>
            <w:pPr>
              <w:ind w:left="2780"/>
              <w:spacing w:after="0"/>
              <w:rPr>
                <w:sz w:val="20"/>
                <w:szCs w:val="20"/>
                <w:color w:val="auto"/>
              </w:rPr>
            </w:pPr>
            <w:r>
              <w:rPr>
                <w:rFonts w:ascii="Times New Roman" w:cs="Times New Roman" w:eastAsia="Times New Roman" w:hAnsi="Times New Roman"/>
                <w:sz w:val="16"/>
                <w:szCs w:val="16"/>
                <w:color w:val="auto"/>
              </w:rPr>
              <w:t>HTM</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w:t>
            </w:r>
          </w:p>
        </w:tc>
        <w:tc>
          <w:tcPr>
            <w:tcW w:w="2680" w:type="dxa"/>
            <w:vAlign w:val="bottom"/>
            <w:tcBorders>
              <w:top w:val="single" w:sz="8" w:color="CCEEFF"/>
            </w:tcBorders>
            <w:shd w:val="clear" w:color="auto" w:fill="CCEEFF"/>
          </w:tcPr>
          <w:p>
            <w:pPr>
              <w:spacing w:after="0"/>
              <w:rPr>
                <w:sz w:val="18"/>
                <w:szCs w:val="18"/>
                <w:color w:val="auto"/>
              </w:rPr>
            </w:pPr>
          </w:p>
        </w:tc>
      </w:tr>
      <w:tr>
        <w:trPr>
          <w:trHeight w:val="210"/>
        </w:trPr>
        <w:tc>
          <w:tcPr>
            <w:tcW w:w="482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AFS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9,868</w:t>
            </w:r>
          </w:p>
        </w:tc>
        <w:tc>
          <w:tcPr>
            <w:tcW w:w="26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The amortized cost and fair value of AFS and HTM debt securities at June 30, 2022, by contractual maturity, are presented in the following table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 Expected maturities may differ from contractual maturities because issuers and borrowers may have the right to call or prepay obligations.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AFS</w:t>
            </w: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HTM</w:t>
            </w:r>
          </w:p>
        </w:tc>
        <w:tc>
          <w:tcPr>
            <w:tcW w:w="1360" w:type="dxa"/>
            <w:vAlign w:val="bottom"/>
            <w:tcBorders>
              <w:bottom w:val="single" w:sz="8" w:color="auto"/>
            </w:tcBorders>
          </w:tcPr>
          <w:p>
            <w:pPr>
              <w:spacing w:after="0"/>
              <w:rPr>
                <w:sz w:val="18"/>
                <w:szCs w:val="18"/>
                <w:color w:val="auto"/>
              </w:rPr>
            </w:pPr>
          </w:p>
        </w:tc>
      </w:tr>
      <w:tr>
        <w:trPr>
          <w:trHeight w:val="211"/>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80" w:type="dxa"/>
            <w:vAlign w:val="bottom"/>
          </w:tcPr>
          <w:p>
            <w:pPr>
              <w:spacing w:after="0"/>
              <w:rPr>
                <w:sz w:val="18"/>
                <w:szCs w:val="18"/>
                <w:color w:val="auto"/>
              </w:rPr>
            </w:pPr>
          </w:p>
        </w:tc>
        <w:tc>
          <w:tcPr>
            <w:tcW w:w="13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0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5,225</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48,942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5,225</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1 to 5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14,716</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349,339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327,454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14,716</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 to 10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17,957</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44,222</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27,886</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13,319</w:t>
            </w:r>
          </w:p>
        </w:tc>
      </w:tr>
      <w:tr>
        <w:trPr>
          <w:trHeight w:val="212"/>
        </w:trPr>
        <w:tc>
          <w:tcPr>
            <w:tcW w:w="4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327,330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297,722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115,429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103,384</w:t>
            </w:r>
          </w:p>
        </w:tc>
      </w:tr>
      <w:tr>
        <w:trPr>
          <w:trHeight w:val="21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More than 10 years: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43,644</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199,470</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323,187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307,657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301,826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243,114</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not due at a single maturity date: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1,870,571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1,557,372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1,419,366</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788,840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733,052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728,209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645,333</w:t>
            </w:r>
          </w:p>
        </w:tc>
      </w:tr>
      <w:tr>
        <w:trPr>
          <w:trHeight w:val="219"/>
        </w:trPr>
        <w:tc>
          <w:tcPr>
            <w:tcW w:w="4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4,213,711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3,960,285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2,722,475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2,431,138</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Realized gains and losses are derived using the specific identification method for determining the cost of securities sold. The following table summarizes AFS securities sales activity for the three and six months ended June 30, 2022 and 2021 </w:t>
      </w:r>
      <w:r>
        <w:rPr>
          <w:rFonts w:ascii="Times New Roman" w:cs="Times New Roman" w:eastAsia="Times New Roman" w:hAnsi="Times New Roman"/>
          <w:sz w:val="18"/>
          <w:szCs w:val="18"/>
          <w:i w:val="1"/>
          <w:i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34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10"/>
        </w:trPr>
        <w:tc>
          <w:tcPr>
            <w:tcW w:w="5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36"/>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73,112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78,111</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78,111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realized gains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realized losses</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37"/>
        </w:trPr>
        <w:tc>
          <w:tcPr>
            <w:tcW w:w="5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gains (losses), net</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1"/>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 attributable to sales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Loans and Leases and Allowance for Credit Losses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Major classifications of the loan and lease portfolio (collectively referred to as the “loan portfolio” or “loans”) are summarized as of the dates indicated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5880" w:type="dxa"/>
            <w:vAlign w:val="bottom"/>
            <w:tcBorders>
              <w:top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2,681,022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2,321,685</w:t>
            </w:r>
          </w:p>
        </w:tc>
        <w:tc>
          <w:tcPr>
            <w:tcW w:w="1680" w:type="dxa"/>
            <w:vAlign w:val="bottom"/>
            <w:tcBorders>
              <w:top w:val="single" w:sz="8" w:color="CCEEFF"/>
            </w:tcBorders>
            <w:shd w:val="clear" w:color="auto" w:fill="CCEEFF"/>
          </w:tcPr>
          <w:p>
            <w:pPr>
              <w:spacing w:after="0"/>
              <w:rPr>
                <w:sz w:val="18"/>
                <w:szCs w:val="18"/>
                <w:color w:val="auto"/>
              </w:rPr>
            </w:pPr>
          </w:p>
        </w:tc>
      </w:tr>
      <w:tr>
        <w:trPr>
          <w:trHeight w:val="213"/>
        </w:trPr>
        <w:tc>
          <w:tcPr>
            <w:tcW w:w="58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3,273,527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2,600,858</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line="219" w:lineRule="exact"/>
              <w:rPr>
                <w:sz w:val="20"/>
                <w:szCs w:val="20"/>
                <w:color w:val="auto"/>
              </w:rPr>
            </w:pPr>
            <w:r>
              <w:rPr>
                <w:rFonts w:ascii="Times New Roman" w:cs="Times New Roman" w:eastAsia="Times New Roman" w:hAnsi="Times New Roman"/>
                <w:sz w:val="16"/>
                <w:szCs w:val="16"/>
                <w:color w:val="auto"/>
              </w:rPr>
              <w:t xml:space="preserve">Commercial &amp; industrial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2,252,919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1,910,162</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Commercial construction</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1,513,819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1,014,830</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Equipment financing</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1,210,842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1,083,021</w:t>
            </w:r>
          </w:p>
        </w:tc>
        <w:tc>
          <w:tcPr>
            <w:tcW w:w="1680" w:type="dxa"/>
            <w:vAlign w:val="bottom"/>
            <w:shd w:val="clear" w:color="auto" w:fill="CCEEFF"/>
          </w:tcPr>
          <w:p>
            <w:pPr>
              <w:spacing w:after="0"/>
              <w:rPr>
                <w:sz w:val="19"/>
                <w:szCs w:val="19"/>
                <w:color w:val="auto"/>
              </w:rPr>
            </w:pPr>
          </w:p>
        </w:tc>
      </w:tr>
      <w:tr>
        <w:trPr>
          <w:trHeight w:val="207"/>
        </w:trPr>
        <w:tc>
          <w:tcPr>
            <w:tcW w:w="588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Total commercial</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10,932,129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8,930,556</w:t>
            </w:r>
          </w:p>
        </w:tc>
        <w:tc>
          <w:tcPr>
            <w:tcW w:w="1680" w:type="dxa"/>
            <w:vAlign w:val="bottom"/>
          </w:tcPr>
          <w:p>
            <w:pPr>
              <w:spacing w:after="0"/>
              <w:rPr>
                <w:sz w:val="17"/>
                <w:szCs w:val="17"/>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Residential mortgage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1,996,902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1,637,885</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HELOC</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801,069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694,034</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359,815</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Manufactured housing</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jc w:val="right"/>
              <w:ind w:right="174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Consumer</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138,056</w:t>
            </w:r>
          </w:p>
        </w:tc>
        <w:tc>
          <w:tcPr>
            <w:tcW w:w="1680" w:type="dxa"/>
            <w:vAlign w:val="bottom"/>
            <w:shd w:val="clear" w:color="auto" w:fill="CCEEFF"/>
          </w:tcPr>
          <w:p>
            <w:pPr>
              <w:spacing w:after="0"/>
              <w:rPr>
                <w:sz w:val="19"/>
                <w:szCs w:val="19"/>
                <w:color w:val="auto"/>
              </w:rPr>
            </w:pPr>
          </w:p>
        </w:tc>
      </w:tr>
      <w:tr>
        <w:trPr>
          <w:trHeight w:val="207"/>
        </w:trPr>
        <w:tc>
          <w:tcPr>
            <w:tcW w:w="588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Total loans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14,541,230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11,760,346</w:t>
            </w:r>
          </w:p>
        </w:tc>
        <w:tc>
          <w:tcPr>
            <w:tcW w:w="1680" w:type="dxa"/>
            <w:vAlign w:val="bottom"/>
          </w:tcPr>
          <w:p>
            <w:pPr>
              <w:spacing w:after="0"/>
              <w:rPr>
                <w:sz w:val="17"/>
                <w:szCs w:val="17"/>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Less allowance for credit losses - loans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(102,532)</w:t>
            </w:r>
          </w:p>
        </w:tc>
        <w:tc>
          <w:tcPr>
            <w:tcW w:w="1680" w:type="dxa"/>
            <w:vAlign w:val="bottom"/>
            <w:shd w:val="clear" w:color="auto" w:fill="CCEEFF"/>
          </w:tcPr>
          <w:p>
            <w:pPr>
              <w:spacing w:after="0"/>
              <w:rPr>
                <w:sz w:val="19"/>
                <w:szCs w:val="19"/>
                <w:color w:val="auto"/>
              </w:rPr>
            </w:pPr>
          </w:p>
        </w:tc>
      </w:tr>
      <w:tr>
        <w:trPr>
          <w:trHeight w:val="209"/>
        </w:trPr>
        <w:tc>
          <w:tcPr>
            <w:tcW w:w="588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Loans,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14,404,305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11,657,814</w:t>
            </w:r>
          </w:p>
        </w:tc>
        <w:tc>
          <w:tcPr>
            <w:tcW w:w="1680" w:type="dxa"/>
            <w:vAlign w:val="bottom"/>
          </w:tcPr>
          <w:p>
            <w:pPr>
              <w:spacing w:after="0"/>
              <w:rPr>
                <w:sz w:val="18"/>
                <w:szCs w:val="18"/>
                <w:color w:val="auto"/>
              </w:rPr>
            </w:pPr>
          </w:p>
        </w:tc>
      </w:tr>
      <w:tr>
        <w:trPr>
          <w:trHeight w:val="21"/>
        </w:trPr>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59"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Commercial and industrial loans as of June 30, 2022 and December 31, 2021 included $9.96 million and $88.3 million of PPP loans, respectively.</w:t>
      </w:r>
    </w:p>
    <w:p>
      <w:pPr>
        <w:spacing w:after="0" w:line="2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Accrued interest receivable related to loans totaled $38.8 million and $28.5 million at June 30, 2022 and December 31, 2021, respectively, and was reported in other assets on the consolidated balance sheets. Accrued interest receivable was excluded from the estimate of credit losses.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June 30, 2022 and December 31, 2021, the loan portfolio was subject to blanket pledges on certain qualifying loan types with the FHLB and FRB to secure contingent funding sources.</w:t>
      </w:r>
    </w:p>
    <w:p>
      <w:pPr>
        <w:spacing w:after="0" w:line="18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The following table presents loans held for investment that were sold in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xml:space="preserve"> The gains on these loan sales were included in noninterest income on the consolidated statements of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294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8"/>
                <w:szCs w:val="18"/>
                <w:color w:val="auto"/>
              </w:rPr>
            </w:pPr>
          </w:p>
        </w:tc>
        <w:tc>
          <w:tcPr>
            <w:tcW w:w="268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3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39,119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43,648</w:t>
            </w:r>
          </w:p>
        </w:tc>
      </w:tr>
      <w:tr>
        <w:trPr>
          <w:trHeight w:val="21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20,541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43,977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19,967</w:t>
            </w:r>
          </w:p>
        </w:tc>
      </w:tr>
      <w:tr>
        <w:trPr>
          <w:trHeight w:val="237"/>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59,660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111,439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63,615</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At June 30, 2022 and December 31, 2021, equipment financing receivables included leases of $40.8 million and $37.7 million, respectively. The components of the net investment in leases, which included both sales-type and direct financing, are presented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2"/>
        </w:trPr>
        <w:tc>
          <w:tcPr>
            <w:tcW w:w="5760" w:type="dxa"/>
            <w:vAlign w:val="bottom"/>
            <w:tcBorders>
              <w:top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Minimum future lease payments receivable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39,962</w:t>
            </w:r>
          </w:p>
        </w:tc>
        <w:tc>
          <w:tcPr>
            <w:tcW w:w="1620" w:type="dxa"/>
            <w:vAlign w:val="bottom"/>
            <w:tcBorders>
              <w:top w:val="single" w:sz="8" w:color="CCEEFF"/>
            </w:tcBorders>
            <w:shd w:val="clear" w:color="auto" w:fill="CCEEFF"/>
          </w:tcPr>
          <w:p>
            <w:pPr>
              <w:spacing w:after="0"/>
              <w:rPr>
                <w:sz w:val="18"/>
                <w:szCs w:val="18"/>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Estimated residual value of leased equipment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Initial direct costs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Security deposits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620" w:type="dxa"/>
            <w:vAlign w:val="bottom"/>
          </w:tcPr>
          <w:p>
            <w:pPr>
              <w:spacing w:after="0"/>
              <w:rPr>
                <w:sz w:val="18"/>
                <w:szCs w:val="18"/>
                <w:color w:val="auto"/>
              </w:rPr>
            </w:pPr>
          </w:p>
        </w:tc>
      </w:tr>
      <w:tr>
        <w:trPr>
          <w:trHeight w:val="216"/>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Unearned income</w:t>
            </w: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(5,432)</w:t>
            </w:r>
          </w:p>
        </w:tc>
        <w:tc>
          <w:tcPr>
            <w:tcW w:w="1620" w:type="dxa"/>
            <w:vAlign w:val="bottom"/>
            <w:shd w:val="clear" w:color="auto" w:fill="CCEEFF"/>
          </w:tcPr>
          <w:p>
            <w:pPr>
              <w:spacing w:after="0"/>
              <w:rPr>
                <w:sz w:val="18"/>
                <w:szCs w:val="18"/>
                <w:color w:val="auto"/>
              </w:rPr>
            </w:pPr>
          </w:p>
        </w:tc>
      </w:tr>
      <w:tr>
        <w:trPr>
          <w:trHeight w:val="212"/>
        </w:trPr>
        <w:tc>
          <w:tcPr>
            <w:tcW w:w="576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Net investment in leases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40,835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37,728</w:t>
            </w:r>
          </w:p>
        </w:tc>
        <w:tc>
          <w:tcPr>
            <w:tcW w:w="162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Minimum future lease payments expected to be received from equipment financing lease contracts as of June 30, 2022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b w:val="1"/>
                <w:bCs w:val="1"/>
                <w:color w:val="auto"/>
              </w:rPr>
              <w:t>Year</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Remainder of 2022</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8,570</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2023</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14,332</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2024</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9,861</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6,434</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Borders>
              <w:bottom w:val="single" w:sz="8" w:color="CCEEFF"/>
            </w:tcBorders>
          </w:tcPr>
          <w:p>
            <w:pPr>
              <w:ind w:left="2700"/>
              <w:spacing w:after="0"/>
              <w:rPr>
                <w:sz w:val="20"/>
                <w:szCs w:val="20"/>
                <w:color w:val="auto"/>
              </w:rPr>
            </w:pPr>
            <w:r>
              <w:rPr>
                <w:rFonts w:ascii="Times New Roman" w:cs="Times New Roman" w:eastAsia="Times New Roman" w:hAnsi="Times New Roman"/>
                <w:sz w:val="16"/>
                <w:szCs w:val="16"/>
                <w:color w:val="auto"/>
              </w:rPr>
              <w:t>Thereafter</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2680" w:type="dxa"/>
            <w:vAlign w:val="bottom"/>
            <w:tcBorders>
              <w:bottom w:val="single" w:sz="8" w:color="CCEEFF"/>
            </w:tcBorders>
          </w:tcPr>
          <w:p>
            <w:pPr>
              <w:spacing w:after="0"/>
              <w:rPr>
                <w:sz w:val="18"/>
                <w:szCs w:val="18"/>
                <w:color w:val="auto"/>
              </w:rPr>
            </w:pPr>
          </w:p>
        </w:tc>
      </w:tr>
      <w:tr>
        <w:trPr>
          <w:trHeight w:val="237"/>
        </w:trPr>
        <w:tc>
          <w:tcPr>
            <w:tcW w:w="6980" w:type="dxa"/>
            <w:vAlign w:val="bottom"/>
            <w:tcBorders>
              <w:bottom w:val="single" w:sz="8" w:color="CCEEFF"/>
            </w:tcBorders>
            <w:shd w:val="clear" w:color="auto" w:fill="CCEEFF"/>
          </w:tcPr>
          <w:p>
            <w:pPr>
              <w:ind w:left="2900"/>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43,453</w:t>
            </w:r>
          </w:p>
        </w:tc>
        <w:tc>
          <w:tcPr>
            <w:tcW w:w="2680" w:type="dxa"/>
            <w:vAlign w:val="bottom"/>
            <w:tcBorders>
              <w:bottom w:val="single" w:sz="8" w:color="CCEEFF"/>
            </w:tcBorders>
            <w:shd w:val="clear" w:color="auto" w:fill="CCEEFF"/>
          </w:tcPr>
          <w:p>
            <w:pPr>
              <w:spacing w:after="0"/>
              <w:rPr>
                <w:sz w:val="20"/>
                <w:szCs w:val="20"/>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Nonaccrual and Past Due Loans HFI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aging of the amortized cost basis in loans by aging category and accrual status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Past due status is based on contractual terms of the loan. The accrual of interest is generally discontinued when a loan becomes 90 days past due.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Current Loans</w:t>
            </w: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2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140" w:type="dxa"/>
            <w:vAlign w:val="bottom"/>
          </w:tcPr>
          <w:p>
            <w:pPr>
              <w:spacing w:after="0"/>
              <w:rPr>
                <w:sz w:val="16"/>
                <w:szCs w:val="16"/>
                <w:color w:val="auto"/>
              </w:rPr>
            </w:pPr>
          </w:p>
        </w:tc>
        <w:tc>
          <w:tcPr>
            <w:tcW w:w="10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212"/>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2,676,851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2,681,022</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3,265,713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3,273,527</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2,247,664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2,252,919</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1,513,322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1,513,819</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1,210,842</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10,908,705</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5,221</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10,932,129</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1,996,902</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798,639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801,069</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381,545</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286,557</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142,584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143,028</w:t>
            </w:r>
          </w:p>
        </w:tc>
        <w:tc>
          <w:tcPr>
            <w:tcW w:w="0" w:type="dxa"/>
            <w:vAlign w:val="bottom"/>
          </w:tcPr>
          <w:p>
            <w:pPr>
              <w:spacing w:after="0"/>
              <w:rPr>
                <w:sz w:val="1"/>
                <w:szCs w:val="1"/>
                <w:color w:val="auto"/>
              </w:rPr>
            </w:pPr>
          </w:p>
        </w:tc>
      </w:tr>
      <w:tr>
        <w:trPr>
          <w:trHeight w:val="212"/>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14,493,011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13,028</w:t>
            </w:r>
          </w:p>
        </w:tc>
        <w:tc>
          <w:tcPr>
            <w:tcW w:w="1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33,143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14,541,230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2,318,944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2,321,685</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2,593,124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2,600,858</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1,903,730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1,910,162</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1,014,211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1,014,830</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1,083,021</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8,909,189</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8,930,556</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1,637,885</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691,814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694,034</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359,815</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138,056</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11,720,062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11,760,346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nonaccrual loans held for investment by loan class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Nonaccrual Loans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4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3"/>
                <w:szCs w:val="13"/>
                <w:color w:val="auto"/>
              </w:rPr>
            </w:pPr>
          </w:p>
        </w:tc>
        <w:tc>
          <w:tcPr>
            <w:tcW w:w="96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6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7,588</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5,429</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0" w:type="dxa"/>
            <w:vAlign w:val="bottom"/>
          </w:tcPr>
          <w:p>
            <w:pPr>
              <w:spacing w:after="0"/>
              <w:rPr>
                <w:sz w:val="1"/>
                <w:szCs w:val="1"/>
                <w:color w:val="auto"/>
              </w:rPr>
            </w:pPr>
          </w:p>
        </w:tc>
      </w:tr>
      <w:tr>
        <w:trPr>
          <w:trHeight w:val="207"/>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10,488</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6,467</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16,955</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5,086</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17,815</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13,313</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0"/>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33,143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32,812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nonaccrual loans with no related allowance consists of collateral dependent loans that have been individually evaluated by management and have been written down to net realizable value with the repayment of the loan expected to be provided substantially through the operation or sale of the underlying collateral.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Ratings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Pass. </w:t>
      </w:r>
      <w:r>
        <w:rPr>
          <w:rFonts w:ascii="Times New Roman" w:cs="Times New Roman" w:eastAsia="Times New Roman" w:hAnsi="Times New Roman"/>
          <w:sz w:val="18"/>
          <w:szCs w:val="18"/>
          <w:color w:val="auto"/>
        </w:rPr>
        <w:t>Loans in this category are considered to have a low probability of default and do not meet the criteria of the risk categories below.</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Special Mention. </w:t>
      </w:r>
      <w:r>
        <w:rPr>
          <w:rFonts w:ascii="Times New Roman" w:cs="Times New Roman" w:eastAsia="Times New Roman" w:hAnsi="Times New Roman"/>
          <w:sz w:val="18"/>
          <w:szCs w:val="18"/>
          <w:color w:val="auto"/>
        </w:rPr>
        <w:t>Loans in this category are presently protected from apparent loss; however, weaknesses exist that could cause future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Substandard. </w:t>
      </w:r>
      <w:r>
        <w:rPr>
          <w:rFonts w:ascii="Times New Roman" w:cs="Times New Roman" w:eastAsia="Times New Roman" w:hAnsi="Times New Roman"/>
          <w:sz w:val="18"/>
          <w:szCs w:val="18"/>
          <w:color w:val="auto"/>
        </w:rPr>
        <w:t>These loans are inadequately protected by the current net worth and paying capacity of the obligor or by the collateral pledged. Specific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Doubtful. </w:t>
      </w:r>
      <w:r>
        <w:rPr>
          <w:rFonts w:ascii="Times New Roman" w:cs="Times New Roman" w:eastAsia="Times New Roman" w:hAnsi="Times New Roman"/>
          <w:sz w:val="18"/>
          <w:szCs w:val="18"/>
          <w:color w:val="auto"/>
        </w:rPr>
        <w:t>Specific weaknesses characterized as Substandard that are severe enough to make collection in full highly questionable and improbable. There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reliable secondary source of full repayment.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Loans categorized as Loss have the same characteristics as Doubtful; however, probability of loss is certain. Loans classified as Loss are charged off.</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Equipment Financing Receivables and Consumer Purpose Loans. </w:t>
      </w:r>
      <w:r>
        <w:rPr>
          <w:rFonts w:ascii="Times New Roman" w:cs="Times New Roman" w:eastAsia="Times New Roman" w:hAnsi="Times New Roman"/>
          <w:sz w:val="18"/>
          <w:szCs w:val="18"/>
          <w:color w:val="auto"/>
        </w:rPr>
        <w:t>United applies a pass / fail grading system to all equipment financing receivables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 purpose loans. Under this system, loans that are on nonaccrual status, become past due 90 days, or are in bankruptcy are classified as “fail” and all other loans are classified as “pass”. For reporting purposes, loans in these categories that are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tables present the risk category of term loans by vintage year, which is the year of origination or most recent renewal, as of the date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3"/>
            <w:vMerge w:val="restart"/>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96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Pass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417,987</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701,620</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651,506</w:t>
            </w:r>
          </w:p>
        </w:tc>
        <w:tc>
          <w:tcPr>
            <w:tcW w:w="10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229,330</w:t>
            </w:r>
          </w:p>
        </w:tc>
        <w:tc>
          <w:tcPr>
            <w:tcW w:w="10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138,973</w:t>
            </w:r>
          </w:p>
        </w:tc>
        <w:tc>
          <w:tcPr>
            <w:tcW w:w="10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342,269</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108,735</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9,482</w:t>
            </w:r>
          </w:p>
        </w:tc>
        <w:tc>
          <w:tcPr>
            <w:tcW w:w="100" w:type="dxa"/>
            <w:vAlign w:val="bottom"/>
          </w:tcPr>
          <w:p>
            <w:pPr>
              <w:spacing w:after="0"/>
              <w:rPr>
                <w:sz w:val="12"/>
                <w:szCs w:val="12"/>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2,599,902</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433,518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837,176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789,317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347,162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193,782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2,989,412</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547,424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741,983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2,195,077</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367,865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529,102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1,468,401</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371,560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451,535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1,206,653</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1,874,313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3,066,857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2,235,374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974,850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521,360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793,840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967,884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10,459,445</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427,438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785,961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1,981,003</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783,057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798,955</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380,972</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Manufactured housing</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283,203</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41,947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41,537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20,867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27,193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142,903</w:t>
            </w: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2,549,792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4,144,045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2,666,761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1,118,113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619,900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1,125,004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1,778,143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44,723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14,046,481</w:t>
            </w:r>
          </w:p>
        </w:tc>
        <w:tc>
          <w:tcPr>
            <w:tcW w:w="0" w:type="dxa"/>
            <w:vAlign w:val="bottom"/>
          </w:tcPr>
          <w:p>
            <w:pPr>
              <w:spacing w:after="0"/>
              <w:rPr>
                <w:sz w:val="1"/>
                <w:szCs w:val="1"/>
                <w:color w:val="auto"/>
              </w:rPr>
            </w:pPr>
          </w:p>
        </w:tc>
      </w:tr>
      <w:tr>
        <w:trPr>
          <w:trHeight w:val="176"/>
        </w:trPr>
        <w:tc>
          <w:tcPr>
            <w:tcW w:w="2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Special Mention</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37,130</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53,231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66,817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20,289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22,192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208,674</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11,124</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27,877</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57,740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71,702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53,594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32,742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37,537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284,805</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Manufactured housing</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57,740</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71,702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53,594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32,742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37,537</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7,813</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284,805</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Substandard</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8,299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7,188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14,869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43,990</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75,441</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46,718</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17,541</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187,879</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15,899</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Manufactured housing</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96"/>
        </w:trPr>
        <w:tc>
          <w:tcPr>
            <w:tcW w:w="2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41,792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44,356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209,944</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2,654,655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4,186,306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2,749,132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1,194,935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694,434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1,206,897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1,803,919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14,541,230</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3"/>
            <w:vMerge w:val="restart"/>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60" w:type="dxa"/>
            <w:vAlign w:val="bottom"/>
          </w:tcPr>
          <w:p>
            <w:pPr>
              <w:spacing w:after="0"/>
              <w:rPr>
                <w:sz w:val="4"/>
                <w:szCs w:val="4"/>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Pr>
          <w:p>
            <w:pPr>
              <w:spacing w:after="0"/>
              <w:rPr>
                <w:sz w:val="4"/>
                <w:szCs w:val="4"/>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9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Pass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643,151</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674,124</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278,702</w:t>
            </w:r>
          </w:p>
        </w:tc>
        <w:tc>
          <w:tcPr>
            <w:tcW w:w="10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153,233</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139,584</w:t>
            </w:r>
          </w:p>
        </w:tc>
        <w:tc>
          <w:tcPr>
            <w:tcW w:w="10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267,460</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68,354</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17,150</w:t>
            </w:r>
          </w:p>
        </w:tc>
        <w:tc>
          <w:tcPr>
            <w:tcW w:w="100" w:type="dxa"/>
            <w:vAlign w:val="bottom"/>
          </w:tcPr>
          <w:p>
            <w:pPr>
              <w:spacing w:after="0"/>
              <w:rPr>
                <w:sz w:val="12"/>
                <w:szCs w:val="12"/>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2,241,758</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668,322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678,487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333,911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221,218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165,563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219,459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2,339,947</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514,750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1,866,524</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922,704</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563,618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1,080,737</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2,892,353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2,197,828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1,109,201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614,611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391,842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573,932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636,889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8,451,670</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781,007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1,620,143</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676,545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691,539</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359,021</w:t>
            </w:r>
          </w:p>
        </w:tc>
        <w:tc>
          <w:tcPr>
            <w:tcW w:w="0" w:type="dxa"/>
            <w:vAlign w:val="bottom"/>
          </w:tcPr>
          <w:p>
            <w:pPr>
              <w:spacing w:after="0"/>
              <w:rPr>
                <w:sz w:val="1"/>
                <w:szCs w:val="1"/>
                <w:color w:val="auto"/>
              </w:rPr>
            </w:pPr>
          </w:p>
        </w:tc>
      </w:tr>
      <w:tr>
        <w:trPr>
          <w:trHeight w:val="203"/>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57,530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137,859</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4,056,001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2,613,439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1,230,851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686,372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467,977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805,770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1,345,755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54,067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11,260,232</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Special Mention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7,772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16,639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4,374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6,007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40,946</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64,139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176,476</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9,023</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77,966</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87,231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48,922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49,742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304,411</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87,231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48,922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54,403</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49,742</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36,461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304,411</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Substandard</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11,987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4,216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38,981</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84,435</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34,615</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14,160</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174,475</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17,742</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203"/>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37,888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49,429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24,848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38,840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195,703</w:t>
            </w: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4,181,120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2,679,991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1,302,346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785,543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529,286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869,486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1,352,903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59,671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11,760,346</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17" w:right="49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Troubled Debt Restructurings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of June 30, 2022 and December 31, 2021, United had TDRs totaling $50.7 million and $52.4 million, respectively. Loans modified under the terms of a TDR during the three and six months ended June 30, 2022 and 2021 are presented in the following table. In addition, the table presents loans modified under the terms of a TDR that defaulted (became 90 days or more delinquent or otherwise in default of modified terms) during the periods presented and were initially restructured within one year prior to default </w:t>
      </w:r>
      <w:r>
        <w:rPr>
          <w:rFonts w:ascii="Times New Roman" w:cs="Times New Roman" w:eastAsia="Times New Roman" w:hAnsi="Times New Roman"/>
          <w:sz w:val="18"/>
          <w:szCs w:val="18"/>
          <w:i w:val="1"/>
          <w:iCs w:val="1"/>
          <w:color w:val="auto"/>
        </w:rPr>
        <w:t>(dollars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New TDRs</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TDRs Modified Within the Previous</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gridSpan w:val="3"/>
            <w:vMerge w:val="restart"/>
          </w:tcPr>
          <w:p>
            <w:pPr>
              <w:jc w:val="center"/>
              <w:ind w:left="253"/>
              <w:spacing w:after="0" w:line="135" w:lineRule="exact"/>
              <w:rPr>
                <w:sz w:val="20"/>
                <w:szCs w:val="20"/>
                <w:color w:val="auto"/>
              </w:rPr>
            </w:pPr>
            <w:r>
              <w:rPr>
                <w:rFonts w:ascii="Times New Roman" w:cs="Times New Roman" w:eastAsia="Times New Roman" w:hAnsi="Times New Roman"/>
                <w:sz w:val="13"/>
                <w:szCs w:val="13"/>
                <w:b w:val="1"/>
                <w:bCs w:val="1"/>
                <w:color w:val="auto"/>
              </w:rPr>
              <w:t>Twelve Months That Have</w:t>
            </w: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580" w:type="dxa"/>
            <w:vAlign w:val="bottom"/>
            <w:gridSpan w:val="11"/>
            <w:vMerge w:val="restart"/>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Post-Modification Amortized Cost by Type of Modification</w:t>
            </w:r>
          </w:p>
        </w:tc>
        <w:tc>
          <w:tcPr>
            <w:tcW w:w="100" w:type="dxa"/>
            <w:vAlign w:val="bottom"/>
            <w:vMerge w:val="restart"/>
          </w:tcPr>
          <w:p>
            <w:pPr>
              <w:spacing w:after="0"/>
              <w:rPr>
                <w:sz w:val="5"/>
                <w:szCs w:val="5"/>
                <w:color w:val="auto"/>
              </w:rPr>
            </w:pPr>
          </w:p>
        </w:tc>
        <w:tc>
          <w:tcPr>
            <w:tcW w:w="192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tcBorders>
              <w:bottom w:val="single" w:sz="8" w:color="auto"/>
            </w:tcBorders>
            <w:gridSpan w:val="11"/>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920" w:type="dxa"/>
            <w:vAlign w:val="bottom"/>
            <w:tcBorders>
              <w:bottom w:val="single" w:sz="8" w:color="auto"/>
            </w:tcBorders>
            <w:gridSpan w:val="3"/>
          </w:tcPr>
          <w:p>
            <w:pPr>
              <w:jc w:val="center"/>
              <w:ind w:left="253"/>
              <w:spacing w:after="0"/>
              <w:rPr>
                <w:sz w:val="20"/>
                <w:szCs w:val="20"/>
                <w:color w:val="auto"/>
              </w:rPr>
            </w:pPr>
            <w:r>
              <w:rPr>
                <w:rFonts w:ascii="Times New Roman" w:cs="Times New Roman" w:eastAsia="Times New Roman" w:hAnsi="Times New Roman"/>
                <w:sz w:val="13"/>
                <w:szCs w:val="13"/>
                <w:b w:val="1"/>
                <w:bCs w:val="1"/>
                <w:color w:val="auto"/>
              </w:rPr>
              <w:t>Subsequently Defaulted</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left="133"/>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Rate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Structure</w:t>
            </w:r>
          </w:p>
        </w:tc>
        <w:tc>
          <w:tcPr>
            <w:tcW w:w="22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40" w:type="dxa"/>
            <w:vAlign w:val="bottom"/>
          </w:tcPr>
          <w:p>
            <w:pPr>
              <w:spacing w:after="0"/>
              <w:rPr>
                <w:sz w:val="13"/>
                <w:szCs w:val="13"/>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6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Reduction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June 30, 2022</w:t>
            </w:r>
          </w:p>
        </w:tc>
        <w:tc>
          <w:tcPr>
            <w:tcW w:w="10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92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CCEEFF"/>
            </w:tcBorders>
          </w:tcPr>
          <w:p>
            <w:pPr>
              <w:spacing w:after="0"/>
              <w:rPr>
                <w:sz w:val="15"/>
                <w:szCs w:val="15"/>
                <w:color w:val="auto"/>
              </w:rPr>
            </w:pPr>
          </w:p>
        </w:tc>
        <w:tc>
          <w:tcPr>
            <w:tcW w:w="84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CCEEFF"/>
            </w:tcBorders>
          </w:tcPr>
          <w:p>
            <w:pPr>
              <w:spacing w:after="0"/>
              <w:rPr>
                <w:sz w:val="15"/>
                <w:szCs w:val="15"/>
                <w:color w:val="auto"/>
              </w:rPr>
            </w:pPr>
          </w:p>
        </w:tc>
        <w:tc>
          <w:tcPr>
            <w:tcW w:w="84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Owner occupied commercial real estate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Income producing commercial real estate</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Commercial construction</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Equipment financing</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11</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3,055</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Total commercial</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13</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3,570</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mortgage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HELOC</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construction</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Manufactured housing</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40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Total loans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17</w:t>
            </w:r>
          </w:p>
        </w:tc>
        <w:tc>
          <w:tcPr>
            <w:tcW w:w="120" w:type="dxa"/>
            <w:vAlign w:val="bottom"/>
          </w:tcPr>
          <w:p>
            <w:pPr>
              <w:spacing w:after="0"/>
              <w:rPr>
                <w:sz w:val="16"/>
                <w:szCs w:val="16"/>
                <w:color w:val="auto"/>
              </w:rPr>
            </w:pP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4,143</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4,143</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6"/>
                <w:szCs w:val="16"/>
                <w:color w:val="auto"/>
              </w:rPr>
            </w:pP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June 30, 2022</w:t>
            </w:r>
          </w:p>
        </w:tc>
        <w:tc>
          <w:tcPr>
            <w:tcW w:w="960" w:type="dxa"/>
            <w:vAlign w:val="bottom"/>
            <w:tcBorders>
              <w:bottom w:val="single" w:sz="8" w:color="CCEEFF"/>
            </w:tcBorders>
            <w:gridSpan w:val="2"/>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Owner occupied commercial real estate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Income producing commercial real estate</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Commercial construction</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Equipment financing</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27</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4,849</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Total commercial</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29</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5,364</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mortgage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HELOC</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construction</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Manufactured housing</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40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Total loans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40</w:t>
            </w:r>
          </w:p>
        </w:tc>
        <w:tc>
          <w:tcPr>
            <w:tcW w:w="120" w:type="dxa"/>
            <w:vAlign w:val="bottom"/>
          </w:tcPr>
          <w:p>
            <w:pPr>
              <w:spacing w:after="0"/>
              <w:rPr>
                <w:sz w:val="16"/>
                <w:szCs w:val="16"/>
                <w:color w:val="auto"/>
              </w:rPr>
            </w:pP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7,179</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7,185</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6"/>
                <w:szCs w:val="16"/>
                <w:color w:val="auto"/>
              </w:rPr>
            </w:pP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June 30, 2021</w:t>
            </w:r>
          </w:p>
        </w:tc>
        <w:tc>
          <w:tcPr>
            <w:tcW w:w="960" w:type="dxa"/>
            <w:vAlign w:val="bottom"/>
            <w:tcBorders>
              <w:bottom w:val="single" w:sz="8" w:color="CCEEFF"/>
            </w:tcBorders>
            <w:gridSpan w:val="2"/>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Owner occupied commercial real estate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Income producing commercial real estate</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Commercial construction</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Equipment financing</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Total commercial</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12</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1,612</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mortgage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HELOC</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construction</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9"/>
        </w:trPr>
        <w:tc>
          <w:tcPr>
            <w:tcW w:w="4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loans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17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June 30, 2021</w:t>
            </w:r>
          </w:p>
        </w:tc>
        <w:tc>
          <w:tcPr>
            <w:tcW w:w="960" w:type="dxa"/>
            <w:vAlign w:val="bottom"/>
            <w:gridSpan w:val="2"/>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Owner occupied commercial real estate</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10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producing commercial real estate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construction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Equipment financing</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36</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2,462</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45</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Residential mortgage</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HELOC</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Residential construction</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40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Total loans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51</w:t>
            </w:r>
          </w:p>
        </w:tc>
        <w:tc>
          <w:tcPr>
            <w:tcW w:w="120" w:type="dxa"/>
            <w:vAlign w:val="bottom"/>
          </w:tcPr>
          <w:p>
            <w:pPr>
              <w:spacing w:after="0"/>
              <w:rPr>
                <w:sz w:val="16"/>
                <w:szCs w:val="16"/>
                <w:color w:val="auto"/>
              </w:rPr>
            </w:pP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4,070</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w:t>
            </w:r>
          </w:p>
        </w:tc>
        <w:tc>
          <w:tcPr>
            <w:tcW w:w="10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5,870</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6"/>
                <w:szCs w:val="16"/>
                <w:color w:val="auto"/>
              </w:rPr>
            </w:pP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Allowance for Credit Losses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ACL for loans represents management’s estimate of life of loan credit losses in the portfolio as of the end of the period. The ACL related to unfunded commitments is included in other liabilities in the consolidated balance sheet.</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both June 30, 2022 and December 31, 2021, United used a one-year reasonable and supportable forecast period. Expected credit losses were estimated using a regression model for each segment based on historical data from peer banks combined with a third party vendor’s baseline economic forecast to predict the change in credit losses. These estimates were then combined with a starting value that was based on United’s recent default experience, with the results subject to a floor. At June 30, 2022, United applied qualitative factors to the model output for income producing commercial real estate and equipment finance portfolios. With regard to income producing commercial real estate, the qualitative factors reflected continued credit concerns related to the senior care portfolio, elevated criticized loans relative to the pre-pandemic period and inflationary concerns related to the impact of rising rates on commercial real estate values. Qualitative factors for the equipment finance portfolio reflected management’s approximation of long-term loss rates.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periods beyond the reasonable and supportable forecast period of one year, United reverted to historical credit loss information on a straight line basis over two years. For all collateral types excluding residential mortgage and manufactured housing, United reverted to through-the-cycle average default rates using peer data from 2000 to 2017. For loans secured by residential mortgages and manufactured housing, the peer data was adjusted to account for the changes in lending practices designed to prevent the magnitude of losses observed during the mortgage crisis.</w:t>
      </w:r>
    </w:p>
    <w:p>
      <w:pPr>
        <w:spacing w:after="0" w:line="207"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were considered low risk assets due to the related 100% guarantee by the SBA and were therefore excluded from the calculation.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balance and activity in the ACL by portfolio segment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15"/>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Three Months Ended June 30,</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5"/>
          </w:tcPr>
          <w:p>
            <w:pPr>
              <w:jc w:val="center"/>
              <w:ind w:right="80"/>
              <w:spacing w:after="0" w:line="146" w:lineRule="exact"/>
              <w:rPr>
                <w:sz w:val="20"/>
                <w:szCs w:val="20"/>
                <w:color w:val="auto"/>
              </w:rPr>
            </w:pPr>
            <w:r>
              <w:rPr>
                <w:rFonts w:ascii="Times New Roman" w:cs="Times New Roman" w:eastAsia="Times New Roman" w:hAnsi="Times New Roman"/>
                <w:sz w:val="16"/>
                <w:szCs w:val="16"/>
                <w:b w:val="1"/>
                <w:bCs w:val="1"/>
                <w:color w:val="auto"/>
                <w:w w:val="97"/>
              </w:rPr>
              <w:t>Beginning</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6"/>
                <w:szCs w:val="16"/>
                <w:b w:val="1"/>
                <w:bCs w:val="1"/>
                <w:color w:val="auto"/>
                <w:w w:val="96"/>
              </w:rPr>
              <w:t>Charge-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780" w:type="dxa"/>
            <w:vAlign w:val="bottom"/>
            <w:gridSpan w:val="4"/>
          </w:tcPr>
          <w:p>
            <w:pPr>
              <w:jc w:val="right"/>
              <w:ind w:right="6"/>
              <w:spacing w:after="0" w:line="146" w:lineRule="exact"/>
              <w:rPr>
                <w:sz w:val="20"/>
                <w:szCs w:val="20"/>
                <w:color w:val="auto"/>
              </w:rPr>
            </w:pPr>
            <w:r>
              <w:rPr>
                <w:rFonts w:ascii="Times New Roman" w:cs="Times New Roman" w:eastAsia="Times New Roman" w:hAnsi="Times New Roman"/>
                <w:sz w:val="16"/>
                <w:szCs w:val="16"/>
                <w:b w:val="1"/>
                <w:bCs w:val="1"/>
                <w:color w:val="auto"/>
              </w:rPr>
              <w:t>(Release)</w:t>
            </w:r>
          </w:p>
        </w:tc>
        <w:tc>
          <w:tcPr>
            <w:tcW w:w="80" w:type="dxa"/>
            <w:vAlign w:val="bottom"/>
          </w:tcPr>
          <w:p>
            <w:pPr>
              <w:spacing w:after="0"/>
              <w:rPr>
                <w:sz w:val="12"/>
                <w:szCs w:val="12"/>
                <w:color w:val="auto"/>
              </w:rPr>
            </w:pPr>
          </w:p>
        </w:tc>
        <w:tc>
          <w:tcPr>
            <w:tcW w:w="740" w:type="dxa"/>
            <w:vAlign w:val="bottom"/>
            <w:gridSpan w:val="3"/>
          </w:tcPr>
          <w:p>
            <w:pPr>
              <w:jc w:val="right"/>
              <w:ind w:right="26"/>
              <w:spacing w:after="0" w:line="146" w:lineRule="exact"/>
              <w:rPr>
                <w:sz w:val="20"/>
                <w:szCs w:val="20"/>
                <w:color w:val="auto"/>
              </w:rPr>
            </w:pPr>
            <w:r>
              <w:rPr>
                <w:rFonts w:ascii="Times New Roman" w:cs="Times New Roman" w:eastAsia="Times New Roman" w:hAnsi="Times New Roman"/>
                <w:sz w:val="16"/>
                <w:szCs w:val="16"/>
                <w:b w:val="1"/>
                <w:bCs w:val="1"/>
                <w:color w:val="auto"/>
              </w:rPr>
              <w:t>Ending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6"/>
          </w:tcPr>
          <w:p>
            <w:pPr>
              <w:jc w:val="center"/>
              <w:ind w:right="40"/>
              <w:spacing w:after="0" w:line="146" w:lineRule="exact"/>
              <w:rPr>
                <w:sz w:val="20"/>
                <w:szCs w:val="20"/>
                <w:color w:val="auto"/>
              </w:rPr>
            </w:pPr>
            <w:r>
              <w:rPr>
                <w:rFonts w:ascii="Times New Roman" w:cs="Times New Roman" w:eastAsia="Times New Roman" w:hAnsi="Times New Roman"/>
                <w:sz w:val="16"/>
                <w:szCs w:val="16"/>
                <w:b w:val="1"/>
                <w:bCs w:val="1"/>
                <w:color w:val="auto"/>
                <w:w w:val="97"/>
              </w:rPr>
              <w:t>Beginning</w:t>
            </w:r>
          </w:p>
        </w:tc>
        <w:tc>
          <w:tcPr>
            <w:tcW w:w="40" w:type="dxa"/>
            <w:vAlign w:val="bottom"/>
          </w:tcPr>
          <w:p>
            <w:pPr>
              <w:spacing w:after="0"/>
              <w:rPr>
                <w:sz w:val="12"/>
                <w:szCs w:val="12"/>
                <w:color w:val="auto"/>
              </w:rPr>
            </w:pPr>
          </w:p>
        </w:tc>
        <w:tc>
          <w:tcPr>
            <w:tcW w:w="720" w:type="dxa"/>
            <w:vAlign w:val="bottom"/>
            <w:gridSpan w:val="4"/>
          </w:tcPr>
          <w:p>
            <w:pPr>
              <w:jc w:val="right"/>
              <w:ind w:right="4"/>
              <w:spacing w:after="0" w:line="146" w:lineRule="exact"/>
              <w:rPr>
                <w:sz w:val="20"/>
                <w:szCs w:val="20"/>
                <w:color w:val="auto"/>
              </w:rPr>
            </w:pPr>
            <w:r>
              <w:rPr>
                <w:rFonts w:ascii="Times New Roman" w:cs="Times New Roman" w:eastAsia="Times New Roman" w:hAnsi="Times New Roman"/>
                <w:sz w:val="16"/>
                <w:szCs w:val="16"/>
                <w:b w:val="1"/>
                <w:bCs w:val="1"/>
                <w:color w:val="auto"/>
              </w:rPr>
              <w:t>Charge-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Recoveries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5"/>
          </w:tcPr>
          <w:p>
            <w:pPr>
              <w:jc w:val="right"/>
              <w:ind w:right="180"/>
              <w:spacing w:after="0" w:line="146" w:lineRule="exact"/>
              <w:rPr>
                <w:sz w:val="20"/>
                <w:szCs w:val="20"/>
                <w:color w:val="auto"/>
              </w:rPr>
            </w:pPr>
            <w:r>
              <w:rPr>
                <w:rFonts w:ascii="Times New Roman" w:cs="Times New Roman" w:eastAsia="Times New Roman" w:hAnsi="Times New Roman"/>
                <w:sz w:val="16"/>
                <w:szCs w:val="16"/>
                <w:b w:val="1"/>
                <w:bCs w:val="1"/>
                <w:color w:val="auto"/>
              </w:rPr>
              <w:t>(Release)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1"/>
              <w:spacing w:after="0" w:line="146" w:lineRule="exact"/>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212"/>
        </w:trPr>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Balance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Offs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5"/>
            <w:vMerge w:val="continue"/>
          </w:tcPr>
          <w:p>
            <w:pPr>
              <w:spacing w:after="0"/>
              <w:rPr>
                <w:sz w:val="18"/>
                <w:szCs w:val="18"/>
                <w:color w:val="auto"/>
              </w:rPr>
            </w:pPr>
          </w:p>
        </w:tc>
        <w:tc>
          <w:tcPr>
            <w:tcW w:w="780" w:type="dxa"/>
            <w:vAlign w:val="bottom"/>
            <w:gridSpan w:val="4"/>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80" w:type="dxa"/>
            <w:vAlign w:val="bottom"/>
          </w:tcPr>
          <w:p>
            <w:pPr>
              <w:spacing w:after="0"/>
              <w:rPr>
                <w:sz w:val="18"/>
                <w:szCs w:val="18"/>
                <w:color w:val="auto"/>
              </w:rPr>
            </w:pPr>
          </w:p>
        </w:tc>
        <w:tc>
          <w:tcPr>
            <w:tcW w:w="740" w:type="dxa"/>
            <w:vAlign w:val="bottom"/>
            <w:gridSpan w:val="3"/>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Balance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w w:val="95"/>
              </w:rPr>
              <w:t>Offs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0" w:type="dxa"/>
            <w:vAlign w:val="bottom"/>
          </w:tcPr>
          <w:p>
            <w:pPr>
              <w:spacing w:after="0"/>
              <w:rPr>
                <w:sz w:val="1"/>
                <w:szCs w:val="1"/>
                <w:color w:val="auto"/>
              </w:rPr>
            </w:pPr>
          </w:p>
        </w:tc>
      </w:tr>
      <w:tr>
        <w:trPr>
          <w:trHeight w:val="213"/>
        </w:trPr>
        <w:tc>
          <w:tcPr>
            <w:tcW w:w="2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15,945</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16,774</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gridSpan w:val="4"/>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19,282</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17,292</w:t>
            </w:r>
          </w:p>
        </w:tc>
        <w:tc>
          <w:tcPr>
            <w:tcW w:w="0" w:type="dxa"/>
            <w:vAlign w:val="bottom"/>
          </w:tcPr>
          <w:p>
            <w:pPr>
              <w:spacing w:after="0"/>
              <w:rPr>
                <w:sz w:val="1"/>
                <w:szCs w:val="1"/>
                <w:color w:val="auto"/>
              </w:rPr>
            </w:pPr>
          </w:p>
        </w:tc>
      </w:tr>
      <w:tr>
        <w:trPr>
          <w:trHeight w:val="211"/>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8"/>
              </w:rPr>
              <w:t>Income producing commercial real estate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33,539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33,284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ind w:right="5"/>
              <w:spacing w:after="0"/>
              <w:rPr>
                <w:sz w:val="20"/>
                <w:szCs w:val="20"/>
                <w:color w:val="auto"/>
              </w:rPr>
            </w:pPr>
            <w:r>
              <w:rPr>
                <w:rFonts w:ascii="Times New Roman" w:cs="Times New Roman" w:eastAsia="Times New Roman" w:hAnsi="Times New Roman"/>
                <w:sz w:val="16"/>
                <w:szCs w:val="16"/>
                <w:color w:val="auto"/>
                <w:w w:val="95"/>
              </w:rPr>
              <w:t>34,911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30,967</w:t>
            </w:r>
          </w:p>
        </w:tc>
        <w:tc>
          <w:tcPr>
            <w:tcW w:w="0" w:type="dxa"/>
            <w:vAlign w:val="bottom"/>
          </w:tcPr>
          <w:p>
            <w:pPr>
              <w:spacing w:after="0"/>
              <w:rPr>
                <w:sz w:val="1"/>
                <w:szCs w:val="1"/>
                <w:color w:val="auto"/>
              </w:rPr>
            </w:pPr>
          </w:p>
        </w:tc>
      </w:tr>
      <w:tr>
        <w:trPr>
          <w:trHeight w:val="221"/>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18,386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5"/>
              </w:rPr>
              <w:t>21,750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16,414</w:t>
            </w:r>
          </w:p>
        </w:tc>
        <w:tc>
          <w:tcPr>
            <w:tcW w:w="0" w:type="dxa"/>
            <w:vAlign w:val="bottom"/>
          </w:tcPr>
          <w:p>
            <w:pPr>
              <w:spacing w:after="0"/>
              <w:rPr>
                <w:sz w:val="1"/>
                <w:szCs w:val="1"/>
                <w:color w:val="auto"/>
              </w:rPr>
            </w:pPr>
          </w:p>
        </w:tc>
      </w:tr>
      <w:tr>
        <w:trPr>
          <w:trHeight w:val="211"/>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13,782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16,062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ind w:right="5"/>
              <w:spacing w:after="0"/>
              <w:rPr>
                <w:sz w:val="20"/>
                <w:szCs w:val="20"/>
                <w:color w:val="auto"/>
              </w:rPr>
            </w:pPr>
            <w:r>
              <w:rPr>
                <w:rFonts w:ascii="Times New Roman" w:cs="Times New Roman" w:eastAsia="Times New Roman" w:hAnsi="Times New Roman"/>
                <w:sz w:val="16"/>
                <w:szCs w:val="16"/>
                <w:color w:val="auto"/>
                <w:w w:val="95"/>
              </w:rPr>
              <w:t>10,572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0" w:type="dxa"/>
            <w:vAlign w:val="bottom"/>
          </w:tcPr>
          <w:p>
            <w:pPr>
              <w:spacing w:after="0"/>
              <w:rPr>
                <w:sz w:val="1"/>
                <w:szCs w:val="1"/>
                <w:color w:val="auto"/>
              </w:rPr>
            </w:pPr>
          </w:p>
        </w:tc>
      </w:tr>
      <w:tr>
        <w:trPr>
          <w:trHeight w:val="221"/>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19,264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5"/>
              </w:rPr>
              <w:t>17,200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18,100</w:t>
            </w:r>
          </w:p>
        </w:tc>
        <w:tc>
          <w:tcPr>
            <w:tcW w:w="0" w:type="dxa"/>
            <w:vAlign w:val="bottom"/>
          </w:tcPr>
          <w:p>
            <w:pPr>
              <w:spacing w:after="0"/>
              <w:rPr>
                <w:sz w:val="1"/>
                <w:szCs w:val="1"/>
                <w:color w:val="auto"/>
              </w:rPr>
            </w:pPr>
          </w:p>
        </w:tc>
      </w:tr>
      <w:tr>
        <w:trPr>
          <w:trHeight w:val="211"/>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14,964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17,035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ind w:right="5"/>
              <w:spacing w:after="0"/>
              <w:rPr>
                <w:sz w:val="20"/>
                <w:szCs w:val="20"/>
                <w:color w:val="auto"/>
              </w:rPr>
            </w:pPr>
            <w:r>
              <w:rPr>
                <w:rFonts w:ascii="Times New Roman" w:cs="Times New Roman" w:eastAsia="Times New Roman" w:hAnsi="Times New Roman"/>
                <w:sz w:val="16"/>
                <w:szCs w:val="16"/>
                <w:color w:val="auto"/>
                <w:w w:val="95"/>
              </w:rPr>
              <w:t>14,580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10,965</w:t>
            </w:r>
          </w:p>
        </w:tc>
        <w:tc>
          <w:tcPr>
            <w:tcW w:w="0" w:type="dxa"/>
            <w:vAlign w:val="bottom"/>
          </w:tcPr>
          <w:p>
            <w:pPr>
              <w:spacing w:after="0"/>
              <w:rPr>
                <w:sz w:val="1"/>
                <w:szCs w:val="1"/>
                <w:color w:val="auto"/>
              </w:rPr>
            </w:pPr>
          </w:p>
        </w:tc>
      </w:tr>
      <w:tr>
        <w:trPr>
          <w:trHeight w:val="221"/>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7,128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6,880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6,357</w:t>
            </w:r>
          </w:p>
        </w:tc>
        <w:tc>
          <w:tcPr>
            <w:tcW w:w="0" w:type="dxa"/>
            <w:vAlign w:val="bottom"/>
          </w:tcPr>
          <w:p>
            <w:pPr>
              <w:spacing w:after="0"/>
              <w:rPr>
                <w:sz w:val="1"/>
                <w:szCs w:val="1"/>
                <w:color w:val="auto"/>
              </w:rPr>
            </w:pPr>
          </w:p>
        </w:tc>
      </w:tr>
      <w:tr>
        <w:trPr>
          <w:trHeight w:val="211"/>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1,929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2,086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ind w:right="5"/>
              <w:spacing w:after="0"/>
              <w:rPr>
                <w:sz w:val="20"/>
                <w:szCs w:val="20"/>
                <w:color w:val="auto"/>
              </w:rPr>
            </w:pPr>
            <w:r>
              <w:rPr>
                <w:rFonts w:ascii="Times New Roman" w:cs="Times New Roman" w:eastAsia="Times New Roman" w:hAnsi="Times New Roman"/>
                <w:sz w:val="16"/>
                <w:szCs w:val="16"/>
                <w:color w:val="auto"/>
              </w:rPr>
              <w:t>1,362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0" w:type="dxa"/>
            <w:vAlign w:val="bottom"/>
          </w:tcPr>
          <w:p>
            <w:pPr>
              <w:spacing w:after="0"/>
              <w:rPr>
                <w:sz w:val="1"/>
                <w:szCs w:val="1"/>
                <w:color w:val="auto"/>
              </w:rPr>
            </w:pPr>
          </w:p>
        </w:tc>
      </w:tr>
      <w:tr>
        <w:trPr>
          <w:trHeight w:val="221"/>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7,083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785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(728)</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ind w:right="5"/>
              <w:spacing w:after="0"/>
              <w:rPr>
                <w:sz w:val="20"/>
                <w:szCs w:val="20"/>
                <w:color w:val="auto"/>
              </w:rPr>
            </w:pPr>
            <w:r>
              <w:rPr>
                <w:rFonts w:ascii="Times New Roman" w:cs="Times New Roman" w:eastAsia="Times New Roman" w:hAnsi="Times New Roman"/>
                <w:sz w:val="16"/>
                <w:szCs w:val="16"/>
                <w:color w:val="auto"/>
              </w:rPr>
              <w:t>329</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0" w:type="dxa"/>
            <w:vAlign w:val="bottom"/>
          </w:tcPr>
          <w:p>
            <w:pPr>
              <w:spacing w:after="0"/>
              <w:rPr>
                <w:sz w:val="1"/>
                <w:szCs w:val="1"/>
                <w:color w:val="auto"/>
              </w:rPr>
            </w:pPr>
          </w:p>
        </w:tc>
      </w:tr>
      <w:tr>
        <w:trPr>
          <w:trHeight w:val="214"/>
        </w:trPr>
        <w:tc>
          <w:tcPr>
            <w:tcW w:w="2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ACL - loans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132,805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(3,583)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126,866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(15,706)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111,616</w:t>
            </w:r>
          </w:p>
        </w:tc>
        <w:tc>
          <w:tcPr>
            <w:tcW w:w="0" w:type="dxa"/>
            <w:vAlign w:val="bottom"/>
          </w:tcPr>
          <w:p>
            <w:pPr>
              <w:spacing w:after="0"/>
              <w:rPr>
                <w:sz w:val="1"/>
                <w:szCs w:val="1"/>
                <w:color w:val="auto"/>
              </w:rPr>
            </w:pPr>
          </w:p>
        </w:tc>
      </w:tr>
      <w:tr>
        <w:trPr>
          <w:trHeight w:val="211"/>
        </w:trPr>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ACL - unfunded commitments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13,564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16,117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ind w:right="5"/>
              <w:spacing w:after="0"/>
              <w:rPr>
                <w:sz w:val="20"/>
                <w:szCs w:val="20"/>
                <w:color w:val="auto"/>
              </w:rPr>
            </w:pPr>
            <w:r>
              <w:rPr>
                <w:rFonts w:ascii="Times New Roman" w:cs="Times New Roman" w:eastAsia="Times New Roman" w:hAnsi="Times New Roman"/>
                <w:sz w:val="16"/>
                <w:szCs w:val="16"/>
                <w:color w:val="auto"/>
              </w:rPr>
              <w:t>8,726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10,844</w:t>
            </w:r>
          </w:p>
        </w:tc>
        <w:tc>
          <w:tcPr>
            <w:tcW w:w="0" w:type="dxa"/>
            <w:vAlign w:val="bottom"/>
          </w:tcPr>
          <w:p>
            <w:pPr>
              <w:spacing w:after="0"/>
              <w:rPr>
                <w:sz w:val="1"/>
                <w:szCs w:val="1"/>
                <w:color w:val="auto"/>
              </w:rPr>
            </w:pPr>
          </w:p>
        </w:tc>
      </w:tr>
      <w:tr>
        <w:trPr>
          <w:trHeight w:val="239"/>
        </w:trPr>
        <w:tc>
          <w:tcPr>
            <w:tcW w:w="26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146,369</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(3,583)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153,042</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gridSpan w:val="4"/>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135,592</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2,987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(13,588)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122,460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3"/>
          </w:tcPr>
          <w:p>
            <w:pPr>
              <w:ind w:left="100"/>
              <w:spacing w:after="0"/>
              <w:rPr>
                <w:sz w:val="20"/>
                <w:szCs w:val="20"/>
                <w:color w:val="auto"/>
              </w:rPr>
            </w:pPr>
            <w:r>
              <w:rPr>
                <w:rFonts w:ascii="Times New Roman" w:cs="Times New Roman" w:eastAsia="Times New Roman" w:hAnsi="Times New Roman"/>
                <w:sz w:val="16"/>
                <w:szCs w:val="16"/>
                <w:b w:val="1"/>
                <w:bCs w:val="1"/>
                <w:color w:val="auto"/>
                <w:w w:val="98"/>
              </w:rPr>
              <w:t>Six Months Ended June 30,</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6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940" w:type="dxa"/>
            <w:vAlign w:val="bottom"/>
            <w:gridSpan w:val="5"/>
          </w:tcPr>
          <w:p>
            <w:pPr>
              <w:jc w:val="center"/>
              <w:ind w:right="80"/>
              <w:spacing w:after="0" w:line="148" w:lineRule="exact"/>
              <w:rPr>
                <w:sz w:val="20"/>
                <w:szCs w:val="20"/>
                <w:color w:val="auto"/>
              </w:rPr>
            </w:pPr>
            <w:r>
              <w:rPr>
                <w:rFonts w:ascii="Times New Roman" w:cs="Times New Roman" w:eastAsia="Times New Roman" w:hAnsi="Times New Roman"/>
                <w:sz w:val="16"/>
                <w:szCs w:val="16"/>
                <w:b w:val="1"/>
                <w:bCs w:val="1"/>
                <w:color w:val="auto"/>
                <w:w w:val="97"/>
              </w:rPr>
              <w:t>Initial ACL</w:t>
            </w:r>
          </w:p>
        </w:tc>
        <w:tc>
          <w:tcPr>
            <w:tcW w:w="20" w:type="dxa"/>
            <w:vAlign w:val="bottom"/>
          </w:tcPr>
          <w:p>
            <w:pPr>
              <w:spacing w:after="0"/>
              <w:rPr>
                <w:sz w:val="12"/>
                <w:szCs w:val="12"/>
                <w:color w:val="auto"/>
              </w:rPr>
            </w:pPr>
          </w:p>
        </w:tc>
        <w:tc>
          <w:tcPr>
            <w:tcW w:w="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Charge-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(Release)</w:t>
            </w:r>
          </w:p>
        </w:tc>
        <w:tc>
          <w:tcPr>
            <w:tcW w:w="80" w:type="dxa"/>
            <w:vAlign w:val="bottom"/>
          </w:tcPr>
          <w:p>
            <w:pPr>
              <w:spacing w:after="0"/>
              <w:rPr>
                <w:sz w:val="12"/>
                <w:szCs w:val="12"/>
                <w:color w:val="auto"/>
              </w:rPr>
            </w:pPr>
          </w:p>
        </w:tc>
        <w:tc>
          <w:tcPr>
            <w:tcW w:w="6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11"/>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Charge-</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(Release)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6"/>
              </w:rPr>
              <w:t>Ending</w:t>
            </w:r>
          </w:p>
        </w:tc>
        <w:tc>
          <w:tcPr>
            <w:tcW w:w="0" w:type="dxa"/>
            <w:vAlign w:val="bottom"/>
          </w:tcPr>
          <w:p>
            <w:pPr>
              <w:spacing w:after="0"/>
              <w:rPr>
                <w:sz w:val="1"/>
                <w:szCs w:val="1"/>
                <w:color w:val="auto"/>
              </w:rPr>
            </w:pPr>
          </w:p>
        </w:tc>
      </w:tr>
      <w:tr>
        <w:trPr>
          <w:trHeight w:val="115"/>
        </w:trPr>
        <w:tc>
          <w:tcPr>
            <w:tcW w:w="26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4"/>
            <w:vMerge w:val="continue"/>
          </w:tcPr>
          <w:p>
            <w:pPr>
              <w:spacing w:after="0"/>
              <w:rPr>
                <w:sz w:val="9"/>
                <w:szCs w:val="9"/>
                <w:color w:val="auto"/>
              </w:rPr>
            </w:pPr>
          </w:p>
        </w:tc>
        <w:tc>
          <w:tcPr>
            <w:tcW w:w="940" w:type="dxa"/>
            <w:vAlign w:val="bottom"/>
            <w:gridSpan w:val="5"/>
          </w:tcPr>
          <w:p>
            <w:pPr>
              <w:jc w:val="center"/>
              <w:ind w:right="60"/>
              <w:spacing w:after="0" w:line="114" w:lineRule="exact"/>
              <w:rPr>
                <w:sz w:val="20"/>
                <w:szCs w:val="20"/>
                <w:color w:val="auto"/>
              </w:rPr>
            </w:pPr>
            <w:r>
              <w:rPr>
                <w:rFonts w:ascii="Times New Roman" w:cs="Times New Roman" w:eastAsia="Times New Roman" w:hAnsi="Times New Roman"/>
                <w:sz w:val="13"/>
                <w:szCs w:val="13"/>
                <w:b w:val="1"/>
                <w:bCs w:val="1"/>
                <w:color w:val="auto"/>
              </w:rPr>
              <w:t>- PCD loans</w:t>
            </w:r>
          </w:p>
        </w:tc>
        <w:tc>
          <w:tcPr>
            <w:tcW w:w="2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8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11"/>
            <w:vMerge w:val="continue"/>
          </w:tcPr>
          <w:p>
            <w:pPr>
              <w:spacing w:after="0"/>
              <w:rPr>
                <w:sz w:val="9"/>
                <w:szCs w:val="9"/>
                <w:color w:val="auto"/>
              </w:rPr>
            </w:pPr>
          </w:p>
        </w:tc>
        <w:tc>
          <w:tcPr>
            <w:tcW w:w="84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6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gridSpan w:val="4"/>
          </w:tcPr>
          <w:p>
            <w:pPr>
              <w:ind w:left="80"/>
              <w:spacing w:after="0" w:line="100" w:lineRule="exact"/>
              <w:rPr>
                <w:sz w:val="20"/>
                <w:szCs w:val="20"/>
                <w:color w:val="auto"/>
              </w:rPr>
            </w:pPr>
            <w:r>
              <w:rPr>
                <w:rFonts w:ascii="Times New Roman" w:cs="Times New Roman" w:eastAsia="Times New Roman" w:hAnsi="Times New Roman"/>
                <w:sz w:val="11"/>
                <w:szCs w:val="11"/>
                <w:b w:val="1"/>
                <w:bCs w:val="1"/>
                <w:color w:val="auto"/>
              </w:rPr>
              <w:t>Balance</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center"/>
              <w:ind w:right="182"/>
              <w:spacing w:after="0"/>
              <w:rPr>
                <w:sz w:val="20"/>
                <w:szCs w:val="20"/>
                <w:color w:val="auto"/>
              </w:rPr>
            </w:pPr>
            <w:r>
              <w:rPr>
                <w:rFonts w:ascii="Times New Roman" w:cs="Times New Roman" w:eastAsia="Times New Roman" w:hAnsi="Times New Roman"/>
                <w:sz w:val="10"/>
                <w:szCs w:val="10"/>
                <w:b w:val="1"/>
                <w:bCs w:val="1"/>
                <w:color w:val="auto"/>
              </w:rPr>
              <w:t>(1)</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right"/>
              <w:ind w:right="81"/>
              <w:spacing w:after="0" w:line="100" w:lineRule="exact"/>
              <w:rPr>
                <w:sz w:val="20"/>
                <w:szCs w:val="20"/>
                <w:color w:val="auto"/>
              </w:rPr>
            </w:pPr>
            <w:r>
              <w:rPr>
                <w:rFonts w:ascii="Times New Roman" w:cs="Times New Roman" w:eastAsia="Times New Roman" w:hAnsi="Times New Roman"/>
                <w:sz w:val="11"/>
                <w:szCs w:val="11"/>
                <w:b w:val="1"/>
                <w:bCs w:val="1"/>
                <w:color w:val="auto"/>
              </w:rPr>
              <w:t>Offs</w:t>
            </w:r>
          </w:p>
        </w:tc>
        <w:tc>
          <w:tcPr>
            <w:tcW w:w="8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3"/>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Provision</w:t>
            </w:r>
          </w:p>
        </w:tc>
        <w:tc>
          <w:tcPr>
            <w:tcW w:w="80" w:type="dxa"/>
            <w:vAlign w:val="bottom"/>
          </w:tcPr>
          <w:p>
            <w:pPr>
              <w:spacing w:after="0"/>
              <w:rPr>
                <w:sz w:val="8"/>
                <w:szCs w:val="8"/>
                <w:color w:val="auto"/>
              </w:rPr>
            </w:pPr>
          </w:p>
        </w:tc>
        <w:tc>
          <w:tcPr>
            <w:tcW w:w="640" w:type="dxa"/>
            <w:vAlign w:val="bottom"/>
            <w:gridSpan w:val="5"/>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Balance</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4"/>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Balance</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5"/>
          </w:tcPr>
          <w:p>
            <w:pPr>
              <w:ind w:left="160"/>
              <w:spacing w:after="0" w:line="100" w:lineRule="exact"/>
              <w:rPr>
                <w:sz w:val="20"/>
                <w:szCs w:val="20"/>
                <w:color w:val="auto"/>
              </w:rPr>
            </w:pPr>
            <w:r>
              <w:rPr>
                <w:rFonts w:ascii="Times New Roman" w:cs="Times New Roman" w:eastAsia="Times New Roman" w:hAnsi="Times New Roman"/>
                <w:sz w:val="11"/>
                <w:szCs w:val="11"/>
                <w:b w:val="1"/>
                <w:bCs w:val="1"/>
                <w:color w:val="auto"/>
              </w:rPr>
              <w:t>Offs</w:t>
            </w:r>
          </w:p>
        </w:tc>
        <w:tc>
          <w:tcPr>
            <w:tcW w:w="840" w:type="dxa"/>
            <w:vAlign w:val="bottom"/>
            <w:gridSpan w:val="6"/>
            <w:vMerge w:val="continue"/>
          </w:tcPr>
          <w:p>
            <w:pPr>
              <w:spacing w:after="0"/>
              <w:rPr>
                <w:sz w:val="8"/>
                <w:szCs w:val="8"/>
                <w:color w:val="auto"/>
              </w:rPr>
            </w:pPr>
          </w:p>
        </w:tc>
        <w:tc>
          <w:tcPr>
            <w:tcW w:w="680" w:type="dxa"/>
            <w:vAlign w:val="bottom"/>
            <w:gridSpan w:val="3"/>
          </w:tcPr>
          <w:p>
            <w:pPr>
              <w:jc w:val="right"/>
              <w:ind w:right="20"/>
              <w:spacing w:after="0" w:line="100" w:lineRule="exact"/>
              <w:rPr>
                <w:sz w:val="20"/>
                <w:szCs w:val="20"/>
                <w:color w:val="auto"/>
              </w:rPr>
            </w:pPr>
            <w:r>
              <w:rPr>
                <w:rFonts w:ascii="Times New Roman" w:cs="Times New Roman" w:eastAsia="Times New Roman" w:hAnsi="Times New Roman"/>
                <w:sz w:val="11"/>
                <w:szCs w:val="11"/>
                <w:b w:val="1"/>
                <w:bCs w:val="1"/>
                <w:color w:val="auto"/>
              </w:rPr>
              <w:t>Provision</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right"/>
              <w:ind w:right="1"/>
              <w:spacing w:after="0" w:line="100" w:lineRule="exact"/>
              <w:rPr>
                <w:sz w:val="20"/>
                <w:szCs w:val="20"/>
                <w:color w:val="auto"/>
              </w:rPr>
            </w:pPr>
            <w:r>
              <w:rPr>
                <w:rFonts w:ascii="Times New Roman" w:cs="Times New Roman" w:eastAsia="Times New Roman" w:hAnsi="Times New Roman"/>
                <w:sz w:val="11"/>
                <w:szCs w:val="11"/>
                <w:b w:val="1"/>
                <w:bCs w:val="1"/>
                <w:color w:val="auto"/>
              </w:rPr>
              <w:t>Balance</w:t>
            </w:r>
          </w:p>
        </w:tc>
        <w:tc>
          <w:tcPr>
            <w:tcW w:w="0" w:type="dxa"/>
            <w:vAlign w:val="bottom"/>
          </w:tcPr>
          <w:p>
            <w:pPr>
              <w:spacing w:after="0"/>
              <w:rPr>
                <w:sz w:val="1"/>
                <w:szCs w:val="1"/>
                <w:color w:val="auto"/>
              </w:rPr>
            </w:pPr>
          </w:p>
        </w:tc>
      </w:tr>
      <w:tr>
        <w:trPr>
          <w:trHeight w:val="33"/>
        </w:trPr>
        <w:tc>
          <w:tcPr>
            <w:tcW w:w="3700" w:type="dxa"/>
            <w:vAlign w:val="bottom"/>
            <w:gridSpan w:val="9"/>
          </w:tcPr>
          <w:p>
            <w:pPr>
              <w:spacing w:after="0"/>
              <w:rPr>
                <w:sz w:val="2"/>
                <w:szCs w:val="2"/>
                <w:color w:val="auto"/>
              </w:rPr>
            </w:pPr>
          </w:p>
        </w:tc>
        <w:tc>
          <w:tcPr>
            <w:tcW w:w="580" w:type="dxa"/>
            <w:vAlign w:val="bottom"/>
            <w:vMerge w:val="continue"/>
          </w:tcPr>
          <w:p>
            <w:pPr>
              <w:spacing w:after="0"/>
              <w:rPr>
                <w:sz w:val="2"/>
                <w:szCs w:val="2"/>
                <w:color w:val="auto"/>
              </w:rPr>
            </w:pPr>
          </w:p>
        </w:tc>
        <w:tc>
          <w:tcPr>
            <w:tcW w:w="6960" w:type="dxa"/>
            <w:vAlign w:val="bottom"/>
            <w:gridSpan w:val="4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5"/>
        </w:trPr>
        <w:tc>
          <w:tcPr>
            <w:tcW w:w="262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gridSpan w:val="4"/>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gridSpan w:val="4"/>
          </w:tcPr>
          <w:p>
            <w:pPr>
              <w:spacing w:after="0"/>
              <w:rPr>
                <w:sz w:val="6"/>
                <w:szCs w:val="6"/>
                <w:color w:val="auto"/>
              </w:rPr>
            </w:pPr>
          </w:p>
        </w:tc>
        <w:tc>
          <w:tcPr>
            <w:tcW w:w="100" w:type="dxa"/>
            <w:vAlign w:val="bottom"/>
            <w:tcBorders>
              <w:bottom w:val="single" w:sz="8" w:color="CCEEFF"/>
            </w:tcBorders>
            <w:gridSpan w:val="2"/>
          </w:tcPr>
          <w:p>
            <w:pPr>
              <w:spacing w:after="0"/>
              <w:rPr>
                <w:sz w:val="6"/>
                <w:szCs w:val="6"/>
                <w:color w:val="auto"/>
              </w:rPr>
            </w:pPr>
          </w:p>
        </w:tc>
        <w:tc>
          <w:tcPr>
            <w:tcW w:w="580" w:type="dxa"/>
            <w:vAlign w:val="bottom"/>
            <w:tcBorders>
              <w:bottom w:val="single" w:sz="8" w:color="auto"/>
            </w:tcBorders>
            <w:gridSpan w:val="3"/>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780" w:type="dxa"/>
            <w:vAlign w:val="bottom"/>
            <w:tcBorders>
              <w:bottom w:val="single" w:sz="8" w:color="auto"/>
            </w:tcBorders>
            <w:gridSpan w:val="4"/>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gridSpan w:val="3"/>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gridSpan w:val="6"/>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gridSpan w:val="5"/>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gridSpan w:val="4"/>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760" w:type="dxa"/>
            <w:vAlign w:val="bottom"/>
            <w:tcBorders>
              <w:bottom w:val="single" w:sz="8" w:color="auto"/>
            </w:tcBorders>
            <w:gridSpan w:val="5"/>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gridSpan w:val="4"/>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62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5"/>
                <w:szCs w:val="15"/>
                <w:color w:val="auto"/>
              </w:rPr>
              <w:t>Owner occupied commercial real</w:t>
            </w:r>
          </w:p>
        </w:tc>
        <w:tc>
          <w:tcPr>
            <w:tcW w:w="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14,282</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shd w:val="clear" w:color="auto" w:fill="CCEEFF"/>
          </w:tcPr>
          <w:p>
            <w:pPr>
              <w:spacing w:after="0"/>
              <w:rPr>
                <w:sz w:val="11"/>
                <w:szCs w:val="11"/>
                <w:color w:val="auto"/>
              </w:rPr>
            </w:pPr>
          </w:p>
        </w:tc>
        <w:tc>
          <w:tcPr>
            <w:tcW w:w="2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1,541</w:t>
            </w:r>
          </w:p>
        </w:tc>
        <w:tc>
          <w:tcPr>
            <w:tcW w:w="260" w:type="dxa"/>
            <w:vAlign w:val="bottom"/>
            <w:gridSpan w:val="2"/>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720" w:type="dxa"/>
            <w:vAlign w:val="bottom"/>
            <w:gridSpan w:val="6"/>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$ 16,774</w:t>
            </w:r>
          </w:p>
        </w:tc>
        <w:tc>
          <w:tcPr>
            <w:tcW w:w="800" w:type="dxa"/>
            <w:vAlign w:val="bottom"/>
            <w:gridSpan w:val="6"/>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20,673</w:t>
            </w:r>
          </w:p>
        </w:tc>
        <w:tc>
          <w:tcPr>
            <w:tcW w:w="520" w:type="dxa"/>
            <w:vAlign w:val="bottom"/>
            <w:gridSpan w:val="3"/>
            <w:vMerge w:val="restart"/>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(3,776)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17,292</w:t>
            </w:r>
          </w:p>
        </w:tc>
        <w:tc>
          <w:tcPr>
            <w:tcW w:w="0" w:type="dxa"/>
            <w:vAlign w:val="bottom"/>
          </w:tcPr>
          <w:p>
            <w:pPr>
              <w:spacing w:after="0"/>
              <w:rPr>
                <w:sz w:val="1"/>
                <w:szCs w:val="1"/>
                <w:color w:val="auto"/>
              </w:rPr>
            </w:pPr>
          </w:p>
        </w:tc>
      </w:tr>
      <w:tr>
        <w:trPr>
          <w:trHeight w:val="21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estate</w:t>
            </w: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720" w:type="dxa"/>
            <w:vAlign w:val="bottom"/>
            <w:gridSpan w:val="6"/>
            <w:vMerge w:val="continue"/>
            <w:shd w:val="clear" w:color="auto" w:fill="CCEEFF"/>
          </w:tcPr>
          <w:p>
            <w:pPr>
              <w:spacing w:after="0"/>
              <w:rPr>
                <w:sz w:val="18"/>
                <w:szCs w:val="18"/>
                <w:color w:val="auto"/>
              </w:rPr>
            </w:pPr>
          </w:p>
        </w:tc>
        <w:tc>
          <w:tcPr>
            <w:tcW w:w="800" w:type="dxa"/>
            <w:vAlign w:val="bottom"/>
            <w:gridSpan w:val="6"/>
            <w:vMerge w:val="continue"/>
            <w:shd w:val="clear" w:color="auto" w:fill="CCEEFF"/>
          </w:tcPr>
          <w:p>
            <w:pPr>
              <w:spacing w:after="0"/>
              <w:rPr>
                <w:sz w:val="18"/>
                <w:szCs w:val="18"/>
                <w:color w:val="auto"/>
              </w:rPr>
            </w:pPr>
          </w:p>
        </w:tc>
        <w:tc>
          <w:tcPr>
            <w:tcW w:w="520" w:type="dxa"/>
            <w:vAlign w:val="bottom"/>
            <w:gridSpan w:val="3"/>
            <w:vMerge w:val="continue"/>
            <w:shd w:val="clear" w:color="auto" w:fill="CCEEFF"/>
          </w:tcPr>
          <w:p>
            <w:pPr>
              <w:spacing w:after="0"/>
              <w:rPr>
                <w:sz w:val="18"/>
                <w:szCs w:val="18"/>
                <w:color w:val="auto"/>
              </w:rPr>
            </w:pPr>
          </w:p>
        </w:tc>
        <w:tc>
          <w:tcPr>
            <w:tcW w:w="24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4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64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6"/>
                <w:szCs w:val="16"/>
                <w:color w:val="auto"/>
              </w:rPr>
              <w:t>Income producing commercial real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5"/>
              </w:rPr>
              <w:t>24,156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406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7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6"/>
                <w:szCs w:val="16"/>
                <w:color w:val="auto"/>
              </w:rPr>
              <w:t>33,284</w:t>
            </w:r>
          </w:p>
        </w:tc>
        <w:tc>
          <w:tcPr>
            <w:tcW w:w="8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6"/>
                <w:szCs w:val="16"/>
                <w:color w:val="auto"/>
              </w:rPr>
              <w:t>41,737</w:t>
            </w:r>
          </w:p>
        </w:tc>
        <w:tc>
          <w:tcPr>
            <w:tcW w:w="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80" w:type="dxa"/>
            <w:vAlign w:val="bottom"/>
          </w:tcPr>
          <w:p>
            <w:pPr>
              <w:spacing w:after="0"/>
              <w:rPr>
                <w:sz w:val="13"/>
                <w:szCs w:val="13"/>
                <w:color w:val="auto"/>
              </w:rPr>
            </w:pP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(9,940)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30,967</w:t>
            </w:r>
          </w:p>
        </w:tc>
        <w:tc>
          <w:tcPr>
            <w:tcW w:w="0" w:type="dxa"/>
            <w:vAlign w:val="bottom"/>
          </w:tcPr>
          <w:p>
            <w:pPr>
              <w:spacing w:after="0"/>
              <w:rPr>
                <w:sz w:val="1"/>
                <w:szCs w:val="1"/>
                <w:color w:val="auto"/>
              </w:rPr>
            </w:pPr>
          </w:p>
        </w:tc>
      </w:tr>
      <w:tr>
        <w:trPr>
          <w:trHeight w:val="20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estate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720" w:type="dxa"/>
            <w:vAlign w:val="bottom"/>
            <w:gridSpan w:val="6"/>
            <w:vMerge w:val="continue"/>
          </w:tcPr>
          <w:p>
            <w:pPr>
              <w:spacing w:after="0"/>
              <w:rPr>
                <w:sz w:val="18"/>
                <w:szCs w:val="18"/>
                <w:color w:val="auto"/>
              </w:rPr>
            </w:pPr>
          </w:p>
        </w:tc>
        <w:tc>
          <w:tcPr>
            <w:tcW w:w="800" w:type="dxa"/>
            <w:vAlign w:val="bottom"/>
            <w:gridSpan w:val="6"/>
            <w:vMerge w:val="continue"/>
          </w:tcPr>
          <w:p>
            <w:pPr>
              <w:spacing w:after="0"/>
              <w:rPr>
                <w:sz w:val="18"/>
                <w:szCs w:val="18"/>
                <w:color w:val="auto"/>
              </w:rPr>
            </w:pPr>
          </w:p>
        </w:tc>
        <w:tc>
          <w:tcPr>
            <w:tcW w:w="76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16,592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w:t>
            </w:r>
          </w:p>
        </w:tc>
        <w:tc>
          <w:tcPr>
            <w:tcW w:w="8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7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18,267</w:t>
            </w:r>
          </w:p>
        </w:tc>
        <w:tc>
          <w:tcPr>
            <w:tcW w:w="8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22,019</w:t>
            </w:r>
          </w:p>
        </w:tc>
        <w:tc>
          <w:tcPr>
            <w:tcW w:w="7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6,444</w:t>
            </w:r>
          </w:p>
        </w:tc>
        <w:tc>
          <w:tcPr>
            <w:tcW w:w="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16,414</w:t>
            </w:r>
          </w:p>
        </w:tc>
        <w:tc>
          <w:tcPr>
            <w:tcW w:w="0" w:type="dxa"/>
            <w:vAlign w:val="bottom"/>
          </w:tcPr>
          <w:p>
            <w:pPr>
              <w:spacing w:after="0"/>
              <w:rPr>
                <w:sz w:val="1"/>
                <w:szCs w:val="1"/>
                <w:color w:val="auto"/>
              </w:rPr>
            </w:pPr>
          </w:p>
        </w:tc>
      </w:tr>
      <w:tr>
        <w:trPr>
          <w:trHeight w:val="211"/>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72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16,062</w:t>
            </w:r>
          </w:p>
        </w:tc>
        <w:tc>
          <w:tcPr>
            <w:tcW w:w="80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10,952</w:t>
            </w:r>
          </w:p>
        </w:tc>
        <w:tc>
          <w:tcPr>
            <w:tcW w:w="7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0" w:type="dxa"/>
            <w:vAlign w:val="bottom"/>
          </w:tcPr>
          <w:p>
            <w:pPr>
              <w:spacing w:after="0"/>
              <w:rPr>
                <w:sz w:val="1"/>
                <w:szCs w:val="1"/>
                <w:color w:val="auto"/>
              </w:rPr>
            </w:pPr>
          </w:p>
        </w:tc>
      </w:tr>
      <w:tr>
        <w:trPr>
          <w:trHeight w:val="221"/>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16,290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7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18,409</w:t>
            </w:r>
          </w:p>
        </w:tc>
        <w:tc>
          <w:tcPr>
            <w:tcW w:w="8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16,820</w:t>
            </w:r>
          </w:p>
        </w:tc>
        <w:tc>
          <w:tcPr>
            <w:tcW w:w="7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3,092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18,100</w:t>
            </w:r>
          </w:p>
        </w:tc>
        <w:tc>
          <w:tcPr>
            <w:tcW w:w="0" w:type="dxa"/>
            <w:vAlign w:val="bottom"/>
          </w:tcPr>
          <w:p>
            <w:pPr>
              <w:spacing w:after="0"/>
              <w:rPr>
                <w:sz w:val="1"/>
                <w:szCs w:val="1"/>
                <w:color w:val="auto"/>
              </w:rPr>
            </w:pPr>
          </w:p>
        </w:tc>
      </w:tr>
      <w:tr>
        <w:trPr>
          <w:trHeight w:val="211"/>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12,390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72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17,035</w:t>
            </w:r>
          </w:p>
        </w:tc>
        <w:tc>
          <w:tcPr>
            <w:tcW w:w="80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15,341</w:t>
            </w:r>
          </w:p>
        </w:tc>
        <w:tc>
          <w:tcPr>
            <w:tcW w:w="7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(4,478)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10,965</w:t>
            </w:r>
          </w:p>
        </w:tc>
        <w:tc>
          <w:tcPr>
            <w:tcW w:w="0" w:type="dxa"/>
            <w:vAlign w:val="bottom"/>
          </w:tcPr>
          <w:p>
            <w:pPr>
              <w:spacing w:after="0"/>
              <w:rPr>
                <w:sz w:val="1"/>
                <w:szCs w:val="1"/>
                <w:color w:val="auto"/>
              </w:rPr>
            </w:pPr>
          </w:p>
        </w:tc>
      </w:tr>
      <w:tr>
        <w:trPr>
          <w:trHeight w:val="221"/>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7,487</w:t>
            </w:r>
          </w:p>
        </w:tc>
        <w:tc>
          <w:tcPr>
            <w:tcW w:w="8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8,417</w:t>
            </w:r>
          </w:p>
        </w:tc>
        <w:tc>
          <w:tcPr>
            <w:tcW w:w="7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6,357</w:t>
            </w:r>
          </w:p>
        </w:tc>
        <w:tc>
          <w:tcPr>
            <w:tcW w:w="0" w:type="dxa"/>
            <w:vAlign w:val="bottom"/>
          </w:tcPr>
          <w:p>
            <w:pPr>
              <w:spacing w:after="0"/>
              <w:rPr>
                <w:sz w:val="1"/>
                <w:szCs w:val="1"/>
                <w:color w:val="auto"/>
              </w:rPr>
            </w:pPr>
          </w:p>
        </w:tc>
      </w:tr>
      <w:tr>
        <w:trPr>
          <w:trHeight w:val="211"/>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9"/>
              </w:rPr>
              <w:t>2,086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1"/>
              </w:rPr>
              <w:t>764</w:t>
            </w:r>
          </w:p>
        </w:tc>
        <w:tc>
          <w:tcPr>
            <w:tcW w:w="7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1,061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0" w:type="dxa"/>
            <w:vAlign w:val="bottom"/>
          </w:tcPr>
          <w:p>
            <w:pPr>
              <w:spacing w:after="0"/>
              <w:rPr>
                <w:sz w:val="1"/>
                <w:szCs w:val="1"/>
                <w:color w:val="auto"/>
              </w:rPr>
            </w:pPr>
          </w:p>
        </w:tc>
      </w:tr>
      <w:tr>
        <w:trPr>
          <w:trHeight w:val="221"/>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6,614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1"/>
              </w:rPr>
              <w:t>287</w:t>
            </w:r>
          </w:p>
        </w:tc>
        <w:tc>
          <w:tcPr>
            <w:tcW w:w="7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0" w:type="dxa"/>
            <w:vAlign w:val="bottom"/>
          </w:tcPr>
          <w:p>
            <w:pPr>
              <w:spacing w:after="0"/>
              <w:rPr>
                <w:sz w:val="1"/>
                <w:szCs w:val="1"/>
                <w:color w:val="auto"/>
              </w:rPr>
            </w:pPr>
          </w:p>
        </w:tc>
      </w:tr>
      <w:tr>
        <w:trPr>
          <w:trHeight w:val="214"/>
        </w:trPr>
        <w:tc>
          <w:tcPr>
            <w:tcW w:w="26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ACL - loans</w:t>
            </w: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7,298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23,565</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136,925</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137,010</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10,125</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(26,155)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111,616</w:t>
            </w:r>
          </w:p>
        </w:tc>
        <w:tc>
          <w:tcPr>
            <w:tcW w:w="0" w:type="dxa"/>
            <w:vAlign w:val="bottom"/>
          </w:tcPr>
          <w:p>
            <w:pPr>
              <w:spacing w:after="0"/>
              <w:rPr>
                <w:sz w:val="1"/>
                <w:szCs w:val="1"/>
                <w:color w:val="auto"/>
              </w:rPr>
            </w:pPr>
          </w:p>
        </w:tc>
      </w:tr>
      <w:tr>
        <w:trPr>
          <w:trHeight w:val="211"/>
        </w:trPr>
        <w:tc>
          <w:tcPr>
            <w:tcW w:w="2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ACL - unfunded commitments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10,992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color w:val="auto"/>
              </w:rPr>
              <w:t>16,117</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10,558</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286</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10,844</w:t>
            </w:r>
          </w:p>
        </w:tc>
        <w:tc>
          <w:tcPr>
            <w:tcW w:w="0" w:type="dxa"/>
            <w:vAlign w:val="bottom"/>
          </w:tcPr>
          <w:p>
            <w:pPr>
              <w:spacing w:after="0"/>
              <w:rPr>
                <w:sz w:val="1"/>
                <w:szCs w:val="1"/>
                <w:color w:val="auto"/>
              </w:rPr>
            </w:pPr>
          </w:p>
        </w:tc>
      </w:tr>
      <w:tr>
        <w:trPr>
          <w:trHeight w:val="234"/>
        </w:trPr>
        <w:tc>
          <w:tcPr>
            <w:tcW w:w="2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$ 113,524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$(9,207)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7,298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28,690</w:t>
            </w:r>
          </w:p>
        </w:tc>
        <w:tc>
          <w:tcPr>
            <w:tcW w:w="80" w:type="dxa"/>
            <w:vAlign w:val="bottom"/>
            <w:shd w:val="clear" w:color="auto" w:fill="CCEEFF"/>
          </w:tcPr>
          <w:p>
            <w:pPr>
              <w:spacing w:after="0"/>
              <w:rPr>
                <w:sz w:val="20"/>
                <w:szCs w:val="20"/>
                <w:color w:val="auto"/>
              </w:rPr>
            </w:pPr>
          </w:p>
        </w:tc>
        <w:tc>
          <w:tcPr>
            <w:tcW w:w="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$153,042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$ 147,568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(9,364)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10,125</w:t>
            </w:r>
          </w:p>
        </w:tc>
        <w:tc>
          <w:tcPr>
            <w:tcW w:w="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5"/>
              </w:rPr>
              <w:t>$ (25,869)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122,460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6"/>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the initial ACL related to PCD loans acquired in the Reliant transaction.</w:t>
      </w:r>
    </w:p>
    <w:p>
      <w:pPr>
        <w:spacing w:after="0" w:line="200" w:lineRule="exact"/>
        <w:rPr>
          <w:rFonts w:ascii="Times New Roman" w:cs="Times New Roman" w:eastAsia="Times New Roman" w:hAnsi="Times New Roman"/>
          <w:sz w:val="19"/>
          <w:szCs w:val="19"/>
          <w:color w:val="auto"/>
          <w:vertAlign w:val="superscript"/>
        </w:rPr>
      </w:pPr>
    </w:p>
    <w:p>
      <w:pPr>
        <w:spacing w:after="0" w:line="381"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Derivatives and Hedging Activities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the fair value of derivative financial instruments, which are included in other assets and other liabilities on the consolidated balance sheet,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37"/>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5"/>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r>
      <w:tr>
        <w:trPr>
          <w:trHeight w:val="214"/>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198"/>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flow hedge of subordinated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flow hedge of trust preferred securities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Fair value hedge of brokered time deposits</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0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derivative positions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1,095,566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1,206,145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10,663</w:t>
            </w: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Dealer offsets to customer derivative positions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1,105,566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1,230,885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9,232</w:t>
            </w: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Risk participations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Mortgage banking - loan commitment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110,897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banking - forward sales commitment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Bifurcated embedded derivatives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Dealer offsets to bifurcated embedded derivatives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w:t>
            </w:r>
          </w:p>
        </w:tc>
      </w:tr>
      <w:tr>
        <w:trPr>
          <w:trHeight w:val="209"/>
        </w:trPr>
        <w:tc>
          <w:tcPr>
            <w:tcW w:w="408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2,512,099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68,565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2,922,601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25,145</w:t>
            </w:r>
          </w:p>
        </w:tc>
      </w:tr>
      <w:tr>
        <w:trPr>
          <w:trHeight w:val="199"/>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2,632,099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68,565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3,052,601</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25,145</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derivative instruments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25,145</w:t>
            </w: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Amounts subject to master netting agreements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Cash collateral received/pledged</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(14,148)</w:t>
            </w: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amount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35,166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10,303</w:t>
            </w:r>
          </w:p>
        </w:tc>
      </w:tr>
      <w:tr>
        <w:trPr>
          <w:trHeight w:val="20"/>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Hedging Derivatives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 of Interest Rate Risk</w:t>
      </w:r>
    </w:p>
    <w:p>
      <w:pPr>
        <w:spacing w:after="0" w:line="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United enters into cash flow hedges to mitigate exposure to the variability of future cash flows or other forecasted transactions. As of June 30, 2022 and December 31, 2021, United utilized interest rate caps and swaps to hedge the variability of cash flows due to changes in interest rates on certain of its variable-rate subordinated debt and trust preferred securities. United considers these derivatives to be highly effective at achieving offsetting changes in cash flows attributable to changes in interest rates. Therefore, changes in the fair value of these derivative instruments are recognized in OCI. Gains and losses related to changes in fair value are reclassified into earnings in the periods the hedged forecasted transactions occur. Losses representing amortization of the premium recorded on cash flow hedges, which is a component excluded from the assessment of effectiveness, are recognized in earnings on a straight-line basis in the same caption as the hedged item over the term of the hedge. Over the next twelve months, United expects to reclassify $1.36 million of gains from AOCI into earnings related to these agreements.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of Interest Rate Risk</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is exposed to changes in the fair value of certain of its fixed-rate obligations due to changes in interest rates. United uses interest rate derivatives to manage its exposure to changes in fair value on these instruments attributable to changes in interest rates.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2021, United had an interest rate swap that was designated as a fair value hedge of fixed-rate brokered time deposits. During the first quarter of 2022, the hedged brokered deposit and the associated swap matured. The swap involved the receipt of fixed-rate amounts from a counterparty in exchange for United making variable rate payments over the life of the agreements.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the effect of derivatives in hedging relationships, all of which are interest rate contracts, on the consolidated statement of income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8"/>
                <w:szCs w:val="18"/>
                <w:color w:val="auto"/>
              </w:rPr>
            </w:pPr>
          </w:p>
        </w:tc>
        <w:tc>
          <w:tcPr>
            <w:tcW w:w="246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57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interest expense presented in the consolidated statements of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(15,742)</w:t>
            </w:r>
          </w:p>
        </w:tc>
        <w:tc>
          <w:tcPr>
            <w:tcW w:w="1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(16,911)</w:t>
            </w: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hedging relationships on interest expense: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recognized on fair value hedges</w:t>
            </w:r>
          </w:p>
        </w:tc>
        <w:tc>
          <w:tcPr>
            <w:tcW w:w="20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9"/>
        </w:trPr>
        <w:tc>
          <w:tcPr>
            <w:tcW w:w="57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Net expense recognized on cash flow hedges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bl>
    <w:p>
      <w:pPr>
        <w:spacing w:after="0" w:line="67" w:lineRule="exact"/>
        <w:rPr>
          <w:sz w:val="20"/>
          <w:szCs w:val="20"/>
          <w:color w:val="auto"/>
        </w:rPr>
      </w:pPr>
    </w:p>
    <w:p>
      <w:pPr>
        <w:ind w:firstLine="37"/>
        <w:spacing w:after="0" w:line="254" w:lineRule="auto"/>
        <w:tabs>
          <w:tab w:leader="none" w:pos="198"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premium amortization expense excluded from the assessment of hedge effectiveness of $118,000 for both the three months ended June 30, 2022 and 2021, and $234,000 for both the six months ended June 30, 2022 and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Derivatives Not Designated as Hedging Instruments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 The agreements, which are typically executed in conjunction with a participation in a loan with the same customer, allow customers to execute an interest rate swap with one bank while allowing for the distribution of the credit risk among participating members.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market-linked swaps and the bifurcated embedded derivatives tend to move in opposite directions with changes in 90-day LIBOR and therefore provide an economic hedge.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Fair value adjustments on these derivative instruments are recorded within mortgage loan gains and other related fee income in the consolidated statements of income.</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table below presents the gains and losses recognized in income on derivatives not designated as hedging instruments for the periods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10"/>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 of Gain (Loss) Recognized in Income on Derivatives</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192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3900" w:type="dxa"/>
            <w:vAlign w:val="bottom"/>
          </w:tcPr>
          <w:p>
            <w:pPr>
              <w:spacing w:after="0"/>
              <w:rPr>
                <w:sz w:val="18"/>
                <w:szCs w:val="18"/>
                <w:color w:val="auto"/>
              </w:rPr>
            </w:pPr>
          </w:p>
        </w:tc>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Location of Gain (Loss) Recognized in</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900" w:type="dxa"/>
            <w:vAlign w:val="bottom"/>
          </w:tcPr>
          <w:p>
            <w:pPr>
              <w:spacing w:after="0" w:line="20" w:lineRule="exact"/>
              <w:rPr>
                <w:sz w:val="1"/>
                <w:szCs w:val="1"/>
                <w:color w:val="auto"/>
              </w:rPr>
            </w:pPr>
          </w:p>
        </w:tc>
        <w:tc>
          <w:tcPr>
            <w:tcW w:w="28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line="20" w:lineRule="exact"/>
              <w:rPr>
                <w:sz w:val="1"/>
                <w:szCs w:val="1"/>
                <w:color w:val="auto"/>
              </w:rPr>
            </w:pPr>
          </w:p>
        </w:tc>
      </w:tr>
      <w:tr>
        <w:trPr>
          <w:trHeight w:val="214"/>
        </w:trPr>
        <w:tc>
          <w:tcPr>
            <w:tcW w:w="3900" w:type="dxa"/>
            <w:vAlign w:val="bottom"/>
          </w:tcPr>
          <w:p>
            <w:pPr>
              <w:spacing w:after="0"/>
              <w:rPr>
                <w:sz w:val="18"/>
                <w:szCs w:val="18"/>
                <w:color w:val="auto"/>
              </w:rPr>
            </w:pPr>
          </w:p>
        </w:tc>
        <w:tc>
          <w:tcPr>
            <w:tcW w:w="280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Income on Derivatives</w:t>
            </w: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derivatives and dealer offsets</w:t>
            </w:r>
          </w:p>
        </w:tc>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Bifurcated embedded derivatives and dealer offsets</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banking derivatives</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 revenue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Risk participations</w:t>
            </w:r>
          </w:p>
        </w:tc>
        <w:tc>
          <w:tcPr>
            <w:tcW w:w="2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34"/>
        </w:trPr>
        <w:tc>
          <w:tcPr>
            <w:tcW w:w="390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Credit-Risk-Related Contingent Features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United’s agreements with each of its derivative counterparties provide that if either party defaults on any of its indebtedness, then it could also be declared in default on its derivative obligations. The agreements with derivative counterparties also include provisions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Other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goodwill and other intangible assets as of the dates indicated is summarized below </w:t>
      </w:r>
      <w:r>
        <w:rPr>
          <w:rFonts w:ascii="Times New Roman" w:cs="Times New Roman" w:eastAsia="Times New Roman" w:hAnsi="Times New Roman"/>
          <w:sz w:val="18"/>
          <w:szCs w:val="18"/>
          <w:i w:val="1"/>
          <w:iCs w:val="1"/>
          <w:color w:val="auto"/>
        </w:rPr>
        <w:t>(in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Pr>
          <w:p>
            <w:pPr>
              <w:spacing w:after="0"/>
              <w:rPr>
                <w:sz w:val="18"/>
                <w:szCs w:val="18"/>
                <w:color w:val="auto"/>
              </w:rPr>
            </w:pP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5940" w:type="dxa"/>
            <w:vAlign w:val="bottom"/>
            <w:tcBorders>
              <w:top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Core deposit intangible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46,902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38,192</w:t>
            </w:r>
          </w:p>
        </w:tc>
        <w:tc>
          <w:tcPr>
            <w:tcW w:w="1760" w:type="dxa"/>
            <w:vAlign w:val="bottom"/>
            <w:tcBorders>
              <w:top w:val="single" w:sz="8" w:color="CCEEFF"/>
            </w:tcBorders>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(25,870)</w:t>
            </w:r>
          </w:p>
        </w:tc>
        <w:tc>
          <w:tcPr>
            <w:tcW w:w="1760" w:type="dxa"/>
            <w:vAlign w:val="bottom"/>
            <w:tcBorders>
              <w:bottom w:val="single" w:sz="8" w:color="CCEEFF"/>
            </w:tcBorders>
          </w:tcPr>
          <w:p>
            <w:pPr>
              <w:spacing w:after="0"/>
              <w:rPr>
                <w:sz w:val="18"/>
                <w:szCs w:val="18"/>
                <w:color w:val="auto"/>
              </w:rPr>
            </w:pPr>
          </w:p>
        </w:tc>
      </w:tr>
      <w:tr>
        <w:trPr>
          <w:trHeight w:val="212"/>
        </w:trPr>
        <w:tc>
          <w:tcPr>
            <w:tcW w:w="594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6"/>
                <w:szCs w:val="16"/>
                <w:color w:val="auto"/>
              </w:rPr>
              <w:t>Net core deposit intangible</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12,322</w:t>
            </w:r>
          </w:p>
        </w:tc>
        <w:tc>
          <w:tcPr>
            <w:tcW w:w="1760" w:type="dxa"/>
            <w:vAlign w:val="bottom"/>
            <w:shd w:val="clear" w:color="auto" w:fill="CCEEFF"/>
          </w:tcPr>
          <w:p>
            <w:pPr>
              <w:spacing w:after="0"/>
              <w:rPr>
                <w:sz w:val="18"/>
                <w:szCs w:val="18"/>
                <w:color w:val="auto"/>
              </w:rPr>
            </w:pPr>
          </w:p>
        </w:tc>
      </w:tr>
      <w:tr>
        <w:trPr>
          <w:trHeight w:val="213"/>
        </w:trPr>
        <w:tc>
          <w:tcPr>
            <w:tcW w:w="59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Customer relationship intangible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760" w:type="dxa"/>
            <w:vAlign w:val="bottom"/>
          </w:tcPr>
          <w:p>
            <w:pPr>
              <w:spacing w:after="0"/>
              <w:rPr>
                <w:sz w:val="18"/>
                <w:szCs w:val="18"/>
                <w:color w:val="auto"/>
              </w:rPr>
            </w:pPr>
          </w:p>
        </w:tc>
      </w:tr>
      <w:tr>
        <w:trPr>
          <w:trHeight w:val="219"/>
        </w:trPr>
        <w:tc>
          <w:tcPr>
            <w:tcW w:w="59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760" w:type="dxa"/>
            <w:vAlign w:val="bottom"/>
            <w:shd w:val="clear" w:color="auto" w:fill="CCEEFF"/>
          </w:tcPr>
          <w:p>
            <w:pPr>
              <w:spacing w:after="0"/>
              <w:rPr>
                <w:sz w:val="19"/>
                <w:szCs w:val="19"/>
                <w:color w:val="auto"/>
              </w:rPr>
            </w:pPr>
          </w:p>
        </w:tc>
      </w:tr>
      <w:tr>
        <w:trPr>
          <w:trHeight w:val="207"/>
        </w:trPr>
        <w:tc>
          <w:tcPr>
            <w:tcW w:w="5940" w:type="dxa"/>
            <w:vAlign w:val="bottom"/>
            <w:tcBorders>
              <w:bottom w:val="single" w:sz="8" w:color="CCEEFF"/>
            </w:tcBorders>
          </w:tcPr>
          <w:p>
            <w:pPr>
              <w:ind w:left="1960"/>
              <w:spacing w:after="0"/>
              <w:rPr>
                <w:sz w:val="20"/>
                <w:szCs w:val="20"/>
                <w:color w:val="auto"/>
              </w:rPr>
            </w:pPr>
            <w:r>
              <w:rPr>
                <w:rFonts w:ascii="Times New Roman" w:cs="Times New Roman" w:eastAsia="Times New Roman" w:hAnsi="Times New Roman"/>
                <w:sz w:val="16"/>
                <w:szCs w:val="16"/>
                <w:color w:val="auto"/>
              </w:rPr>
              <w:t>Net customer relationship intangible</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8,078</w:t>
            </w:r>
          </w:p>
        </w:tc>
        <w:tc>
          <w:tcPr>
            <w:tcW w:w="1760" w:type="dxa"/>
            <w:vAlign w:val="bottom"/>
            <w:tcBorders>
              <w:bottom w:val="single" w:sz="8" w:color="CCEEFF"/>
            </w:tcBorders>
          </w:tcPr>
          <w:p>
            <w:pPr>
              <w:spacing w:after="0"/>
              <w:rPr>
                <w:sz w:val="17"/>
                <w:szCs w:val="17"/>
                <w:color w:val="auto"/>
              </w:rPr>
            </w:pPr>
          </w:p>
        </w:tc>
      </w:tr>
      <w:tr>
        <w:trPr>
          <w:trHeight w:val="212"/>
        </w:trPr>
        <w:tc>
          <w:tcPr>
            <w:tcW w:w="5940" w:type="dxa"/>
            <w:vAlign w:val="bottom"/>
            <w:shd w:val="clear" w:color="auto" w:fill="CCEEFF"/>
          </w:tcPr>
          <w:p>
            <w:pPr>
              <w:ind w:left="1760"/>
              <w:spacing w:after="0" w:line="213" w:lineRule="exact"/>
              <w:rPr>
                <w:sz w:val="20"/>
                <w:szCs w:val="20"/>
                <w:color w:val="auto"/>
              </w:rPr>
            </w:pPr>
            <w:r>
              <w:rPr>
                <w:rFonts w:ascii="Times New Roman" w:cs="Times New Roman" w:eastAsia="Times New Roman" w:hAnsi="Times New Roman"/>
                <w:sz w:val="16"/>
                <w:szCs w:val="16"/>
                <w:color w:val="auto"/>
              </w:rPr>
              <w:t xml:space="preserve">Total intangibles subject to amortization, net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20,400</w:t>
            </w:r>
          </w:p>
        </w:tc>
        <w:tc>
          <w:tcPr>
            <w:tcW w:w="1760" w:type="dxa"/>
            <w:vAlign w:val="bottom"/>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751,174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452,007</w:t>
            </w:r>
          </w:p>
        </w:tc>
        <w:tc>
          <w:tcPr>
            <w:tcW w:w="1760" w:type="dxa"/>
            <w:vAlign w:val="bottom"/>
            <w:tcBorders>
              <w:bottom w:val="single" w:sz="8" w:color="CCEEFF"/>
            </w:tcBorders>
          </w:tcPr>
          <w:p>
            <w:pPr>
              <w:spacing w:after="0"/>
              <w:rPr>
                <w:sz w:val="18"/>
                <w:szCs w:val="18"/>
                <w:color w:val="auto"/>
              </w:rPr>
            </w:pPr>
          </w:p>
        </w:tc>
      </w:tr>
      <w:tr>
        <w:trPr>
          <w:trHeight w:val="237"/>
        </w:trPr>
        <w:tc>
          <w:tcPr>
            <w:tcW w:w="594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Total goodwill and other intangible assets,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782,544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472,407</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intangible assets become fully amortized, they are excluded from balances presented.</w:t>
      </w:r>
    </w:p>
    <w:p>
      <w:pPr>
        <w:spacing w:after="0" w:line="258" w:lineRule="auto"/>
        <w:rPr>
          <w:sz w:val="20"/>
          <w:szCs w:val="20"/>
          <w:color w:val="auto"/>
        </w:rPr>
      </w:pPr>
      <w:r>
        <w:rPr>
          <w:rFonts w:ascii="Times New Roman" w:cs="Times New Roman" w:eastAsia="Times New Roman" w:hAnsi="Times New Roman"/>
          <w:sz w:val="18"/>
          <w:szCs w:val="18"/>
          <w:color w:val="auto"/>
        </w:rPr>
        <w:t>During the first quarter of 2022, as a result of the Reliant acquisition, United recorded a core deposit intangible of $14.5 million. See Note 4 for further detail.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is a summary of changes in the carrying amounts of goodwill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30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10"/>
        </w:trPr>
        <w:tc>
          <w:tcPr>
            <w:tcW w:w="5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90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Balance, beginning of period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751,174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452,007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367,809</w:t>
            </w: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299,167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900" w:type="dxa"/>
            <w:vAlign w:val="bottom"/>
            <w:tcBorders>
              <w:top w:val="single" w:sz="8" w:color="CCEEFF"/>
              <w:bottom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Balance, end of period </w:t>
            </w:r>
            <w:r>
              <w:rPr>
                <w:rFonts w:ascii="Times New Roman" w:cs="Times New Roman" w:eastAsia="Times New Roman" w:hAnsi="Times New Roman"/>
                <w:sz w:val="21"/>
                <w:szCs w:val="21"/>
                <w:color w:val="auto"/>
                <w:vertAlign w:val="superscript"/>
              </w:rPr>
              <w:t>(1)</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751,174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751,174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367,809</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Goodwill balances are shown net of accumulated impairment losses of $306 million incurred prior to 2021.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estimated aggregate amortization expense for future periods for finite lived intangibles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Remainder of 2022</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w:t>
            </w:r>
          </w:p>
        </w:tc>
        <w:tc>
          <w:tcPr>
            <w:tcW w:w="3500" w:type="dxa"/>
            <w:vAlign w:val="bottom"/>
            <w:shd w:val="clear" w:color="auto" w:fill="CCEEFF"/>
          </w:tcPr>
          <w:p>
            <w:pPr>
              <w:spacing w:after="0"/>
              <w:rPr>
                <w:sz w:val="18"/>
                <w:szCs w:val="18"/>
                <w:color w:val="auto"/>
              </w:rPr>
            </w:pPr>
          </w:p>
        </w:tc>
      </w:tr>
      <w:tr>
        <w:trPr>
          <w:trHeight w:val="213"/>
        </w:trPr>
        <w:tc>
          <w:tcPr>
            <w:tcW w:w="6060" w:type="dxa"/>
            <w:vAlign w:val="bottom"/>
          </w:tcPr>
          <w:p>
            <w:pPr>
              <w:ind w:left="3500"/>
              <w:spacing w:after="0"/>
              <w:rPr>
                <w:sz w:val="20"/>
                <w:szCs w:val="20"/>
                <w:color w:val="auto"/>
              </w:rPr>
            </w:pPr>
            <w:r>
              <w:rPr>
                <w:rFonts w:ascii="Times New Roman" w:cs="Times New Roman" w:eastAsia="Times New Roman" w:hAnsi="Times New Roman"/>
                <w:sz w:val="16"/>
                <w:szCs w:val="16"/>
                <w:color w:val="auto"/>
              </w:rPr>
              <w:t>2023</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5,903</w:t>
            </w:r>
          </w:p>
        </w:tc>
        <w:tc>
          <w:tcPr>
            <w:tcW w:w="3500" w:type="dxa"/>
            <w:vAlign w:val="bottom"/>
          </w:tcPr>
          <w:p>
            <w:pPr>
              <w:spacing w:after="0"/>
              <w:rPr>
                <w:sz w:val="18"/>
                <w:szCs w:val="18"/>
                <w:color w:val="auto"/>
              </w:rPr>
            </w:pPr>
          </w:p>
        </w:tc>
      </w:tr>
      <w:tr>
        <w:trPr>
          <w:trHeight w:val="219"/>
        </w:trPr>
        <w:tc>
          <w:tcPr>
            <w:tcW w:w="6060" w:type="dxa"/>
            <w:vAlign w:val="bottom"/>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2024</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w:t>
            </w:r>
          </w:p>
        </w:tc>
        <w:tc>
          <w:tcPr>
            <w:tcW w:w="3500" w:type="dxa"/>
            <w:vAlign w:val="bottom"/>
            <w:shd w:val="clear" w:color="auto" w:fill="CCEEFF"/>
          </w:tcPr>
          <w:p>
            <w:pPr>
              <w:spacing w:after="0"/>
              <w:rPr>
                <w:sz w:val="19"/>
                <w:szCs w:val="19"/>
                <w:color w:val="auto"/>
              </w:rPr>
            </w:pPr>
          </w:p>
        </w:tc>
      </w:tr>
      <w:tr>
        <w:trPr>
          <w:trHeight w:val="213"/>
        </w:trPr>
        <w:tc>
          <w:tcPr>
            <w:tcW w:w="6060" w:type="dxa"/>
            <w:vAlign w:val="bottom"/>
          </w:tcPr>
          <w:p>
            <w:pPr>
              <w:ind w:left="3500"/>
              <w:spacing w:after="0"/>
              <w:rPr>
                <w:sz w:val="20"/>
                <w:szCs w:val="20"/>
                <w:color w:val="auto"/>
              </w:rPr>
            </w:pPr>
            <w:r>
              <w:rPr>
                <w:rFonts w:ascii="Times New Roman" w:cs="Times New Roman" w:eastAsia="Times New Roman" w:hAnsi="Times New Roman"/>
                <w:sz w:val="16"/>
                <w:szCs w:val="16"/>
                <w:color w:val="auto"/>
              </w:rPr>
              <w:t>2025</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3500" w:type="dxa"/>
            <w:vAlign w:val="bottom"/>
          </w:tcPr>
          <w:p>
            <w:pPr>
              <w:spacing w:after="0"/>
              <w:rPr>
                <w:sz w:val="18"/>
                <w:szCs w:val="18"/>
                <w:color w:val="auto"/>
              </w:rPr>
            </w:pPr>
          </w:p>
        </w:tc>
      </w:tr>
      <w:tr>
        <w:trPr>
          <w:trHeight w:val="219"/>
        </w:trPr>
        <w:tc>
          <w:tcPr>
            <w:tcW w:w="6060" w:type="dxa"/>
            <w:vAlign w:val="bottom"/>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2026</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3500" w:type="dxa"/>
            <w:vAlign w:val="bottom"/>
            <w:shd w:val="clear" w:color="auto" w:fill="CCEEFF"/>
          </w:tcPr>
          <w:p>
            <w:pPr>
              <w:spacing w:after="0"/>
              <w:rPr>
                <w:sz w:val="19"/>
                <w:szCs w:val="19"/>
                <w:color w:val="auto"/>
              </w:rPr>
            </w:pPr>
          </w:p>
        </w:tc>
      </w:tr>
      <w:tr>
        <w:trPr>
          <w:trHeight w:val="213"/>
        </w:trPr>
        <w:tc>
          <w:tcPr>
            <w:tcW w:w="6060" w:type="dxa"/>
            <w:vAlign w:val="bottom"/>
            <w:tcBorders>
              <w:bottom w:val="single" w:sz="8" w:color="CCEEFF"/>
            </w:tcBorders>
          </w:tcPr>
          <w:p>
            <w:pPr>
              <w:ind w:left="3500"/>
              <w:spacing w:after="0"/>
              <w:rPr>
                <w:sz w:val="20"/>
                <w:szCs w:val="20"/>
                <w:color w:val="auto"/>
              </w:rPr>
            </w:pPr>
            <w:r>
              <w:rPr>
                <w:rFonts w:ascii="Times New Roman" w:cs="Times New Roman" w:eastAsia="Times New Roman" w:hAnsi="Times New Roman"/>
                <w:sz w:val="16"/>
                <w:szCs w:val="16"/>
                <w:color w:val="auto"/>
              </w:rPr>
              <w:t>Thereafter</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9,798</w:t>
            </w:r>
          </w:p>
        </w:tc>
        <w:tc>
          <w:tcPr>
            <w:tcW w:w="3500" w:type="dxa"/>
            <w:vAlign w:val="bottom"/>
            <w:tcBorders>
              <w:bottom w:val="single" w:sz="8" w:color="CCEEFF"/>
            </w:tcBorders>
          </w:tcPr>
          <w:p>
            <w:pPr>
              <w:spacing w:after="0"/>
              <w:rPr>
                <w:sz w:val="18"/>
                <w:szCs w:val="18"/>
                <w:color w:val="auto"/>
              </w:rPr>
            </w:pPr>
          </w:p>
        </w:tc>
      </w:tr>
      <w:tr>
        <w:trPr>
          <w:trHeight w:val="237"/>
        </w:trPr>
        <w:tc>
          <w:tcPr>
            <w:tcW w:w="6060" w:type="dxa"/>
            <w:vAlign w:val="bottom"/>
            <w:tcBorders>
              <w:bottom w:val="single" w:sz="8" w:color="CCEEFF"/>
            </w:tcBorders>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31,370</w:t>
            </w:r>
          </w:p>
        </w:tc>
        <w:tc>
          <w:tcPr>
            <w:tcW w:w="3500" w:type="dxa"/>
            <w:vAlign w:val="bottom"/>
            <w:tcBorders>
              <w:bottom w:val="single" w:sz="8" w:color="CCEEFF"/>
            </w:tcBorders>
            <w:shd w:val="clear" w:color="auto" w:fill="CCEEFF"/>
          </w:tcPr>
          <w:p>
            <w:pPr>
              <w:spacing w:after="0"/>
              <w:rPr>
                <w:sz w:val="20"/>
                <w:szCs w:val="20"/>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Long-term 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Long-term debt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Issue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Stated</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Earliest</w:t>
            </w: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Maturity</w:t>
            </w:r>
          </w:p>
        </w:tc>
        <w:tc>
          <w:tcPr>
            <w:tcW w:w="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Call</w:t>
            </w:r>
          </w:p>
        </w:tc>
        <w:tc>
          <w:tcPr>
            <w:tcW w:w="2860" w:type="dxa"/>
            <w:vAlign w:val="bottom"/>
            <w:vMerge w:val="restart"/>
          </w:tcPr>
          <w:p>
            <w:pPr>
              <w:ind w:left="98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214"/>
        </w:trPr>
        <w:tc>
          <w:tcPr>
            <w:tcW w:w="2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Date</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Borders>
              <w:bottom w:val="single" w:sz="8" w:color="CCEEFF"/>
            </w:tcBorders>
          </w:tcPr>
          <w:p>
            <w:pPr>
              <w:spacing w:after="0"/>
              <w:rPr>
                <w:sz w:val="18"/>
                <w:szCs w:val="18"/>
                <w:color w:val="auto"/>
              </w:rPr>
            </w:pPr>
          </w:p>
        </w:tc>
        <w:tc>
          <w:tcPr>
            <w:tcW w:w="2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 senior debentures</w:t>
            </w:r>
          </w:p>
        </w:tc>
        <w:tc>
          <w:tcPr>
            <w:tcW w:w="2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5.500% through August 2025, 3-month</w:t>
            </w:r>
          </w:p>
        </w:tc>
        <w:tc>
          <w:tcPr>
            <w:tcW w:w="0" w:type="dxa"/>
            <w:vAlign w:val="bottom"/>
          </w:tcPr>
          <w:p>
            <w:pPr>
              <w:spacing w:after="0"/>
              <w:rPr>
                <w:sz w:val="1"/>
                <w:szCs w:val="1"/>
                <w:color w:val="auto"/>
              </w:rPr>
            </w:pPr>
          </w:p>
        </w:tc>
      </w:tr>
      <w:tr>
        <w:trPr>
          <w:trHeight w:val="216"/>
        </w:trPr>
        <w:tc>
          <w:tcPr>
            <w:tcW w:w="26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2025  LIBOR plus 3.71% thereafter</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2030 senior debentures</w:t>
            </w:r>
          </w:p>
        </w:tc>
        <w:tc>
          <w:tcPr>
            <w:tcW w:w="2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80" w:type="dxa"/>
            <w:vAlign w:val="bottom"/>
          </w:tcPr>
          <w:p>
            <w:pPr>
              <w:spacing w:after="0"/>
              <w:rPr>
                <w:sz w:val="14"/>
                <w:szCs w:val="14"/>
                <w:color w:val="auto"/>
              </w:rPr>
            </w:pPr>
          </w:p>
        </w:tc>
        <w:tc>
          <w:tcPr>
            <w:tcW w:w="8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w w:val="99"/>
              </w:rPr>
              <w:t>2025</w:t>
            </w:r>
          </w:p>
        </w:tc>
        <w:tc>
          <w:tcPr>
            <w:tcW w:w="80" w:type="dxa"/>
            <w:vAlign w:val="bottom"/>
          </w:tcPr>
          <w:p>
            <w:pPr>
              <w:spacing w:after="0"/>
              <w:rPr>
                <w:sz w:val="14"/>
                <w:szCs w:val="14"/>
                <w:color w:val="auto"/>
              </w:rPr>
            </w:pPr>
          </w:p>
        </w:tc>
        <w:tc>
          <w:tcPr>
            <w:tcW w:w="2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5.00% through June 2025, 3-month SOFR</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CCEEFF"/>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plus 4.87% thereafter</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senior debentures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 subordinated debentures</w:t>
            </w:r>
          </w:p>
        </w:tc>
        <w:tc>
          <w:tcPr>
            <w:tcW w:w="2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4.500% through January 2023, 3-month</w:t>
            </w:r>
          </w:p>
        </w:tc>
        <w:tc>
          <w:tcPr>
            <w:tcW w:w="0" w:type="dxa"/>
            <w:vAlign w:val="bottom"/>
          </w:tcPr>
          <w:p>
            <w:pPr>
              <w:spacing w:after="0"/>
              <w:rPr>
                <w:sz w:val="1"/>
                <w:szCs w:val="1"/>
                <w:color w:val="auto"/>
              </w:rPr>
            </w:pPr>
          </w:p>
        </w:tc>
      </w:tr>
      <w:tr>
        <w:trPr>
          <w:trHeight w:val="216"/>
        </w:trPr>
        <w:tc>
          <w:tcPr>
            <w:tcW w:w="26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2023  LIBOR plus 2.12% thereafter</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2029 subordinated debentures</w:t>
            </w:r>
          </w:p>
        </w:tc>
        <w:tc>
          <w:tcPr>
            <w:tcW w:w="2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5.125% until December 2024, 3-month</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CCEEFF"/>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gridSpan w:val="3"/>
          </w:tcPr>
          <w:p>
            <w:pPr>
              <w:ind w:left="480"/>
              <w:spacing w:after="0"/>
              <w:rPr>
                <w:sz w:val="20"/>
                <w:szCs w:val="20"/>
                <w:color w:val="auto"/>
              </w:rPr>
            </w:pPr>
            <w:r>
              <w:rPr>
                <w:rFonts w:ascii="Times New Roman" w:cs="Times New Roman" w:eastAsia="Times New Roman" w:hAnsi="Times New Roman"/>
                <w:sz w:val="16"/>
                <w:szCs w:val="16"/>
                <w:color w:val="auto"/>
              </w:rPr>
              <w:t>2024  SOFR plus 3.765% thereafter</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subordinated debentures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Tidelands Statutory Trust I</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3-month LIBOR plus 1.38%</w:t>
            </w: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Four Oaks Statutory Trust I</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3-month LIBOR plus 1.35%</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Community First Capital Trust I</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Prime plus 0.50%</w:t>
            </w: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Community First Capital Trust II</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3-month LIBOR plus 1.50%</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Community First Capital Trust III</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3-month LIBOR plus 3.00%</w:t>
            </w:r>
          </w:p>
        </w:tc>
        <w:tc>
          <w:tcPr>
            <w:tcW w:w="0" w:type="dxa"/>
            <w:vAlign w:val="bottom"/>
          </w:tcPr>
          <w:p>
            <w:pPr>
              <w:spacing w:after="0"/>
              <w:rPr>
                <w:sz w:val="1"/>
                <w:szCs w:val="1"/>
                <w:color w:val="auto"/>
              </w:rPr>
            </w:pPr>
          </w:p>
        </w:tc>
      </w:tr>
      <w:tr>
        <w:trPr>
          <w:trHeight w:val="207"/>
        </w:trPr>
        <w:tc>
          <w:tcPr>
            <w:tcW w:w="2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trust preferred securities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34,332</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20,620</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discount</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(4,961)</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324,371</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247,360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Indicates currently redeemable.</w:t>
      </w:r>
    </w:p>
    <w:p>
      <w:pPr>
        <w:spacing w:after="0" w:line="2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is currently paid at least semiannually for all senior and subordinated debentures and trust preferred securities. All debt instruments reported above are obligations of the Holding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2022, United assumed $76.7 million in subordinated debentures and trust preferred securities as part of the Reliant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further detail.</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Assets and Liabilities Measured at Fair Value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Hierarchy</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upon quoted prices (unadjusted) in active markets for identical assets or liabilities that United has the ability to access.</w:t>
      </w:r>
    </w:p>
    <w:p>
      <w:pPr>
        <w:spacing w:after="0" w:line="11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 is based upon quoted prices for similar assets and liabilities in active markets, as well as inputs that are observable for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liability (other than quoted prices), such as interest rates, foreign exchange rates, and yield curves that are observable at commonly quoted intervals.</w:t>
      </w:r>
    </w:p>
    <w:p>
      <w:pPr>
        <w:spacing w:after="0" w:line="5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generated from model-based techniques that use at least one significant assumption based on unobservable inputs for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liability, which are typically based on an entity’s own assumptions, as there is little, if any, related market activity.</w:t>
      </w:r>
    </w:p>
    <w:p>
      <w:pPr>
        <w:spacing w:after="0" w:line="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instances when the determination of the fair value measurement is based on inputs from different levels of the fair value hierarchy, the level in the fair value hierarchy within which the entire fair value measurement falls is based on the lowest level input that is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to the fair value measurement in its entirety. The assessment of the significance of a particular input to the fair value measurement in its entirety requires judgment and considers factors specific to the asset or liability.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and liabilities recorded at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AFS debt securities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MBS issued by GSEs, municipal bonds, corporate debt securities, asset-backed securities and supranational entity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 or models which incorporate unobservable inputs.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 Assets and Liabilities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Loans Held for Sale</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are classified as Level 2. In connection with the Reliant acquisition, United acquired certain mortgage loans held for sale for which the fair value option was not elected; these loans are carried at the lower of aggregate cost or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incorporates CVAs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has determined that the majority of the inputs used to value its derivatives fall within Level 2 of the fair value hierarchy. However, the CVAs associated with these derivatives utilize Level 3 inputs, such as estimates of current credit spreads, to evaluate the likelihood of default by itself and its counterparties. Generally, management’s assessment of the significance of the CVAs has indicated that they are not a significant input to the overall valuation of the derivatives. In cases where management’s assessment indicates that the CVA is a significant input, the related derivative is disclosed as a Level 3 value.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derivatives classified as Level 3 include structured derivatives for which broker quotes, used as a key valuation input, were not observable. Risk participation agreements are classified as Level 3 instruments due to the incorporation of significant Level 3 inputs used to evaluate the probability of funding and the likelihood of customer default. Interest rate lock commitments, which relate to mortgage loan commitments, are categorized as Level 3 instruments as the fair value of these instruments is based on unobservable inputs for commitments that United does not expect to fund.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Servicing Rights for Residential and SBA/USDA Loans</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United recognizes servicing rights upon the sale of residential and SBA/USDA loans sold with servicing retained. Management has elected to carry these assets at fair value. Given the nature of these assets, the key valuation inputs are unobservable and management classifies these assets as Level 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Recurring Basis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AFS debt securities: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182,703</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U.S. Government agencies &amp; GSEs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257,182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257,182</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321,883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321,883</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Residential MBS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1,870,571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1,870,571</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MBS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733,052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733,052</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217,669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219,956</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374,938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374,938</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 with readily available fair values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11,603</w:t>
            </w: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 held for sale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22,298</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11,122</w:t>
            </w: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Servicing rights for SBA/USDA loans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6,167</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35,131</w:t>
            </w:r>
          </w:p>
        </w:tc>
      </w:tr>
      <w:tr>
        <w:trPr>
          <w:trHeight w:val="203"/>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37,351</w:t>
            </w:r>
          </w:p>
        </w:tc>
      </w:tr>
      <w:tr>
        <w:trPr>
          <w:trHeight w:val="20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204,175</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3,825,998</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53,784</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4,083,957</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11,146</w:t>
            </w:r>
          </w:p>
        </w:tc>
      </w:tr>
      <w:tr>
        <w:trPr>
          <w:trHeight w:val="19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57,770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68,565</w:t>
            </w:r>
          </w:p>
        </w:tc>
      </w:tr>
      <w:tr>
        <w:trPr>
          <w:trHeight w:val="228"/>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79,711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61"/>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AFS debt securities: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217,520</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U.S. Government agencies &amp; GSEs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187,032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187,032</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275,844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275,844</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Residential MBS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2,145,134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2,145,134</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MBS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873,851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873,851</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190,771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193,166</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604,277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604,277</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 with readily available fair values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 held for sale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44,109</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11,769</w:t>
            </w: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Servicing rights for SBA/USDA loans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6,513</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25,161</w:t>
            </w:r>
          </w:p>
        </w:tc>
      </w:tr>
      <w:tr>
        <w:trPr>
          <w:trHeight w:val="203"/>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42,480</w:t>
            </w:r>
          </w:p>
        </w:tc>
      </w:tr>
      <w:tr>
        <w:trPr>
          <w:trHeight w:val="20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229,289</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4,358,042</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40,827</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4,628,158</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11,795</w:t>
            </w:r>
          </w:p>
        </w:tc>
      </w:tr>
      <w:tr>
        <w:trPr>
          <w:trHeight w:val="19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25,145</w:t>
            </w:r>
          </w:p>
        </w:tc>
      </w:tr>
      <w:tr>
        <w:trPr>
          <w:trHeight w:val="228"/>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Derivative</w:t>
            </w:r>
          </w:p>
        </w:tc>
        <w:tc>
          <w:tcPr>
            <w:tcW w:w="10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SBA/USDA</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Residential</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Derivative</w:t>
            </w:r>
          </w:p>
        </w:tc>
        <w:tc>
          <w:tcPr>
            <w:tcW w:w="12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SBA/USDA</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Residential</w:t>
            </w:r>
          </w:p>
        </w:tc>
        <w:tc>
          <w:tcPr>
            <w:tcW w:w="120" w:type="dxa"/>
            <w:vAlign w:val="bottom"/>
          </w:tcPr>
          <w:p>
            <w:pPr>
              <w:spacing w:after="0"/>
              <w:rPr>
                <w:sz w:val="10"/>
                <w:szCs w:val="10"/>
                <w:color w:val="auto"/>
              </w:rPr>
            </w:pPr>
          </w:p>
        </w:tc>
        <w:tc>
          <w:tcPr>
            <w:tcW w:w="7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loan servicing</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mortgage</w:t>
            </w: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8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loan servicing</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mortgage</w:t>
            </w: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0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rights</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servicing rights</w:t>
            </w: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Bonds</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Assets</w:t>
            </w: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rights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servicing rights</w:t>
            </w:r>
          </w:p>
        </w:tc>
        <w:tc>
          <w:tcPr>
            <w:tcW w:w="12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Bonds</w:t>
            </w:r>
          </w:p>
        </w:tc>
        <w:tc>
          <w:tcPr>
            <w:tcW w:w="0" w:type="dxa"/>
            <w:vAlign w:val="bottom"/>
          </w:tcPr>
          <w:p>
            <w:pPr>
              <w:spacing w:after="0"/>
              <w:rPr>
                <w:sz w:val="1"/>
                <w:szCs w:val="1"/>
                <w:color w:val="auto"/>
              </w:rPr>
            </w:pPr>
          </w:p>
        </w:tc>
      </w:tr>
      <w:tr>
        <w:trPr>
          <w:trHeight w:val="23"/>
        </w:trPr>
        <w:tc>
          <w:tcPr>
            <w:tcW w:w="24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1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Three Months Ended June</w:t>
            </w:r>
          </w:p>
        </w:tc>
        <w:tc>
          <w:tcPr>
            <w:tcW w:w="8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30,</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32,641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0" w:type="dxa"/>
            <w:vAlign w:val="bottom"/>
          </w:tcPr>
          <w:p>
            <w:pPr>
              <w:spacing w:after="0"/>
              <w:rPr>
                <w:sz w:val="1"/>
                <w:szCs w:val="1"/>
                <w:color w:val="auto"/>
              </w:rPr>
            </w:pPr>
          </w:p>
        </w:tc>
      </w:tr>
      <w:tr>
        <w:trPr>
          <w:trHeight w:val="170"/>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Additions</w:t>
            </w: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Sales and settlements</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5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3"/>
                <w:szCs w:val="13"/>
                <w:color w:val="auto"/>
              </w:rPr>
              <w:t>Fair value adjustments</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included in OCI</w:t>
            </w:r>
          </w:p>
        </w:tc>
        <w:tc>
          <w:tcPr>
            <w:tcW w:w="1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29"/>
        </w:trPr>
        <w:tc>
          <w:tcPr>
            <w:tcW w:w="150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Fair value adjustments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included in earnings</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2,297</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10,199</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6,167</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35,131</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3,944</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6,115</w:t>
            </w:r>
          </w:p>
        </w:tc>
        <w:tc>
          <w:tcPr>
            <w:tcW w:w="1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21,568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1,707</w:t>
            </w:r>
          </w:p>
        </w:tc>
        <w:tc>
          <w:tcPr>
            <w:tcW w:w="0" w:type="dxa"/>
            <w:vAlign w:val="bottom"/>
          </w:tcPr>
          <w:p>
            <w:pPr>
              <w:spacing w:after="0"/>
              <w:rPr>
                <w:sz w:val="1"/>
                <w:szCs w:val="1"/>
                <w:color w:val="auto"/>
              </w:rPr>
            </w:pP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Six Months Ended June 30,</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Beginning balance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0" w:type="dxa"/>
            <w:vAlign w:val="bottom"/>
          </w:tcPr>
          <w:p>
            <w:pPr>
              <w:spacing w:after="0"/>
              <w:rPr>
                <w:sz w:val="1"/>
                <w:szCs w:val="1"/>
                <w:color w:val="auto"/>
              </w:rPr>
            </w:pPr>
          </w:p>
        </w:tc>
      </w:tr>
      <w:tr>
        <w:trPr>
          <w:trHeight w:val="170"/>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Additions</w:t>
            </w: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Transfers from Level 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Sales and settlements</w:t>
            </w: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500" w:type="dxa"/>
            <w:vAlign w:val="bottom"/>
            <w:gridSpan w:val="2"/>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Fair value adjustments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included in OCI</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22"/>
        </w:trPr>
        <w:tc>
          <w:tcPr>
            <w:tcW w:w="15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3"/>
                <w:szCs w:val="13"/>
                <w:color w:val="auto"/>
              </w:rPr>
              <w:t>Fair value adjustments</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included in earnings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significant Level 3 inputs for fair value on a recurring basis as of the dates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 Assets and Liabilities</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2740" w:type="dxa"/>
            <w:vAlign w:val="bottom"/>
            <w:gridSpan w:val="4"/>
            <w:vMerge w:val="restart"/>
          </w:tcPr>
          <w:p>
            <w:pPr>
              <w:ind w:left="8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640" w:type="dxa"/>
            <w:vAlign w:val="bottom"/>
            <w:gridSpan w:val="3"/>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14"/>
        </w:trPr>
        <w:tc>
          <w:tcPr>
            <w:tcW w:w="2420" w:type="dxa"/>
            <w:vAlign w:val="bottom"/>
            <w:gridSpan w:val="2"/>
            <w:vMerge w:val="continue"/>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Technique</w:t>
            </w:r>
          </w:p>
        </w:tc>
        <w:tc>
          <w:tcPr>
            <w:tcW w:w="212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740" w:type="dxa"/>
            <w:vAlign w:val="bottom"/>
            <w:gridSpan w:val="4"/>
            <w:vMerge w:val="continue"/>
          </w:tcPr>
          <w:p>
            <w:pPr>
              <w:spacing w:after="0"/>
              <w:rPr>
                <w:sz w:val="18"/>
                <w:szCs w:val="18"/>
                <w:color w:val="auto"/>
              </w:rPr>
            </w:pPr>
          </w:p>
        </w:tc>
        <w:tc>
          <w:tcPr>
            <w:tcW w:w="26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3"/>
                <w:szCs w:val="13"/>
                <w:color w:val="auto"/>
              </w:rPr>
            </w:pPr>
          </w:p>
        </w:tc>
        <w:tc>
          <w:tcPr>
            <w:tcW w:w="1520" w:type="dxa"/>
            <w:vAlign w:val="bottom"/>
            <w:tcBorders>
              <w:top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2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20" w:type="dxa"/>
            <w:vAlign w:val="bottom"/>
            <w:gridSpan w:val="2"/>
            <w:vMerge w:val="continue"/>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44"/>
        </w:trPr>
        <w:tc>
          <w:tcPr>
            <w:tcW w:w="24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SBA/USDA loan servicing rights</w:t>
            </w:r>
          </w:p>
        </w:tc>
        <w:tc>
          <w:tcPr>
            <w:tcW w:w="1320" w:type="dxa"/>
            <w:vAlign w:val="bottom"/>
            <w:tcBorders>
              <w:top w:val="single" w:sz="8" w:color="CCEEFF"/>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Discounted cash</w:t>
            </w:r>
          </w:p>
        </w:tc>
        <w:tc>
          <w:tcPr>
            <w:tcW w:w="21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- 50.6%</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2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- 45.4%</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129"/>
        </w:trPr>
        <w:tc>
          <w:tcPr>
            <w:tcW w:w="2420" w:type="dxa"/>
            <w:vAlign w:val="bottom"/>
            <w:gridSpan w:val="2"/>
            <w:vMerge w:val="continue"/>
            <w:shd w:val="clear" w:color="auto" w:fill="CCEEFF"/>
          </w:tcPr>
          <w:p>
            <w:pPr>
              <w:spacing w:after="0"/>
              <w:rPr>
                <w:sz w:val="11"/>
                <w:szCs w:val="11"/>
                <w:color w:val="auto"/>
              </w:rPr>
            </w:pP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120" w:type="dxa"/>
            <w:vAlign w:val="bottom"/>
            <w:gridSpan w:val="2"/>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Prepayment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0.0 - 34.2</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3.2 - 31.3</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Residential mortgage servicing</w:t>
            </w:r>
          </w:p>
        </w:tc>
        <w:tc>
          <w:tcPr>
            <w:tcW w:w="13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Discounted cash</w:t>
            </w: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9.5 - 10.5</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9.5 - 10.5</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129"/>
        </w:trPr>
        <w:tc>
          <w:tcPr>
            <w:tcW w:w="2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rights</w:t>
            </w: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120" w:type="dxa"/>
            <w:vAlign w:val="bottom"/>
            <w:gridSpan w:val="2"/>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420" w:type="dxa"/>
            <w:vAlign w:val="bottom"/>
            <w:gridSpan w:val="2"/>
            <w:vMerge w:val="continue"/>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Prepayment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7.0 - 40.2</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7.0 - 77.6</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165"/>
        </w:trPr>
        <w:tc>
          <w:tcPr>
            <w:tcW w:w="2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3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Discounted cash</w:t>
            </w: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5.1 - 5.3</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3.6 - 3.8</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29"/>
        </w:trPr>
        <w:tc>
          <w:tcPr>
            <w:tcW w:w="2420" w:type="dxa"/>
            <w:vAlign w:val="bottom"/>
            <w:gridSpan w:val="2"/>
            <w:vMerge w:val="continue"/>
            <w:shd w:val="clear" w:color="auto" w:fill="CCEEFF"/>
          </w:tcPr>
          <w:p>
            <w:pPr>
              <w:spacing w:after="0"/>
              <w:rPr>
                <w:sz w:val="11"/>
                <w:szCs w:val="11"/>
                <w:color w:val="auto"/>
              </w:rPr>
            </w:pP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120" w:type="dxa"/>
            <w:vAlign w:val="bottom"/>
            <w:gridSpan w:val="2"/>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Derivative assets - customer</w:t>
            </w: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Internal model</w:t>
            </w: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Estimated loss rate</w:t>
            </w:r>
          </w:p>
        </w:tc>
        <w:tc>
          <w:tcPr>
            <w:tcW w:w="15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33.4 - 44.0</w:t>
            </w:r>
          </w:p>
        </w:tc>
        <w:tc>
          <w:tcPr>
            <w:tcW w:w="100" w:type="dxa"/>
            <w:vAlign w:val="bottom"/>
          </w:tcPr>
          <w:p>
            <w:pPr>
              <w:spacing w:after="0"/>
              <w:rPr>
                <w:sz w:val="14"/>
                <w:szCs w:val="14"/>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129"/>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derivative positions</w:t>
            </w:r>
          </w:p>
        </w:tc>
        <w:tc>
          <w:tcPr>
            <w:tcW w:w="1320" w:type="dxa"/>
            <w:vAlign w:val="bottom"/>
            <w:gridSpan w:val="2"/>
            <w:vMerge w:val="continue"/>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4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 mortgage</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Internal model</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Pull through rate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55.4 - 100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45.9 - 100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Derivative assets and liabilities -</w:t>
            </w: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Dealer priced</w:t>
            </w: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Dealer priced</w:t>
            </w:r>
          </w:p>
        </w:tc>
        <w:tc>
          <w:tcPr>
            <w:tcW w:w="15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29"/>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gridSpan w:val="2"/>
            <w:vMerge w:val="continue"/>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4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Option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United generally records mortgage loans held for sale at fair value under the fair value option. Interest income on these loans is calculated based on the note rate of the loan and is recorded in interest revenue. Through the Reliant acquisition, United acquired mortgage loans held for sale accounted for under the lower of cost or fair value method. These loans are separately disclosed under the heading “Assets and Liabilities Measured at Fair Value on a Nonrecurring Basis” within this footnote. The following tables present the fair value and outstanding principal balance of loans accounted for under the fair value option, as well as the gain or loss recognized from the change in fair value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Mortgage Loans Held for Sale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2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gridSpan w:val="4"/>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720" w:type="dxa"/>
            <w:vAlign w:val="bottom"/>
            <w:tcBorders>
              <w:bottom w:val="single" w:sz="8" w:color="CCEEFF"/>
            </w:tcBorders>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principal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21,781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42,581</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22,298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44,109</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13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gridSpan w:val="13"/>
          </w:tcPr>
          <w:p>
            <w:pPr>
              <w:ind w:left="1400"/>
              <w:spacing w:after="0"/>
              <w:rPr>
                <w:sz w:val="20"/>
                <w:szCs w:val="20"/>
                <w:color w:val="auto"/>
              </w:rPr>
            </w:pPr>
            <w:r>
              <w:rPr>
                <w:rFonts w:ascii="Times New Roman" w:cs="Times New Roman" w:eastAsia="Times New Roman" w:hAnsi="Times New Roman"/>
                <w:sz w:val="16"/>
                <w:szCs w:val="16"/>
                <w:b w:val="1"/>
                <w:bCs w:val="1"/>
                <w:color w:val="auto"/>
              </w:rPr>
              <w:t>Gain (Loss) from Change in Fair Value on Mortgage Loans Held for Sale</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0" w:type="dxa"/>
            <w:vAlign w:val="bottom"/>
            <w:vMerge w:val="restart"/>
          </w:tcPr>
          <w:p>
            <w:pPr>
              <w:ind w:left="11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20" w:type="dxa"/>
            <w:vAlign w:val="bottom"/>
          </w:tcPr>
          <w:p>
            <w:pPr>
              <w:spacing w:after="0"/>
              <w:rPr>
                <w:sz w:val="13"/>
                <w:szCs w:val="13"/>
                <w:color w:val="auto"/>
              </w:rPr>
            </w:pPr>
          </w:p>
        </w:tc>
        <w:tc>
          <w:tcPr>
            <w:tcW w:w="2220" w:type="dxa"/>
            <w:vAlign w:val="bottom"/>
            <w:gridSpan w:val="6"/>
          </w:tcPr>
          <w:p>
            <w:pPr>
              <w:jc w:val="center"/>
              <w:ind w:left="59"/>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5"/>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gridSpan w:val="6"/>
          </w:tcPr>
          <w:p>
            <w:pPr>
              <w:jc w:val="center"/>
              <w:ind w:right="14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2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Mortgage loan gains and other related fees</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(1,721)</w:t>
            </w:r>
          </w:p>
        </w:tc>
        <w:tc>
          <w:tcPr>
            <w:tcW w:w="1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fair value were mostly offset by hedging activities. An immaterial portion of these amounts was attributable to changes in instrument-specific credit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Nonrecurring Basis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assets that were still held as of June 30, 2022 and December 31, 2021, for which a nonrecurring fair value adjustment was recorded during the year-to-date periods presented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17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r>
      <w:tr>
        <w:trPr>
          <w:trHeight w:val="207"/>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8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72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 held for sale</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18,380</w:t>
            </w:r>
          </w:p>
        </w:tc>
        <w:tc>
          <w:tcPr>
            <w:tcW w:w="1720" w:type="dxa"/>
            <w:vAlign w:val="bottom"/>
            <w:shd w:val="clear" w:color="auto" w:fill="CCEEFF"/>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04"/>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8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720" w:type="dxa"/>
            <w:vAlign w:val="bottom"/>
          </w:tcPr>
          <w:p>
            <w:pPr>
              <w:spacing w:after="0"/>
              <w:rPr>
                <w:sz w:val="17"/>
                <w:szCs w:val="17"/>
                <w:color w:val="auto"/>
              </w:rPr>
            </w:pP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loans held for sale that were acquired from Reliant were subject to a nonrecurring fair value adjustment resulting from the application of the lower of the amortized cost or fair value accounting. As of June 30, 2022, these loans were classified as nonrecurring Level 3 because the valuation of these loans was based on indicative bids provided by a broker, not corroborated by market transactions.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held for investment that are reported above as being measured at fair value on a nonrecurring basis are generally impaired loans that have either been partially charged off or have specific reserves assigned to them. Nonaccrual loans that are collateral dependent are generally written down to net realizable value, which reflects fair value less the estimated costs to sell. Specific reserves that are established based on appraised value of collateral are considered nonrecurring fair value adjustments as well.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Not Measured at Fair Value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 and fair values as of the dates indicated for other financial instruments that are not measured at fair value on a recurring basis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Fair Value Level</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4"/>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38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2,722,475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2,431,138</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14,404,305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14,063,685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14,063,685</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20,873,083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20,869,002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20,869,002</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324,371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322,102</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4"/>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r>
      <w:tr>
        <w:trPr>
          <w:trHeight w:val="211"/>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1,156,098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1,148,804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1,148,804</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11,657,814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11,607,821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11,607,821</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18,241,179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18,239,934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18,239,934</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has an equity compensation plan that allows for grants of various share-based compensation. The general terms of the plan include a vesting period (usually four years) with an exercisable period not to exceed ten years. Certain options and restricted stock unit awards provide for accelerated vesting if there is a change in control (as defined in the plan document). As of June 30, 2022, 2,982,380 additional awards could be granted under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restricted stock unit and option activity for the six months ended June 30,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3920" w:type="dxa"/>
            <w:vAlign w:val="bottom"/>
            <w:gridSpan w:val="8"/>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Restricted Stock Unit Awards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ind w:left="11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9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center"/>
              <w:ind w:right="46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4"/>
                <w:szCs w:val="14"/>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8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38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11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Average Exercise</w:t>
            </w:r>
          </w:p>
        </w:tc>
        <w:tc>
          <w:tcPr>
            <w:tcW w:w="138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0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1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Value ($000)</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Value ($000)</w:t>
            </w:r>
          </w:p>
        </w:tc>
        <w:tc>
          <w:tcPr>
            <w:tcW w:w="0" w:type="dxa"/>
            <w:vAlign w:val="bottom"/>
          </w:tcPr>
          <w:p>
            <w:pPr>
              <w:spacing w:after="0"/>
              <w:rPr>
                <w:sz w:val="1"/>
                <w:szCs w:val="1"/>
                <w:color w:val="auto"/>
              </w:rPr>
            </w:pPr>
          </w:p>
        </w:tc>
      </w:tr>
      <w:tr>
        <w:trPr>
          <w:trHeight w:val="144"/>
        </w:trPr>
        <w:tc>
          <w:tcPr>
            <w:tcW w:w="19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Outstanding at December</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808,474</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35,460</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31, 2021</w:t>
            </w:r>
          </w:p>
        </w:tc>
        <w:tc>
          <w:tcPr>
            <w:tcW w:w="10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Released / Exercised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3"/>
        </w:trPr>
        <w:tc>
          <w:tcPr>
            <w:tcW w:w="1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Cancelled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9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Outstanding at June 30,</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830,819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25,082</w:t>
            </w:r>
          </w:p>
        </w:tc>
        <w:tc>
          <w:tcPr>
            <w:tcW w:w="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0" w:type="dxa"/>
            <w:vAlign w:val="bottom"/>
          </w:tcPr>
          <w:p>
            <w:pPr>
              <w:spacing w:after="0"/>
              <w:rPr>
                <w:sz w:val="1"/>
                <w:szCs w:val="1"/>
                <w:color w:val="auto"/>
              </w:rPr>
            </w:pPr>
          </w:p>
        </w:tc>
      </w:tr>
      <w:tr>
        <w:trPr>
          <w:trHeight w:val="209"/>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Vested / Exercisable at June</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67,934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0" w:type="dxa"/>
            <w:vAlign w:val="bottom"/>
          </w:tcPr>
          <w:p>
            <w:pPr>
              <w:spacing w:after="0"/>
              <w:rPr>
                <w:sz w:val="1"/>
                <w:szCs w:val="1"/>
                <w:color w:val="auto"/>
              </w:rPr>
            </w:pPr>
          </w:p>
        </w:tc>
      </w:tr>
      <w:tr>
        <w:trPr>
          <w:trHeight w:val="209"/>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30, 2022</w:t>
            </w: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Options granted in 2022 reflect options assumed in the Reliant acquisition, with the weighted average exercise price of Reliant’s fully vested converted options determined pursuant to the purchase agreement. The value of the Reliant options was determined using a Black-Scholes model and was included in the purchase price for the acquisition. No compensation expense relating to options was included in earnings for the six months ended June 30, 2022 and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expense for restricted stock units and performance stock units without market conditions is based on the market value of United’s common stock on the date of grant. Compensation expense for performance stock units with market conditions is based on the grant date per share fair market value, which was estimated using the Monte Carlo Simulation valuation model. United recognizes the impact of forfeitures as they occur. The value of restricted stock unit and performance stock unit awards is amortized into expense over the service period.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2022 and 2021, expense of $4.62 million and $2.91 million, respectively, was recognized related to restricted stock unit and performance stock unit awards granted to United employees, which was included in salaries and employee benefits expense. In addition, for the six months ended June 30, 2022 and 2021, $238,000 and $235,000, respectively, was recognized in other expense for restricted stock unit awards granted to members of United’s Board of Directors.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deferred income tax benefit related to stock-based compensation expense of $1.24 million and $802,000 was included in the determination of income tax expense for the six months ended June 30, 2022 and 2021, respectively. As of June 30, 2022, there was $15.0 million of unrecognized expense related to non-vested restricted stock unit and performance stock unit awards granted under the plan. That cost is expected to be recognized over a weighted-average period of 2.5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Reclassifications Out of AOCI</w:t>
      </w:r>
    </w:p>
    <w:p>
      <w:pPr>
        <w:spacing w:after="0" w:line="25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 xml:space="preserve">The following table presents the details regarding amounts reclassified out of AOCI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Amounts shown in parentheses reduce earnings.</w:t>
      </w:r>
    </w:p>
    <w:tbl>
      <w:tblPr>
        <w:tblLayout w:type="fixed"/>
        <w:tblInd w:w="0" w:type="dxa"/>
        <w:tblCellMar>
          <w:top w:w="0" w:type="dxa"/>
          <w:left w:w="0" w:type="dxa"/>
          <w:bottom w:w="0" w:type="dxa"/>
          <w:right w:w="0" w:type="dxa"/>
        </w:tblCellMar>
      </w:tblPr>
      <w:tr>
        <w:trPr>
          <w:trHeight w:val="165"/>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200"/>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4"/>
                <w:szCs w:val="14"/>
                <w:color w:val="auto"/>
              </w:rPr>
            </w:pPr>
          </w:p>
        </w:tc>
        <w:tc>
          <w:tcPr>
            <w:tcW w:w="1740" w:type="dxa"/>
            <w:vAlign w:val="bottom"/>
            <w:gridSpan w:val="3"/>
          </w:tcPr>
          <w:p>
            <w:pPr>
              <w:jc w:val="right"/>
              <w:ind w:right="79"/>
              <w:spacing w:after="0" w:line="165"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38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216"/>
        </w:trPr>
        <w:tc>
          <w:tcPr>
            <w:tcW w:w="3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80" w:type="dxa"/>
            <w:vAlign w:val="bottom"/>
            <w:tcBorders>
              <w:bottom w:val="single" w:sz="8" w:color="auto"/>
            </w:tcBorders>
          </w:tcPr>
          <w:p>
            <w:pPr>
              <w:spacing w:after="0"/>
              <w:rPr>
                <w:sz w:val="18"/>
                <w:szCs w:val="18"/>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Where</w:t>
            </w:r>
          </w:p>
        </w:tc>
      </w:tr>
      <w:tr>
        <w:trPr>
          <w:trHeight w:val="208"/>
        </w:trPr>
        <w:tc>
          <w:tcPr>
            <w:tcW w:w="3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Details about AOCI Components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rPr>
              <w:t>Net Income is Presented</w:t>
            </w:r>
          </w:p>
        </w:tc>
      </w:tr>
      <w:tr>
        <w:trPr>
          <w:trHeight w:val="21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 gains (losses) on AFS securities: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r>
      <w:tr>
        <w:trPr>
          <w:trHeight w:val="213"/>
        </w:trPr>
        <w:tc>
          <w:tcPr>
            <w:tcW w:w="30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w:t>
            </w:r>
          </w:p>
        </w:tc>
        <w:tc>
          <w:tcPr>
            <w:tcW w:w="120" w:type="dxa"/>
            <w:vAlign w:val="bottom"/>
          </w:tcPr>
          <w:p>
            <w:pPr>
              <w:spacing w:after="0"/>
              <w:rPr>
                <w:sz w:val="18"/>
                <w:szCs w:val="18"/>
                <w:color w:val="auto"/>
              </w:rPr>
            </w:pP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Securities gains (losses), net</w:t>
            </w:r>
          </w:p>
        </w:tc>
      </w:tr>
      <w:tr>
        <w:trPr>
          <w:trHeight w:val="216"/>
        </w:trPr>
        <w:tc>
          <w:tcPr>
            <w:tcW w:w="30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 benefit</w:t>
            </w:r>
          </w:p>
        </w:tc>
      </w:tr>
      <w:tr>
        <w:trPr>
          <w:trHeight w:val="212"/>
        </w:trPr>
        <w:tc>
          <w:tcPr>
            <w:tcW w:w="30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r>
      <w:tr>
        <w:trPr>
          <w:trHeight w:val="223"/>
        </w:trPr>
        <w:tc>
          <w:tcPr>
            <w:tcW w:w="3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r>
      <w:tr>
        <w:trPr>
          <w:trHeight w:val="213"/>
        </w:trPr>
        <w:tc>
          <w:tcPr>
            <w:tcW w:w="55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losses on HTM securities transferred from AFS: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9"/>
        </w:trPr>
        <w:tc>
          <w:tcPr>
            <w:tcW w:w="30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 interest revenue</w:t>
            </w:r>
          </w:p>
        </w:tc>
      </w:tr>
      <w:tr>
        <w:trPr>
          <w:trHeight w:val="213"/>
        </w:trPr>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benefit</w:t>
            </w:r>
          </w:p>
        </w:tc>
      </w:tr>
      <w:tr>
        <w:trPr>
          <w:trHeight w:val="237"/>
        </w:trPr>
        <w:tc>
          <w:tcPr>
            <w:tcW w:w="30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180" w:type="dxa"/>
            <w:vAlign w:val="bottom"/>
            <w:tcBorders>
              <w:top w:val="single" w:sz="8" w:color="CCEEFF"/>
            </w:tcBorders>
            <w:gridSpan w:val="3"/>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r>
      <w:tr>
        <w:trPr>
          <w:trHeight w:val="163"/>
        </w:trPr>
        <w:tc>
          <w:tcPr>
            <w:tcW w:w="30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3340" w:type="dxa"/>
            <w:vAlign w:val="bottom"/>
          </w:tcPr>
          <w:p>
            <w:pPr>
              <w:spacing w:after="0"/>
              <w:rPr>
                <w:sz w:val="14"/>
                <w:szCs w:val="14"/>
                <w:color w:val="auto"/>
              </w:rPr>
            </w:pPr>
          </w:p>
        </w:tc>
      </w:tr>
      <w:tr>
        <w:trPr>
          <w:trHeight w:val="216"/>
        </w:trPr>
        <w:tc>
          <w:tcPr>
            <w:tcW w:w="4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Losses on derivative instruments accounted for as cash flow hedges: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r>
      <w:tr>
        <w:trPr>
          <w:trHeight w:val="213"/>
        </w:trPr>
        <w:tc>
          <w:tcPr>
            <w:tcW w:w="3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rate contracts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8"/>
                <w:szCs w:val="18"/>
                <w:color w:val="auto"/>
              </w:rPr>
            </w:pP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(291)</w:t>
            </w:r>
          </w:p>
        </w:tc>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interest expense</w:t>
            </w:r>
          </w:p>
        </w:tc>
      </w:tr>
      <w:tr>
        <w:trPr>
          <w:trHeight w:val="216"/>
        </w:trPr>
        <w:tc>
          <w:tcPr>
            <w:tcW w:w="30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benefit</w:t>
            </w:r>
          </w:p>
        </w:tc>
      </w:tr>
      <w:tr>
        <w:trPr>
          <w:trHeight w:val="212"/>
        </w:trPr>
        <w:tc>
          <w:tcPr>
            <w:tcW w:w="30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(217)</w:t>
            </w:r>
          </w:p>
        </w:tc>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r>
      <w:tr>
        <w:trPr>
          <w:trHeight w:val="183"/>
        </w:trPr>
        <w:tc>
          <w:tcPr>
            <w:tcW w:w="3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213"/>
        </w:trPr>
        <w:tc>
          <w:tcPr>
            <w:tcW w:w="55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Amortization of defined benefit pension plan net periodic pension cost components: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9"/>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Prior service cost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(234)</w:t>
            </w: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 expense</w:t>
            </w:r>
          </w:p>
        </w:tc>
      </w:tr>
      <w:tr>
        <w:trPr>
          <w:trHeight w:val="213"/>
        </w:trPr>
        <w:tc>
          <w:tcPr>
            <w:tcW w:w="3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Actuarial losses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(288)</w:t>
            </w:r>
          </w:p>
        </w:tc>
        <w:tc>
          <w:tcPr>
            <w:tcW w:w="3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r>
      <w:tr>
        <w:trPr>
          <w:trHeight w:val="212"/>
        </w:trPr>
        <w:tc>
          <w:tcPr>
            <w:tcW w:w="3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(522)</w:t>
            </w: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13"/>
        </w:trPr>
        <w:tc>
          <w:tcPr>
            <w:tcW w:w="30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3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benefit</w:t>
            </w:r>
          </w:p>
        </w:tc>
      </w:tr>
      <w:tr>
        <w:trPr>
          <w:trHeight w:val="237"/>
        </w:trPr>
        <w:tc>
          <w:tcPr>
            <w:tcW w:w="30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(388)</w:t>
            </w:r>
          </w:p>
        </w:tc>
        <w:tc>
          <w:tcPr>
            <w:tcW w:w="3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r>
      <w:tr>
        <w:trPr>
          <w:trHeight w:val="163"/>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241"/>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(578)</w:t>
            </w:r>
          </w:p>
        </w:tc>
        <w:tc>
          <w:tcPr>
            <w:tcW w:w="3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computation of basic and diluted earnings per share for the periods indicated </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6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10"/>
        </w:trPr>
        <w:tc>
          <w:tcPr>
            <w:tcW w:w="53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143,966</w:t>
            </w: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w:t>
            </w: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allocated to participating securities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r>
      <w:tr>
        <w:trPr>
          <w:trHeight w:val="212"/>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64,761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110,827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139,634</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8"/>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87,306</w:t>
            </w:r>
          </w:p>
        </w:tc>
      </w:tr>
      <w:tr>
        <w:trPr>
          <w:trHeight w:val="213"/>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Restricted stock units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37"/>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106,697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87,443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share: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5"/>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and 2021, United had no potentially dilutive instruments outstanding that were not included in the above analysis.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Regulatory Matters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United and the Bank were categorized as well-capitalized under the regulatory requirements in effect at that time. To be categorized as well-capitalized, United and the Bank must have exceeded the well-capitalized guideline ratios in effect at the time, as set forth in the table below, and have met certain other requirements. Management believes that United and the Bank exceeded all well-capitalized requirements at June 30, 2022, and there have been no conditions or events since quarter-end that would change the status of well-capitalized.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Regulatory capital ratios at June 30, 2022 and December 31, 2021, along with the minimum amounts required for capital adequacy purposes and to be well-capitalized under regulatory requirements in effect at such times are presented below for United and the Bank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240" w:type="dxa"/>
            <w:vAlign w:val="bottom"/>
          </w:tcPr>
          <w:p>
            <w:pPr>
              <w:spacing w:after="0"/>
              <w:rPr>
                <w:sz w:val="16"/>
                <w:szCs w:val="16"/>
                <w:color w:val="auto"/>
              </w:rPr>
            </w:pPr>
          </w:p>
        </w:tc>
        <w:tc>
          <w:tcPr>
            <w:tcW w:w="25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(Consolidated)</w:t>
            </w:r>
          </w:p>
        </w:tc>
        <w:tc>
          <w:tcPr>
            <w:tcW w:w="240" w:type="dxa"/>
            <w:vAlign w:val="bottom"/>
          </w:tcPr>
          <w:p>
            <w:pPr>
              <w:spacing w:after="0"/>
              <w:rPr>
                <w:sz w:val="18"/>
                <w:szCs w:val="18"/>
                <w:color w:val="auto"/>
              </w:rPr>
            </w:pPr>
          </w:p>
        </w:tc>
        <w:tc>
          <w:tcPr>
            <w:tcW w:w="25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20" w:type="dxa"/>
            <w:vAlign w:val="bottom"/>
          </w:tcPr>
          <w:p>
            <w:pPr>
              <w:spacing w:after="0"/>
              <w:rPr>
                <w:sz w:val="13"/>
                <w:szCs w:val="13"/>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Minimum </w:t>
            </w:r>
            <w:r>
              <w:rPr>
                <w:rFonts w:ascii="Times New Roman" w:cs="Times New Roman" w:eastAsia="Times New Roman" w:hAnsi="Times New Roman"/>
                <w:sz w:val="21"/>
                <w:szCs w:val="21"/>
                <w:b w:val="1"/>
                <w:bCs w:val="1"/>
                <w:color w:val="auto"/>
                <w:vertAlign w:val="superscript"/>
              </w:rPr>
              <w:t>(1)</w:t>
            </w:r>
          </w:p>
        </w:tc>
        <w:tc>
          <w:tcPr>
            <w:tcW w:w="12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Well-</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20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12.87 %</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12.87</w:t>
            </w: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2,039,434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1,688,176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2,181,665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1,738,557</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2,135,857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1,784,598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2,181,665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1,738,557</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2,455,296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1,984,376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2,304,895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1,818,335</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Risk-weighted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16,994,080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13,548,534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16,921,874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13,512,405</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total assets for the leverage ratio</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23,639,913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20,402,842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23,593,745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20,377,319</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June 30, 2022 and December 31, 2021 the additional capital conservation buffer in effect was 2.50%</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11"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the contractual amount of off-balance sheet instruments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2"/>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whose contract amounts represent credit risk:</w:t>
            </w:r>
          </w:p>
        </w:tc>
        <w:tc>
          <w:tcPr>
            <w:tcW w:w="2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 to extend credit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4,481,880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3,591,975</w:t>
            </w: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Letters of credit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29,312</w:t>
            </w: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holds minor investments in certain entities for tax credit and Community Reinvestment Act purposes. As of June 30, 2022 and December 31, 2021, the Bank had a recorded investment of $81.0 million and $52.7 million, respectively, in such investments, which is included in other assets on the consolidated balance sheet. As of June 30, 2022, United had committed to fund an additional $7.93 million related to future capital calls that are not reflected in the consolidated balance sheet.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 Holding Company also had $18.9 million in commitments for future capital calls to fintech fund limited partnerships that have not been reflected in the consolidated balance sheet.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our financial condition at June 30, 2022 and December 31, 2021 and our results of operations for the three and six months ended June 30, 2022 and 2021.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Report, “Cautionary Note Regarding Forward-Looking Statements” and the risk factors discussed in our 2021 10-K, and the other reports we have filed with the SEC after we filed the 2021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terms “we,” “our,” “us” refer to United on a consolidated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wide array of commercial and consumer banking services and investment advisory services through a 195 branch network throughout Georgia, South Carolina, North Carolina, Tennessee and Florida. We have grown organically as well as through strategic acquisitions. At June 30, 2022, we had consolidated total assets of $24.2 billion and 2,822 full-time equivalent employees.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Mergers and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June 30, 2021, we have continued to expand through acquisitions as follows:</w:t>
      </w:r>
    </w:p>
    <w:p>
      <w:pPr>
        <w:spacing w:after="0" w:line="144" w:lineRule="exact"/>
        <w:rPr>
          <w:sz w:val="20"/>
          <w:szCs w:val="20"/>
          <w:color w:val="auto"/>
        </w:rPr>
      </w:pPr>
    </w:p>
    <w:p>
      <w:pPr>
        <w:jc w:val="both"/>
        <w:ind w:left="660" w:hanging="328"/>
        <w:spacing w:after="0" w:line="266" w:lineRule="auto"/>
        <w:tabs>
          <w:tab w:leader="none" w:pos="683"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January 1, 2022, we completed the acquisition of Reliant, which was headquartered in Brentwood, Tennessee, a suburb of Nashville, Tennessee, and operated a 25-branch network in Tennessee. We acquired $2.96 billion of assets and assumed $2.66 billion of liabilities in the acquisition, which included $2.32 billion in loans and $2.50 billion in deposits.</w:t>
      </w:r>
    </w:p>
    <w:p>
      <w:pPr>
        <w:spacing w:after="0" w:line="10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6" w:lineRule="auto"/>
        <w:tabs>
          <w:tab w:leader="none" w:pos="67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1, 2021, we acquired Aquesta, a bank headquartered in Cornelius, North Carolina which operated a network of branches primarily located in the Charlotte metropolitan area. We acquired total assets of $756 million, including $498 million in loans, and we assumed $658 million in deposits as of the acquisition date.</w:t>
      </w:r>
    </w:p>
    <w:p>
      <w:pPr>
        <w:spacing w:after="0" w:line="108"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7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6, 2021, we acquired FinTrust, an investment advisory firm headquartered in Greenville, South Carolina, with additional locations in Anderson, South Carolina, and Athens and Macon, Georgia. The firm provides wealth and investment management services to individuals and institutions within its markets, which expanded our Wealth Management division.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4, 2022, we announced an agreement to acquire Progress, which we plan to complete in the fourth quarter of 2022. Progress is headquartered in Huntsville, Alabama, and operates 14 offices in high-growth southeastern markets, including Huntsville, Birmingham, Daphne and Tuscaloosa in Alabama and the Florida Panhandle. As of June 30, 2022, Progress had total assets of $1.84 billion, total loans of $1.34 billion, and total deposits of $1.65 billion. In addition to traditional banking products, Progress offers wealth management and private banking through Progress Financial Services with approximately $1.12 billion in assets under management.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reported net income and diluted earnings per common share of $66.8 million and $0.61, respectively, for the second quarter of 2022 compared to $70.3 million and $0.78, respectively, for the same period in 2021. Operating net income (non-GAAP), which excludes merger-related and other charges, was $72.4 million for the second quarter of 2022, compared to $71.1 million for the same period in 2021.</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revenue increased to $179 million for the second quarter of 2022, compared to $138 million for the second quarter of 2021. The increase in interest revenue provided by loan growth, including loans acquired from Aquesta and Reliant, and continued investment in our securities portfolio more than offset the increase in interest expense resulting from deposit growth and increased long-term debt, both of which also included increases resulting from acquisitions. Our net interest margin has improved over the last three quarters due to the rising interest rate environment, partially offset by tapering accelerated PPP deferred fee accretion and interest revenue. However, the net interest margin for the three months ended June 30, 2022 and 2021 remained flat at 3.19%, which is largely attributable to the $13.0 million in accelerated PPP fee accretion included in the second quarter of 2021 net interest revenue, which added approximately 30 basis points to the net interest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 provision for credit losses of $5.60 million for the second quarter of 2022, compared to a negative provision of $13.6 million for the second quarter of 2021. The negative provision in 2021 resulted from a downward adjustment to the ACL, reflecting an improved economic forecast as the outlook of the COVID-19 pandemic improved combined with low net charge-offs during the quarter. We recorded net recoveries for the second quarters of 2022 and 2021 totaling $1.07 million and $456,000, respectively.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Noninterest income of $33.5 million for the second quarter of 2022 was down $2.38 million, or 7%, from the second quarter of 2021. Lower gains on sales of mortgage loans and related fees drove most of the decrease, which were down $4.17 million compared to the same period of 2021. The decrease reflects lower demand in the real estate mortgage market as interest rates have started to rise. We also recorded unrealized losses on other investments during the second quarter of 2022 compared to unrealized gains in the same period of 2021, reflective of market conditions. These decreases were partially offset by an increase in wealth management fees, which mostly reflects the addition of FinTrust’s wealth management business, and volume-based increases in service charges and other fees, which are partially attributable to the addition of Aquesta and Reliant customers.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expense of $121 million for the second quarter of 2022 increased $25.3 million compared to the same period of 2021. Most notably, salaries and employee benefits expense increased $9.82 million, which was primarily driven by the increase in employees resulting from acquisitions since June 30, 2021 and our annual salary merit-based increase effective in April of 2022. In addition, merger-related and other charges increased $6.07 million, which is mostly attributable to the Reliant acquisition and system conversion.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2022 and 2021, we reported net income of $115 million and $144 million, respectively, and diluted earnings per common share of $1.04 and $1.60, respectively. Operating net income (non-GAAP) for the six months ended June 30, 2022 and 2021 of $127 million and $146 million, respectively, excluded merger-related charges for both periods. Net interest revenue and net interest margin for the six months ended June 30, 2022 were $343 million and 3.08%, respectively, compared to $270 million and 3.20%, respectively, for the same period in 2021. Results of operations for the six months ended June 30, 2022 were largely driven by the same factors affecting the quarter, however the provision expense for the six months ended June 30, 2022 of $28.7 million compared to the negative provision of $25.9 million resulted in a more significant decrease for the year-over-year comparison of net income between 2022 and 2021. Included in the provision for credit losses for the first six months of 2022 was $18.3 million of provision expense required to establish an allowance for credit losses for the acquired Reliant non-PCD loans and unfunded commitments.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second quarter and first six months of 2022 are discussed in further detail throughout the following sections of MD&amp;A.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make estimates and assumptions that affect the reported amounts of assets and liabilities as of the date of the balance sheet and revenues and expenses for the period. Our accounting and reporting estimates are in accordance with GAAP and conform to general practices within the banking industry. Estimates that are susceptible to significant changes include accounting for the ACL and fair value measurements, both of which require significant judgments by management. Actual results could differ significantly from those estimates. Also, different assumptions in the application of these accounting estimates could result in material changes in our consolidated financial position or consolidated results of operations. Our critical accounting estimates are discussed in MD&amp;A in our 2021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Non-GAAP Reconciliation and Explanation</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“expenses – operating,” “net income – operating,” “diluted income per common share – operating,” “return on common equity – operating,” “return on tangible common equity – operating,” “return on assets – operating” and “efficiency ratio – operating.” We have developed internal policies and procedures to accurately capture and account for merger-related and other charges and those charges are reviewed with the Audit Committee of our Board each quarter. We use these non-GAAP measures because we believe they provide useful supplemental information for evaluating our operations and performance over periods of time, as well as in managing and evaluating our business and in discussions about our operations and performance. We believe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 of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1 - Financial Highlights</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(in thousands, except per share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data)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right"/>
              <w:ind w:right="48"/>
              <w:spacing w:after="0" w:line="141" w:lineRule="exact"/>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Second</w:t>
            </w:r>
          </w:p>
        </w:tc>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Fourth</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40" w:type="dxa"/>
            <w:vAlign w:val="bottom"/>
          </w:tcPr>
          <w:p>
            <w:pPr>
              <w:spacing w:after="0"/>
              <w:rPr>
                <w:sz w:val="11"/>
                <w:szCs w:val="11"/>
                <w:color w:val="auto"/>
              </w:rPr>
            </w:pPr>
          </w:p>
        </w:tc>
        <w:tc>
          <w:tcPr>
            <w:tcW w:w="780" w:type="dxa"/>
            <w:vAlign w:val="bottom"/>
          </w:tcPr>
          <w:p>
            <w:pPr>
              <w:jc w:val="right"/>
              <w:ind w:right="168"/>
              <w:spacing w:after="0" w:line="129" w:lineRule="exact"/>
              <w:rPr>
                <w:sz w:val="20"/>
                <w:szCs w:val="20"/>
                <w:color w:val="auto"/>
              </w:rPr>
            </w:pPr>
            <w:r>
              <w:rPr>
                <w:rFonts w:ascii="Times New Roman" w:cs="Times New Roman" w:eastAsia="Times New Roman" w:hAnsi="Times New Roman"/>
                <w:sz w:val="14"/>
                <w:szCs w:val="14"/>
                <w:b w:val="1"/>
                <w:bCs w:val="1"/>
                <w:color w:val="auto"/>
              </w:rPr>
              <w:t>Second</w:t>
            </w:r>
          </w:p>
        </w:tc>
        <w:tc>
          <w:tcPr>
            <w:tcW w:w="104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b w:val="1"/>
                <w:bCs w:val="1"/>
                <w:color w:val="auto"/>
              </w:rPr>
              <w:t>2022 - 2021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1"/>
                <w:szCs w:val="11"/>
                <w:color w:val="auto"/>
              </w:rPr>
            </w:pPr>
          </w:p>
        </w:tc>
        <w:tc>
          <w:tcPr>
            <w:tcW w:w="780" w:type="dxa"/>
            <w:vAlign w:val="bottom"/>
          </w:tcPr>
          <w:p>
            <w:pPr>
              <w:jc w:val="right"/>
              <w:ind w:right="168"/>
              <w:spacing w:after="0" w:line="129" w:lineRule="exact"/>
              <w:rPr>
                <w:sz w:val="20"/>
                <w:szCs w:val="20"/>
                <w:color w:val="auto"/>
              </w:rPr>
            </w:pPr>
            <w:r>
              <w:rPr>
                <w:rFonts w:ascii="Times New Roman" w:cs="Times New Roman" w:eastAsia="Times New Roman" w:hAnsi="Times New Roman"/>
                <w:sz w:val="14"/>
                <w:szCs w:val="14"/>
                <w:b w:val="1"/>
                <w:bCs w:val="1"/>
                <w:color w:val="auto"/>
              </w:rPr>
              <w:t>YTD</w:t>
            </w: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9"/>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SUMMARY</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187,378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171,059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143,768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147,675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145,809</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358,437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287,351</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8,475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7,267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6,213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6,636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7,433</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15,742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16,911</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interest revenue</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178,903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163,792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137,555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141,039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138,376</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342,695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270,440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139"/>
        </w:trPr>
        <w:tc>
          <w:tcPr>
            <w:tcW w:w="2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Provision for (release of) credit</w:t>
            </w:r>
          </w:p>
        </w:tc>
        <w:tc>
          <w:tcPr>
            <w:tcW w:w="140" w:type="dxa"/>
            <w:vAlign w:val="bottom"/>
          </w:tcPr>
          <w:p>
            <w:pPr>
              <w:spacing w:after="0"/>
              <w:rPr>
                <w:sz w:val="12"/>
                <w:szCs w:val="12"/>
                <w:color w:val="auto"/>
              </w:rPr>
            </w:pP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5,604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23,086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(11,034)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(13,588)</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28,690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(25,869)</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33,458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38,973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37,177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40,095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35,841</w:t>
            </w: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72,431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80,546</w:t>
            </w:r>
          </w:p>
        </w:tc>
        <w:tc>
          <w:tcPr>
            <w:tcW w:w="9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206,757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179,679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175,379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192,168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187,805</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386,436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376,855</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120,790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119,275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109,156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96,749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95,540</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240,065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190,734</w:t>
            </w: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19"/>
        </w:trPr>
        <w:tc>
          <w:tcPr>
            <w:tcW w:w="2200" w:type="dxa"/>
            <w:vAlign w:val="bottom"/>
          </w:tcPr>
          <w:p>
            <w:pPr>
              <w:ind w:left="140"/>
              <w:spacing w:after="0" w:line="119" w:lineRule="exact"/>
              <w:rPr>
                <w:sz w:val="20"/>
                <w:szCs w:val="20"/>
                <w:color w:val="auto"/>
              </w:rPr>
            </w:pPr>
            <w:r>
              <w:rPr>
                <w:rFonts w:ascii="Times New Roman" w:cs="Times New Roman" w:eastAsia="Times New Roman" w:hAnsi="Times New Roman"/>
                <w:sz w:val="13"/>
                <w:szCs w:val="13"/>
                <w:color w:val="auto"/>
              </w:rPr>
              <w:t>Income before income tax</w:t>
            </w:r>
          </w:p>
        </w:tc>
        <w:tc>
          <w:tcPr>
            <w:tcW w:w="140" w:type="dxa"/>
            <w:vAlign w:val="bottom"/>
          </w:tcPr>
          <w:p>
            <w:pPr>
              <w:spacing w:after="0"/>
              <w:rPr>
                <w:sz w:val="10"/>
                <w:szCs w:val="10"/>
                <w:color w:val="auto"/>
              </w:rPr>
            </w:pP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85,967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60,404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66,223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95,419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92,265</w:t>
            </w:r>
          </w:p>
        </w:tc>
        <w:tc>
          <w:tcPr>
            <w:tcW w:w="10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146,371</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186,121</w:t>
            </w:r>
          </w:p>
        </w:tc>
        <w:tc>
          <w:tcPr>
            <w:tcW w:w="9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3"/>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19,125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12,385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14,204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21,603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22,005</w:t>
            </w:r>
          </w:p>
        </w:tc>
        <w:tc>
          <w:tcPr>
            <w:tcW w:w="10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31,510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42,155</w:t>
            </w:r>
          </w:p>
        </w:tc>
        <w:tc>
          <w:tcPr>
            <w:tcW w:w="9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9"/>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66,842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73,816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70,260</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114,861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143,966</w:t>
            </w:r>
          </w:p>
        </w:tc>
        <w:tc>
          <w:tcPr>
            <w:tcW w:w="9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7,143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9,016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1,078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16,159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2,621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Income tax benefit of merger-</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(1,575)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(1,963)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(2,265)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(3,538)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(581)</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related and other charges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200" w:type="dxa"/>
            <w:vAlign w:val="bottom"/>
            <w:tcBorders>
              <w:bottom w:val="single" w:sz="8" w:color="CCEEFF"/>
            </w:tcBorders>
            <w:shd w:val="clear" w:color="auto" w:fill="CCEEFF"/>
          </w:tcPr>
          <w:p>
            <w:pPr>
              <w:ind w:left="140"/>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Net income - operating </w:t>
            </w:r>
            <w:r>
              <w:rPr>
                <w:rFonts w:ascii="Times New Roman" w:cs="Times New Roman" w:eastAsia="Times New Roman" w:hAnsi="Times New Roman"/>
                <w:sz w:val="18"/>
                <w:szCs w:val="18"/>
                <w:b w:val="1"/>
                <w:bCs w:val="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72,410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55,072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59,666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74,925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71,092</w:t>
            </w:r>
          </w:p>
        </w:tc>
        <w:tc>
          <w:tcPr>
            <w:tcW w:w="10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127,482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146,006</w:t>
            </w:r>
          </w:p>
        </w:tc>
        <w:tc>
          <w:tcPr>
            <w:tcW w:w="9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MEASURES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 common share:</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 net income - GAAP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0.78</w:t>
            </w:r>
          </w:p>
        </w:tc>
        <w:tc>
          <w:tcPr>
            <w:tcW w:w="10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1.60</w:t>
            </w:r>
          </w:p>
        </w:tc>
        <w:tc>
          <w:tcPr>
            <w:tcW w:w="9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35"/>
        </w:trPr>
        <w:tc>
          <w:tcPr>
            <w:tcW w:w="220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Diluted net income - operating</w:t>
            </w:r>
          </w:p>
        </w:tc>
        <w:tc>
          <w:tcPr>
            <w:tcW w:w="140" w:type="dxa"/>
            <w:vAlign w:val="bottom"/>
          </w:tcPr>
          <w:p>
            <w:pPr>
              <w:spacing w:after="0"/>
              <w:rPr>
                <w:sz w:val="11"/>
                <w:szCs w:val="11"/>
                <w:color w:val="auto"/>
              </w:rPr>
            </w:pP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0.66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0.50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0.64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0.83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0.79</w:t>
            </w:r>
          </w:p>
        </w:tc>
        <w:tc>
          <w:tcPr>
            <w:tcW w:w="10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1.62</w:t>
            </w:r>
          </w:p>
        </w:tc>
        <w:tc>
          <w:tcPr>
            <w:tcW w:w="9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38"/>
        </w:trPr>
        <w:tc>
          <w:tcPr>
            <w:tcW w:w="220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dividends declared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0.19</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0.38</w:t>
            </w: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5"/>
        </w:trPr>
        <w:tc>
          <w:tcPr>
            <w:tcW w:w="2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Book value</w:t>
            </w:r>
          </w:p>
        </w:tc>
        <w:tc>
          <w:tcPr>
            <w:tcW w:w="14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22.81</w:t>
            </w:r>
          </w:p>
        </w:tc>
        <w:tc>
          <w:tcPr>
            <w:tcW w:w="10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23.96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22.81</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Tangible book value </w:t>
            </w:r>
            <w:r>
              <w:rPr>
                <w:rFonts w:ascii="Times New Roman" w:cs="Times New Roman" w:eastAsia="Times New Roman" w:hAnsi="Times New Roman"/>
                <w:sz w:val="18"/>
                <w:szCs w:val="18"/>
                <w:color w:val="auto"/>
                <w:vertAlign w:val="superscript"/>
              </w:rPr>
              <w:t>(3)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18.49</w:t>
            </w:r>
          </w:p>
        </w:tc>
        <w:tc>
          <w:tcPr>
            <w:tcW w:w="10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18.49</w:t>
            </w:r>
          </w:p>
        </w:tc>
        <w:tc>
          <w:tcPr>
            <w:tcW w:w="9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Key performance ratios: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CEEFF"/>
          </w:tcPr>
          <w:p>
            <w:pPr>
              <w:ind w:left="220"/>
              <w:spacing w:after="0" w:line="143" w:lineRule="exact"/>
              <w:rPr>
                <w:sz w:val="20"/>
                <w:szCs w:val="20"/>
                <w:color w:val="auto"/>
              </w:rPr>
            </w:pPr>
            <w:r>
              <w:rPr>
                <w:rFonts w:ascii="Times New Roman" w:cs="Times New Roman" w:eastAsia="Times New Roman" w:hAnsi="Times New Roman"/>
                <w:sz w:val="14"/>
                <w:szCs w:val="14"/>
                <w:color w:val="auto"/>
              </w:rPr>
              <w:t>Return on common equity -</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14.08 %</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8.07 %</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14.71 %</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20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23"/>
                <w:szCs w:val="23"/>
                <w:color w:val="auto"/>
                <w:vertAlign w:val="subscript"/>
              </w:rPr>
              <w:t>GAAP</w:t>
            </w:r>
            <w:r>
              <w:rPr>
                <w:rFonts w:ascii="Times New Roman" w:cs="Times New Roman" w:eastAsia="Times New Roman" w:hAnsi="Times New Roman"/>
                <w:sz w:val="8"/>
                <w:szCs w:val="8"/>
                <w:color w:val="auto"/>
              </w:rPr>
              <w:t xml:space="preserve"> (2)(4)</w:t>
            </w: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20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Return on common equity -</w:t>
            </w:r>
          </w:p>
        </w:tc>
        <w:tc>
          <w:tcPr>
            <w:tcW w:w="140" w:type="dxa"/>
            <w:vAlign w:val="bottom"/>
          </w:tcPr>
          <w:p>
            <w:pPr>
              <w:spacing w:after="0"/>
              <w:rPr>
                <w:sz w:val="11"/>
                <w:szCs w:val="11"/>
                <w:color w:val="auto"/>
              </w:rPr>
            </w:pP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7.83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14.48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14.25</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8.98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14.92</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200" w:type="dxa"/>
            <w:vAlign w:val="bottom"/>
          </w:tcPr>
          <w:p>
            <w:pPr>
              <w:ind w:left="220"/>
              <w:spacing w:after="0" w:line="201" w:lineRule="exact"/>
              <w:rPr>
                <w:sz w:val="20"/>
                <w:szCs w:val="20"/>
                <w:color w:val="auto"/>
              </w:rPr>
            </w:pPr>
            <w:r>
              <w:rPr>
                <w:rFonts w:ascii="Times New Roman" w:cs="Times New Roman" w:eastAsia="Times New Roman" w:hAnsi="Times New Roman"/>
                <w:sz w:val="23"/>
                <w:szCs w:val="23"/>
                <w:color w:val="auto"/>
                <w:vertAlign w:val="subscript"/>
              </w:rPr>
              <w:t>operating</w:t>
            </w:r>
            <w:r>
              <w:rPr>
                <w:rFonts w:ascii="Times New Roman" w:cs="Times New Roman" w:eastAsia="Times New Roman" w:hAnsi="Times New Roman"/>
                <w:sz w:val="8"/>
                <w:szCs w:val="8"/>
                <w:color w:val="auto"/>
              </w:rPr>
              <w:t xml:space="preserve"> (1)(2)(4)</w:t>
            </w: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20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Return on tangible common</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18.23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17.81</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12.62</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18.72</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20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4"/>
                <w:szCs w:val="14"/>
                <w:color w:val="auto"/>
              </w:rPr>
              <w:t xml:space="preserve">equity - operating </w:t>
            </w:r>
            <w:r>
              <w:rPr>
                <w:rFonts w:ascii="Times New Roman" w:cs="Times New Roman" w:eastAsia="Times New Roman" w:hAnsi="Times New Roman"/>
                <w:sz w:val="18"/>
                <w:szCs w:val="18"/>
                <w:color w:val="auto"/>
                <w:vertAlign w:val="superscript"/>
              </w:rPr>
              <w:t>(1)(2)(3)(4)</w:t>
            </w: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Return on assets - GAAP </w:t>
            </w:r>
            <w:r>
              <w:rPr>
                <w:rFonts w:ascii="Times New Roman" w:cs="Times New Roman" w:eastAsia="Times New Roman" w:hAnsi="Times New Roman"/>
                <w:sz w:val="18"/>
                <w:szCs w:val="18"/>
                <w:color w:val="auto"/>
                <w:vertAlign w:val="superscript"/>
              </w:rPr>
              <w:t>(4)</w:t>
            </w:r>
          </w:p>
        </w:tc>
        <w:tc>
          <w:tcPr>
            <w:tcW w:w="14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 xml:space="preserve">Return on assets - operating </w:t>
            </w:r>
            <w:r>
              <w:rPr>
                <w:rFonts w:ascii="Times New Roman" w:cs="Times New Roman" w:eastAsia="Times New Roman" w:hAnsi="Times New Roman"/>
                <w:sz w:val="15"/>
                <w:szCs w:val="15"/>
                <w:color w:val="auto"/>
                <w:vertAlign w:val="superscript"/>
              </w:rPr>
              <w:t>(1)</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0.89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rPr>
              <w:t>(4)</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Net interest margin (FTE) </w:t>
            </w:r>
            <w:r>
              <w:rPr>
                <w:rFonts w:ascii="Times New Roman" w:cs="Times New Roman" w:eastAsia="Times New Roman" w:hAnsi="Times New Roman"/>
                <w:sz w:val="18"/>
                <w:szCs w:val="18"/>
                <w:color w:val="auto"/>
                <w:vertAlign w:val="superscript"/>
              </w:rPr>
              <w:t>(4)</w:t>
            </w:r>
          </w:p>
        </w:tc>
        <w:tc>
          <w:tcPr>
            <w:tcW w:w="14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Efficiency ratio - GAAP</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56.58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62.12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53.11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54.53</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54.04</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Efficiency ratio - operating </w:t>
            </w:r>
            <w:r>
              <w:rPr>
                <w:rFonts w:ascii="Times New Roman" w:cs="Times New Roman" w:eastAsia="Times New Roman" w:hAnsi="Times New Roman"/>
                <w:sz w:val="18"/>
                <w:szCs w:val="18"/>
                <w:color w:val="auto"/>
                <w:vertAlign w:val="superscript"/>
              </w:rPr>
              <w:t>(1)</w:t>
            </w:r>
          </w:p>
        </w:tc>
        <w:tc>
          <w:tcPr>
            <w:tcW w:w="14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53.23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53.92</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53.16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53.30</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to total assets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10.89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11.04</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11.04</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20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Tangible common equity to</w:t>
            </w:r>
          </w:p>
        </w:tc>
        <w:tc>
          <w:tcPr>
            <w:tcW w:w="140" w:type="dxa"/>
            <w:vAlign w:val="bottom"/>
          </w:tcPr>
          <w:p>
            <w:pPr>
              <w:spacing w:after="0"/>
              <w:rPr>
                <w:sz w:val="11"/>
                <w:szCs w:val="11"/>
                <w:color w:val="auto"/>
              </w:rPr>
            </w:pP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7.72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8.53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8.71</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7.59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8.71</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200" w:type="dxa"/>
            <w:vAlign w:val="bottom"/>
          </w:tcPr>
          <w:p>
            <w:pPr>
              <w:ind w:left="220"/>
              <w:spacing w:after="0" w:line="201" w:lineRule="exact"/>
              <w:rPr>
                <w:sz w:val="20"/>
                <w:szCs w:val="20"/>
                <w:color w:val="auto"/>
              </w:rPr>
            </w:pPr>
            <w:r>
              <w:rPr>
                <w:rFonts w:ascii="Times New Roman" w:cs="Times New Roman" w:eastAsia="Times New Roman" w:hAnsi="Times New Roman"/>
                <w:sz w:val="14"/>
                <w:szCs w:val="14"/>
                <w:color w:val="auto"/>
              </w:rPr>
              <w:t xml:space="preserve">tangible assets </w:t>
            </w:r>
            <w:r>
              <w:rPr>
                <w:rFonts w:ascii="Times New Roman" w:cs="Times New Roman" w:eastAsia="Times New Roman" w:hAnsi="Times New Roman"/>
                <w:sz w:val="18"/>
                <w:szCs w:val="18"/>
                <w:color w:val="auto"/>
                <w:vertAlign w:val="superscript"/>
              </w:rPr>
              <w:t>(3)</w:t>
            </w: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 QUALITY</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NPAs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34,428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40,816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32,855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45,335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46,347</w:t>
            </w:r>
          </w:p>
        </w:tc>
        <w:tc>
          <w:tcPr>
            <w:tcW w:w="10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34,428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46,347</w:t>
            </w:r>
          </w:p>
        </w:tc>
        <w:tc>
          <w:tcPr>
            <w:tcW w:w="9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5"/>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ACL - loans</w:t>
            </w:r>
          </w:p>
        </w:tc>
        <w:tc>
          <w:tcPr>
            <w:tcW w:w="14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136,925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132,805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102,532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99,620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111,616</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136,925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111,616</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charge-offs (recoveries)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(761)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ACL - loans to loans</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0.93 %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0.87 %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0.89 %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0.98 %</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0.98 %</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0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Net charge-offs to average loans</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9"/>
                <w:szCs w:val="9"/>
                <w:color w:val="auto"/>
              </w:rPr>
              <w:t>(4)</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NPAs to total assets</w:t>
            </w:r>
          </w:p>
        </w:tc>
        <w:tc>
          <w:tcPr>
            <w:tcW w:w="14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0.25</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0.25</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AT PERIOD END </w:t>
            </w:r>
            <w:r>
              <w:rPr>
                <w:rFonts w:ascii="Times New Roman" w:cs="Times New Roman" w:eastAsia="Times New Roman" w:hAnsi="Times New Roman"/>
                <w:sz w:val="14"/>
                <w:szCs w:val="14"/>
                <w:i w:val="1"/>
                <w:iCs w:val="1"/>
                <w:color w:val="auto"/>
              </w:rPr>
              <w:t>($ in millions)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14,541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14,316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11,760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11,191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11,391</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14,541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11,391</w:t>
            </w: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5"/>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securities</w:t>
            </w:r>
          </w:p>
        </w:tc>
        <w:tc>
          <w:tcPr>
            <w:tcW w:w="14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6,683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6,410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4,928</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4,928</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24,213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24,374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20,947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19,481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18,896</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24,213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18,896</w:t>
            </w: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5"/>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14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20,873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21,056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18,241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16,865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16,328</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20,873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16,328</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Shareholders’ equity</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2,086</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2,086</w:t>
            </w: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39"/>
        </w:trPr>
        <w:tc>
          <w:tcPr>
            <w:tcW w:w="22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shares outstanding</w:t>
            </w:r>
          </w:p>
        </w:tc>
        <w:tc>
          <w:tcPr>
            <w:tcW w:w="140" w:type="dxa"/>
            <w:vAlign w:val="bottom"/>
          </w:tcPr>
          <w:p>
            <w:pPr>
              <w:spacing w:after="0"/>
              <w:rPr>
                <w:sz w:val="12"/>
                <w:szCs w:val="12"/>
                <w:color w:val="auto"/>
              </w:rPr>
            </w:pP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106,034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106,025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89,350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86,559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86,665</w:t>
            </w:r>
          </w:p>
        </w:tc>
        <w:tc>
          <w:tcPr>
            <w:tcW w:w="10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106,034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86,665</w:t>
            </w:r>
          </w:p>
        </w:tc>
        <w:tc>
          <w:tcPr>
            <w:tcW w:w="9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8"/>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firstLine="8"/>
        <w:spacing w:after="0" w:line="250" w:lineRule="auto"/>
        <w:tabs>
          <w:tab w:leader="none" w:pos="138"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 xml:space="preserve">Excludes merger-related and other charges.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Net income less preferred stock dividends, divided by average realized common equity, which excludes AOCI. </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Excludes effect of acquisition related intangibles and associated amortization. </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Annualized.</w:t>
      </w:r>
    </w:p>
    <w:p>
      <w:pPr>
        <w:sectPr>
          <w:pgSz w:w="11900" w:h="16838" w:orient="portrait"/>
          <w:cols w:equalWidth="0" w:num="1">
            <w:col w:w="11240"/>
          </w:cols>
          <w:pgMar w:left="320" w:top="722" w:right="33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type w:val="continuous"/>
        </w:sectPr>
      </w:pPr>
    </w:p>
    <w:bookmarkStart w:id="42" w:name="page43"/>
    <w:bookmarkEnd w:id="42"/>
    <w:p>
      <w:pPr>
        <w:ind w:left="2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1 (Continued) - Financial Highlights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Non-GAAP Performance Measures Reconciliation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5"/>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For the Six Months Ended June</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vMerge w:val="continue"/>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Second</w:t>
            </w: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Fourth</w:t>
            </w: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60" w:type="dxa"/>
            <w:vAlign w:val="bottom"/>
          </w:tcPr>
          <w:p>
            <w:pPr>
              <w:spacing w:after="0"/>
              <w:rPr>
                <w:sz w:val="11"/>
                <w:szCs w:val="11"/>
                <w:color w:val="auto"/>
              </w:rPr>
            </w:pPr>
          </w:p>
        </w:tc>
        <w:tc>
          <w:tcPr>
            <w:tcW w:w="82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rPr>
              <w:t>Second</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 reconciliation</w:t>
            </w: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expenses (GAAP)</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120,790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119,275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109,156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96,749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95,540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240,065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190,734</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(7,143)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(9,016)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(9,912)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(1,078)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(16,159)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(2,621)</w:t>
            </w:r>
          </w:p>
        </w:tc>
        <w:tc>
          <w:tcPr>
            <w:tcW w:w="0" w:type="dxa"/>
            <w:vAlign w:val="bottom"/>
          </w:tcPr>
          <w:p>
            <w:pPr>
              <w:spacing w:after="0"/>
              <w:rPr>
                <w:sz w:val="1"/>
                <w:szCs w:val="1"/>
                <w:color w:val="auto"/>
              </w:rPr>
            </w:pPr>
          </w:p>
        </w:tc>
      </w:tr>
      <w:tr>
        <w:trPr>
          <w:trHeight w:val="228"/>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Noninterest expenses - operating</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113,647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110,259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99,244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95,312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94,462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223,906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188,113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reconciliation</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(GAAP)</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66,842</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48,019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52,019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73,816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70,260</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114,861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143,966</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9,016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16,159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2,621</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 of merger-related and other charges</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(1,575)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(1,963)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(2,265)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(3,538)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228"/>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 operating</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72,410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55,072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59,666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74,925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71,092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127,482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146,006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income per common share reconciliation</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income per common share (GAAP)</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0.61</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0.43</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0.82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0.78</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 net of tax</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 income per common share - operating</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0.66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0.50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0.64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0.83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0.79</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Book value per common share reconciliation</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Book value per common share (GAAP)</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22.81</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(4.32)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228"/>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Tangible book value per common share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16.68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18.42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18.68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18.49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16.68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18.49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Return on tangible common equity reconciliation</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common equity (GAAP)</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14.71 %</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 net of tax</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0.91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r>
        <w:trPr>
          <w:trHeight w:val="189"/>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common equity - operating</w:t>
            </w:r>
          </w:p>
        </w:tc>
        <w:tc>
          <w:tcPr>
            <w:tcW w:w="18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14.92</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Return on tangible common equity - operating</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14.20 %</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13.93 %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18.23 %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17.81 %</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18.72 %</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Return on assets reconciliation</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 on assets (GAAP)</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1.54 %</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 net of tax</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28"/>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Return on assets - operating</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0.89 %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Efficiency ratio reconciliation</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Efficiency ratio (GAAP)</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56.58 %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57.43 %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62.12 %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54.53 %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54.04 %</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(3.35)</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(0.78)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(0.61)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(0.74)</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Efficiency ratio - operating</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53.23 %</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53.09 %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56.48 %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52.33 %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53.92 %</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53.16 %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53.30 %</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Tangible common equity to tangible assets reconciliation</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to total assets (GAAP)</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11.04 %</w:t>
            </w: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18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preferred equity</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(0.40)</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(0.46)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(0.51)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(0.51)</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Tangible common equity to tangible assets</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7.59 %</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8.71 %</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Net Interest Revenue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revenue, which is the difference between the interest earned on assets and the interest paid on deposits and borrowed funds, is the single largest component of total revenue. Management seeks to optimize this revenue while balancing interest rate, credit and liquidity risks. The banking industry uses two ratios to measure the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provides additional details on the average balances and net interest revenue for the periods presented. The tables that follow indicate the relationship between interest revenue and expense and the average amounts of assets and liabilities, which provides further insight into net interest spread and net interest margin for the periods indicated.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quarter:</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increase in net interest revenue and FTE net interest revenue was primarily driven by the $2.77 billion increase in average loans provided by the addition of the Aquesta and Reliant loan portfolios, as well as organic growth. As a result of this increase and the rising rate environment, loan interest revenue increased $27.7 million compared to the second quarter of 2021, which was partially offset by $12.5 million less in PPP interest and fee income, $1.89 million less in purchased loan accretion which resulted in a decrease in the average rate earned on loans. Additionally, the increase in average securities combined with rising rates provided $13.0 million more in FTE interest revenue compared to the same period of last year as we have continued to deploy surplus liquidity into the securities portfolio. Compared to the second quarter of 2021, average interest-bearing deposits increased $2.88 billion while deposit interest expense increased $682,000. Growth in deposits includes deposits received in the acquisitions of Aquesta and Reliant. We continued to benefit from a low deposit interest rate environment and a favorable deposit mix, which partially mitigated the impact of deposit growth on interest expense.</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Despite an increase in net interest revenue, the net interest spread and net interest margin for the second quarter of 2022 remained flat compared to the same period of 2021. As discussed above, we had significantly less accelerated PPP interest and fees and purchased loan accretion compared to the second quarter of 2021. As a result, the average rate earned on loans, net interest spread and net interest margin for the second quarter of 2021 were more positively impacted by these sources of interest revenue compared to the same period of 2022, which offset the impact of the increase in interest rates since the second quarter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revenue for the first six months of 2022 was $343 million, while FTE net interest revenue was $345 million, representing a 27% increase from the first six months of 2021, which was primarily driven by the same factors impacting the quarter. During the first six months of 2022, our net interest spread and net interest margin decreased eight and 12 basis points, respectively, compared to the same period of 2021. This was primarily driven by the significant decreases in accelerated PPP deferred fee accretion and interest income and purchased loan accretion of $22.7 million and $3.89 million, respectively, compared to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8"/>
          <w:szCs w:val="18"/>
          <w:b w:val="1"/>
          <w:bCs w:val="1"/>
          <w:color w:val="auto"/>
        </w:rPr>
        <w:t>Table 2 - Average Consolidated Balance Sheets and Net Interest Analysis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Three Months Ended June 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14,382,324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155,184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4.33 %</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11,616,802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127,458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Taxable securities </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6,436,992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4,242,297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490,659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1,302,935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22,612,910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188,546</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17,539,734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146,830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1,286,107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1,002,634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24,253,333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18,791,755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4,561,162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0.19</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3,428,009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5,019,420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3,814,960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Savings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1,496,414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1,080,267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1,671,632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1,548,487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Brokered time deposits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(0.43)</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12,813,709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9,936,055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 funds purchased and other borrowings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324,301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285,389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324,367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13,138,076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8,475</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10,221,555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8,025,947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6,196,045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397,890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314,130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21,561,913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16,731,730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2,691,420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24,253,333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18,791,755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180,071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139,397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interest-rate spread (FTE)</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3.08 %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3.07 %</w:t>
            </w:r>
          </w:p>
        </w:tc>
        <w:tc>
          <w:tcPr>
            <w:tcW w:w="0" w:type="dxa"/>
            <w:vAlign w:val="bottom"/>
          </w:tcPr>
          <w:p>
            <w:pPr>
              <w:spacing w:after="0" w:line="20" w:lineRule="exact"/>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Net interest margin (FTE) </w:t>
            </w:r>
            <w:r>
              <w:rPr>
                <w:rFonts w:ascii="Times New Roman" w:cs="Times New Roman" w:eastAsia="Times New Roman" w:hAnsi="Times New Roman"/>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340" w:right="140" w:hanging="332"/>
        <w:spacing w:after="0" w:line="271" w:lineRule="auto"/>
        <w:tabs>
          <w:tab w:leader="none" w:pos="327"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320" w:hanging="312"/>
        <w:spacing w:after="0" w:line="192" w:lineRule="auto"/>
        <w:tabs>
          <w:tab w:leader="none" w:pos="32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the average balance of loans outstanding are loans on which the accrual of interest has been discontinued and loans that are held for sale.</w:t>
      </w:r>
    </w:p>
    <w:p>
      <w:pPr>
        <w:spacing w:after="0" w:line="3" w:lineRule="exact"/>
        <w:rPr>
          <w:rFonts w:ascii="Times New Roman" w:cs="Times New Roman" w:eastAsia="Times New Roman" w:hAnsi="Times New Roman"/>
          <w:sz w:val="19"/>
          <w:szCs w:val="19"/>
          <w:color w:val="auto"/>
          <w:vertAlign w:val="superscript"/>
        </w:rPr>
      </w:pPr>
    </w:p>
    <w:p>
      <w:pPr>
        <w:ind w:left="340" w:hanging="332"/>
        <w:spacing w:after="0" w:line="251" w:lineRule="auto"/>
        <w:tabs>
          <w:tab w:leader="none" w:pos="336" w:val="left"/>
        </w:tabs>
        <w:numPr>
          <w:ilvl w:val="0"/>
          <w:numId w:val="14"/>
        </w:numPr>
        <w:rPr>
          <w:rFonts w:ascii="Calibri" w:cs="Calibri" w:eastAsia="Calibri" w:hAnsi="Calibri"/>
          <w:sz w:val="9"/>
          <w:szCs w:val="9"/>
          <w:color w:val="auto"/>
        </w:rPr>
      </w:pPr>
      <w:r>
        <w:rPr>
          <w:rFonts w:ascii="Times New Roman" w:cs="Times New Roman" w:eastAsia="Times New Roman" w:hAnsi="Times New Roman"/>
          <w:sz w:val="14"/>
          <w:szCs w:val="14"/>
          <w:color w:val="auto"/>
        </w:rPr>
        <w:t>Unrealized gains and losses on securities, including those related to the transfer from AFS to HTM, have been reclassified to other assets. Pretax unrealized losses of $271 million and pretax unrealized gains of $28.6 million in 2022 and 2021, respectively, are included in other assets for purposes of this presentation.</w:t>
      </w:r>
    </w:p>
    <w:p>
      <w:pPr>
        <w:ind w:left="320" w:hanging="312"/>
        <w:spacing w:after="0"/>
        <w:tabs>
          <w:tab w:leader="none" w:pos="32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interest margin is taxable equivalent net interest revenue divided by average interest-earning assets.</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45" w:name="page46"/>
    <w:bookmarkEnd w:id="45"/>
    <w:p>
      <w:pPr>
        <w:ind w:left="120"/>
        <w:spacing w:after="0"/>
        <w:rPr>
          <w:sz w:val="20"/>
          <w:szCs w:val="20"/>
          <w:color w:val="auto"/>
        </w:rPr>
      </w:pPr>
      <w:r>
        <w:rPr>
          <w:rFonts w:ascii="Times New Roman" w:cs="Times New Roman" w:eastAsia="Times New Roman" w:hAnsi="Times New Roman"/>
          <w:sz w:val="18"/>
          <w:szCs w:val="18"/>
          <w:b w:val="1"/>
          <w:bCs w:val="1"/>
          <w:color w:val="auto"/>
        </w:rPr>
        <w:t>Table 3 - Average Consolidated Balance Sheets and Net Interest Analysis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 fully taxable equivalent (FTE))</w:t>
            </w:r>
          </w:p>
        </w:tc>
        <w:tc>
          <w:tcPr>
            <w:tcW w:w="18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4"/>
        </w:trPr>
        <w:tc>
          <w:tcPr>
            <w:tcW w:w="4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14,308,585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301,821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4.25 %</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11,525,363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252,580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4.42 %</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Taxable securities </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6,142,723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3,932,545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500,750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380,370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5,918</w:t>
            </w:r>
          </w:p>
        </w:tc>
        <w:tc>
          <w:tcPr>
            <w:tcW w:w="1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1,604,995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1,324,776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0.34</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22,557,053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360,779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17,163,054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289,360</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loan losses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1,329,359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1,012,896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24,228,621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18,409,730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4,613,838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3,632</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0.16</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3,379,794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1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5,064,866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Savings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1,466,812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1,035,176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1,715,022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1,595,196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Brokered time deposits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72,048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0.64</w:t>
            </w:r>
          </w:p>
        </w:tc>
        <w:tc>
          <w:tcPr>
            <w:tcW w:w="0" w:type="dxa"/>
            <w:vAlign w:val="bottom"/>
          </w:tcPr>
          <w:p>
            <w:pPr>
              <w:spacing w:after="0"/>
              <w:rPr>
                <w:sz w:val="1"/>
                <w:szCs w:val="1"/>
                <w:color w:val="auto"/>
              </w:rPr>
            </w:pPr>
          </w:p>
        </w:tc>
      </w:tr>
      <w:tr>
        <w:trPr>
          <w:trHeight w:val="212"/>
        </w:trPr>
        <w:tc>
          <w:tcPr>
            <w:tcW w:w="4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12,932,586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9,854,132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07"/>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Federal funds purchased and other borrowings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321,663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8,070</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12"/>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borrowed funds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322,000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302,912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5.37</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13,254,586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15,742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10,157,044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16,911</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0.34</w:t>
            </w: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7,847,284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5,896,882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388,162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313,374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21,490,032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16,367,300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2,738,589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2,042,430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24,228,621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18,409,730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revenue (FTE)</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345,037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272,449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Net interest-rate spread (FTE)</w:t>
            </w: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2.98 %</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0" w:type="dxa"/>
            <w:vAlign w:val="bottom"/>
          </w:tcPr>
          <w:p>
            <w:pPr>
              <w:spacing w:after="0" w:line="20" w:lineRule="exact"/>
              <w:rPr>
                <w:sz w:val="1"/>
                <w:szCs w:val="1"/>
                <w:color w:val="auto"/>
              </w:rPr>
            </w:pPr>
          </w:p>
        </w:tc>
      </w:tr>
      <w:tr>
        <w:trPr>
          <w:trHeight w:val="163"/>
        </w:trPr>
        <w:tc>
          <w:tcPr>
            <w:tcW w:w="4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Net interest margin (FTE) </w:t>
            </w:r>
            <w:r>
              <w:rPr>
                <w:rFonts w:ascii="Times New Roman" w:cs="Times New Roman" w:eastAsia="Times New Roman" w:hAnsi="Times New Roman"/>
                <w:sz w:val="21"/>
                <w:szCs w:val="21"/>
                <w:color w:val="auto"/>
                <w:vertAlign w:val="superscript"/>
              </w:rPr>
              <w:t>(4)</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280" w:right="280" w:hanging="280"/>
        <w:spacing w:after="0" w:line="271" w:lineRule="auto"/>
        <w:tabs>
          <w:tab w:leader="none" w:pos="267"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260" w:hanging="260"/>
        <w:spacing w:after="0" w:line="192" w:lineRule="auto"/>
        <w:tabs>
          <w:tab w:leader="none" w:pos="2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the average balance of loans outstanding are loans on which the accrual of interest has been discontinued and loans that are held for sale.</w:t>
      </w:r>
    </w:p>
    <w:p>
      <w:pPr>
        <w:spacing w:after="0" w:line="3" w:lineRule="exact"/>
        <w:rPr>
          <w:rFonts w:ascii="Times New Roman" w:cs="Times New Roman" w:eastAsia="Times New Roman" w:hAnsi="Times New Roman"/>
          <w:sz w:val="19"/>
          <w:szCs w:val="19"/>
          <w:color w:val="auto"/>
          <w:vertAlign w:val="superscript"/>
        </w:rPr>
      </w:pPr>
    </w:p>
    <w:p>
      <w:pPr>
        <w:ind w:left="280" w:right="440" w:hanging="280"/>
        <w:spacing w:after="0" w:line="213" w:lineRule="auto"/>
        <w:tabs>
          <w:tab w:leader="none" w:pos="267"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Unrealized gains and losses, including those related to the transfer from AFS to HTM, have been reclassified to other assets. Pretax unrealized losses of $175 million in 2022 and pretax unrealized gains of $43.4 million in 2021, respectively, are included in other assets for purposes of this presentation.</w:t>
      </w:r>
    </w:p>
    <w:p>
      <w:pPr>
        <w:ind w:left="260" w:hanging="260"/>
        <w:spacing w:after="0"/>
        <w:tabs>
          <w:tab w:leader="none" w:pos="26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interest margin is taxable equivalent net-interest revenue divided by average interest-earning assets.</w:t>
      </w:r>
    </w:p>
    <w:p>
      <w:pPr>
        <w:sectPr>
          <w:pgSz w:w="11900" w:h="16838" w:orient="portrait"/>
          <w:cols w:equalWidth="0" w:num="1">
            <w:col w:w="11320"/>
          </w:cols>
          <w:pgMar w:left="220" w:top="9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20" w:top="968" w:right="359" w:bottom="1440" w:gutter="0" w:footer="0" w:header="0"/>
          <w:type w:val="continuous"/>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07" w:lineRule="exact"/>
        <w:rPr>
          <w:sz w:val="20"/>
          <w:szCs w:val="20"/>
          <w:color w:val="auto"/>
        </w:rPr>
      </w:pPr>
    </w:p>
    <w:p>
      <w:pPr>
        <w:ind w:left="20" w:right="500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Table 4 - Change in Interest Revenue and Expense on a Taxable Equivalent Basis </w:t>
      </w: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1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7"/>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r>
      <w:tr>
        <w:trPr>
          <w:trHeight w:val="211"/>
        </w:trPr>
        <w:tc>
          <w:tcPr>
            <w:tcW w:w="4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gridSpan w:val="11"/>
          </w:tcPr>
          <w:p>
            <w:pPr>
              <w:ind w:left="120"/>
              <w:spacing w:after="0"/>
              <w:rPr>
                <w:sz w:val="20"/>
                <w:szCs w:val="20"/>
                <w:color w:val="auto"/>
              </w:rPr>
            </w:pPr>
            <w:r>
              <w:rPr>
                <w:rFonts w:ascii="Times New Roman" w:cs="Times New Roman" w:eastAsia="Times New Roman" w:hAnsi="Times New Roman"/>
                <w:sz w:val="16"/>
                <w:szCs w:val="16"/>
                <w:b w:val="1"/>
                <w:bCs w:val="1"/>
                <w:color w:val="auto"/>
              </w:rPr>
              <w:t>Compared to 2021 Increase (Decrease) Due to Changes in</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8"/>
        </w:trPr>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4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24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4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7"/>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(FTE)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49,241</w:t>
            </w:r>
          </w:p>
        </w:tc>
      </w:tr>
      <w:tr>
        <w:trPr>
          <w:trHeight w:val="21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20,311</w:t>
            </w:r>
          </w:p>
        </w:tc>
      </w:tr>
      <w:tr>
        <w:trPr>
          <w:trHeight w:val="21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securities (FTE)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r>
      <w:tr>
        <w:trPr>
          <w:trHeight w:val="213"/>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w:t>
            </w: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78,618</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71,419</w:t>
            </w:r>
          </w:p>
        </w:tc>
      </w:tr>
      <w:tr>
        <w:trPr>
          <w:trHeight w:val="199"/>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NOW and interest-bearing demand accounts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r>
      <w:tr>
        <w:trPr>
          <w:trHeight w:val="21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accounts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r>
      <w:tr>
        <w:trPr>
          <w:trHeight w:val="21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Savings deposits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r>
      <w:tr>
        <w:trPr>
          <w:trHeight w:val="213"/>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Brokered deposits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0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r>
      <w:tr>
        <w:trPr>
          <w:trHeight w:val="199"/>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 advances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2"/>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07"/>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r>
      <w:tr>
        <w:trPr>
          <w:trHeight w:val="199"/>
        </w:trPr>
        <w:tc>
          <w:tcPr>
            <w:tcW w:w="4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41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Increase in net interest revenue (FTE)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38,188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40,674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75,992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72,588</w:t>
            </w:r>
          </w:p>
        </w:tc>
      </w:tr>
      <w:tr>
        <w:trPr>
          <w:trHeight w:val="20"/>
        </w:trPr>
        <w:tc>
          <w:tcPr>
            <w:tcW w:w="4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represents management’s estimate of life of loan credit losses in the loan portfolio and unfunded loan commitments. Management’s estimate of credit losses under CECL is determined using a model that relies on reasonable and supportable forecasts and historical loss information to determine the balance of the ACL and resulting provision for credit losses.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 provision for credit losses of $5.60 million and $28.7 million for the three and six months ended June 30, 2022, respectively, compared to a release of provision of $13.6 million and $25.9 million, respectively, for the same periods 2021. The amount of provision recorded in each period was the amount required such that the total ACL reflected the appropriate balance as determined by management reflecting expected life of loan losses. The provision for credit losses during the six months ended June 30, 2022 included the initial provision for credit losses on Reliant’s non-PCD loans and unfunded commitments of $15.2 million and $3.12 million, respectively. The negative provision expense for the three and six months ended June 30, 2021 was primarily a result of an improved economic forecast combined with net recoveries.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discussion on credit quality and the ACL is included in the “Asset Quality and Risk Elements” section of MD&amp;A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income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5 - Noninterest Income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1920" w:type="dxa"/>
            <w:vAlign w:val="bottom"/>
            <w:gridSpan w:val="4"/>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Pr>
          <w:p>
            <w:pPr>
              <w:spacing w:after="0"/>
              <w:rPr>
                <w:sz w:val="16"/>
                <w:szCs w:val="16"/>
                <w:color w:val="auto"/>
              </w:rPr>
            </w:pPr>
          </w:p>
        </w:tc>
        <w:tc>
          <w:tcPr>
            <w:tcW w:w="202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16"/>
                <w:szCs w:val="16"/>
                <w:color w:val="auto"/>
              </w:rPr>
            </w:pPr>
          </w:p>
        </w:tc>
        <w:tc>
          <w:tcPr>
            <w:tcW w:w="1800" w:type="dxa"/>
            <w:vAlign w:val="bottom"/>
            <w:gridSpan w:val="3"/>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0"/>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Overdraft fees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ATM and debit card fees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service charges and fees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8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8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2"/>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service charges and fees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 gains and related fees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Wealth management fees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Gains on sales of other loans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lending and loan servicing fees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gains (losses), net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derivatives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investment gains (losses)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BOLI</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management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2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8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8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noninterest income</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0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w:t>
            </w:r>
          </w:p>
        </w:tc>
        <w:tc>
          <w:tcPr>
            <w:tcW w:w="10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2"/>
        </w:trPr>
        <w:tc>
          <w:tcPr>
            <w:tcW w:w="2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33,458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35,841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72,431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80,546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(8,115)</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total service charges and fees was primarily driven by the acquisitions of Aquesta and Reliant since the second quarter of 2021, in addition to increases in organic transaction volume. For the six months ended June 30, 2022, the increase in overdraft fees was partially offset by the impact of our updated consumer overdraft policy implemented in the fourth quarter of 2021, which includes the addition of a fee forgiveness feature. This provides one fee waiver per year per account, which we expect to reduce overdraft fee income in the first quarter of each year as many customers may receive their fee waiver during this period.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Mortgage loan gains and related fees consists primarily of fees earned on mortgage originations, gains on the sale of mortgages in the secondary market, mortgage derivative hedging gains and losses and fair value adjustments to our mortgage loans held for sale and our mortgage servicing rights asset. The change in mortgage income is strongly tied to the interest rate environment and industry conditions. We recognize the majority of income on mortgages when customers enter into mortgage rate lock commitments, making our mortgage rate lock volume a significant driver of mortgage gains in any given period.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mortgage loan gains and related fees was primarily a result of tapering mortgage refinance and mortgage rate lock demand compared to the same periods of 2021, as reflected in the following table. In addition, we held more of our mortgage production in portfolio in comparison to 2021, which contributed to the decrease in volume of loans sold. During the three and six months ended June 30, 2022, we recorded $2.11 million and $8.49 million in positive fair value adjustments to the mortgage servicing rights asset, which partially offset the decrease in mortgage loan gains.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8"/>
          <w:szCs w:val="18"/>
          <w:b w:val="1"/>
          <w:bCs w:val="1"/>
          <w:color w:val="auto"/>
        </w:rPr>
        <w:t>Table 6 - Selected Mortgage Metrics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gridSpan w:val="7"/>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gridSpan w:val="6"/>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8"/>
        </w:trPr>
        <w:tc>
          <w:tcPr>
            <w:tcW w:w="38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rate locks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701,666</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1,354,653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1,695,005</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mortgage rate locks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5,072</w:t>
            </w:r>
          </w:p>
        </w:tc>
        <w:tc>
          <w:tcPr>
            <w:tcW w:w="13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3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 sold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159,897</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407,468</w:t>
            </w:r>
          </w:p>
        </w:tc>
        <w:tc>
          <w:tcPr>
            <w:tcW w:w="1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367,049</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743,141</w:t>
            </w:r>
          </w:p>
        </w:tc>
        <w:tc>
          <w:tcPr>
            <w:tcW w:w="13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(51)</w:t>
            </w: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mortgage loans sold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3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3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(54)</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 originated: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394,307</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406,552</w:t>
            </w:r>
          </w:p>
        </w:tc>
        <w:tc>
          <w:tcPr>
            <w:tcW w:w="1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707,819</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699,471</w:t>
            </w:r>
          </w:p>
        </w:tc>
        <w:tc>
          <w:tcPr>
            <w:tcW w:w="13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Refinances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104,150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271,850</w:t>
            </w:r>
          </w:p>
        </w:tc>
        <w:tc>
          <w:tcPr>
            <w:tcW w:w="13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252,595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635,403</w:t>
            </w:r>
          </w:p>
        </w:tc>
        <w:tc>
          <w:tcPr>
            <w:tcW w:w="13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(60)</w:t>
            </w:r>
          </w:p>
        </w:tc>
      </w:tr>
      <w:tr>
        <w:trPr>
          <w:trHeight w:val="212"/>
        </w:trPr>
        <w:tc>
          <w:tcPr>
            <w:tcW w:w="3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498,457</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678,402</w:t>
            </w:r>
          </w:p>
        </w:tc>
        <w:tc>
          <w:tcPr>
            <w:tcW w:w="1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960,414</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1,334,874</w:t>
            </w:r>
          </w:p>
        </w:tc>
        <w:tc>
          <w:tcPr>
            <w:tcW w:w="13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183"/>
        </w:trPr>
        <w:tc>
          <w:tcPr>
            <w:tcW w:w="3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mortgage loans originated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1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w:t>
            </w:r>
          </w:p>
        </w:tc>
        <w:tc>
          <w:tcPr>
            <w:tcW w:w="13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(42)</w:t>
            </w: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wealth management fees for the second quarter and first six months of 2022 compared to the same periods of 2021 resulted primarily from the addition of FinTrust’s wealth management business. Assets under administration totaled $4.08 billion and $2.39 billion as of June 30, 2022 and 2021,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2022, we sold certain lower-yielding securities with the strategic intent of reinvesting in higher-yielding securities, which resulted in securities losses for the six months ended June 30, 2022.</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Lending and loan servicing fees for the second quarter of 2022 decreased compared to the second quarter of 2021, but increased for the six months ended 2022 compared to the same period of 2021. Volume-driven fee income from our equipment finance business increased for the three and six months ended June 30, 2022, which was the main driver for the increase for the six months ended June 30, 2022. However, for the quarter, this increase was more than offset by a negative fair value adjustment of $1.19 million to our SBA servicing asset, compared to a modest negative adjustment during second quarter of 2021.</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SBA/USDA lending strategy includes selling a portion of the loan production each quarter. The amount of loans sold depends on several variables including the current lending environment and balance sheet management activities. During the second quarter of 2022, we sold more SBA/USDA loans compared to the same period of last year, due to favorable market conditions. From time to time, we also sell certain equipment financing receivables. The following table presents loans sold and the corresponding gains or losses recognized on the sale for the periods indicated.</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7 - Other Loan Sales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80" w:type="dxa"/>
            <w:vAlign w:val="bottom"/>
            <w:tcBorders>
              <w:top w:val="single" w:sz="8" w:color="auto"/>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r>
      <w:tr>
        <w:trPr>
          <w:trHeight w:val="208"/>
        </w:trPr>
        <w:tc>
          <w:tcPr>
            <w:tcW w:w="3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r>
      <w:tr>
        <w:trPr>
          <w:trHeight w:val="209"/>
        </w:trPr>
        <w:tc>
          <w:tcPr>
            <w:tcW w:w="30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Gain</w:t>
            </w:r>
          </w:p>
        </w:tc>
        <w:tc>
          <w:tcPr>
            <w:tcW w:w="10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Gain</w:t>
            </w:r>
          </w:p>
        </w:tc>
        <w:tc>
          <w:tcPr>
            <w:tcW w:w="10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Gain</w:t>
            </w:r>
          </w:p>
        </w:tc>
        <w:tc>
          <w:tcPr>
            <w:tcW w:w="10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Gain</w:t>
            </w:r>
          </w:p>
        </w:tc>
      </w:tr>
      <w:tr>
        <w:trPr>
          <w:trHeight w:val="211"/>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43,648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w:t>
            </w:r>
          </w:p>
        </w:tc>
      </w:tr>
      <w:tr>
        <w:trPr>
          <w:trHeight w:val="213"/>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20,541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19,967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w:t>
            </w:r>
          </w:p>
        </w:tc>
      </w:tr>
      <w:tr>
        <w:trPr>
          <w:trHeight w:val="237"/>
        </w:trPr>
        <w:tc>
          <w:tcPr>
            <w:tcW w:w="3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other noninterest income for the three and six months ended June 30, 2022 compared to the same periods of 2021 was primarily driven by the following factors:</w:t>
      </w:r>
    </w:p>
    <w:p>
      <w:pPr>
        <w:spacing w:after="0" w:line="81" w:lineRule="exact"/>
        <w:rPr>
          <w:sz w:val="20"/>
          <w:szCs w:val="20"/>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derivative income for the six months ended June 30, 2022 decreased due to rising interest rates negatively impacting the demand for customer derivative products. This was partially offset by improvements in the CVA on customer derivatives. The CVA improved due to rising interest rates, which lowered our overall credit exposure on customer derivative positions, and credit upgrades to underlying loans associated with customer derivative positions.</w:t>
      </w:r>
    </w:p>
    <w:p>
      <w:pPr>
        <w:spacing w:after="0" w:line="8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unrealized losses on our other investments, which includes deferred compensation plan assets, CRA and tax credit investments and other equity securities, compared to unrealized gains during the same periods of 2021.</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49" w:name="page50"/>
    <w:bookmarkEnd w:id="49"/>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BOLI income reflects a death benefit gain and income earned on BOLI policies acquired in connection with the acquisition of Reliant.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expenses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8 - Noninterest Expenses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6"/>
                <w:szCs w:val="16"/>
                <w:color w:val="auto"/>
              </w:rPr>
            </w:pPr>
          </w:p>
        </w:tc>
        <w:tc>
          <w:tcPr>
            <w:tcW w:w="1920" w:type="dxa"/>
            <w:vAlign w:val="bottom"/>
            <w:gridSpan w:val="4"/>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Pr>
          <w:p>
            <w:pPr>
              <w:spacing w:after="0"/>
              <w:rPr>
                <w:sz w:val="16"/>
                <w:szCs w:val="16"/>
                <w:color w:val="auto"/>
              </w:rPr>
            </w:pPr>
          </w:p>
        </w:tc>
        <w:tc>
          <w:tcPr>
            <w:tcW w:w="202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40" w:type="dxa"/>
            <w:vAlign w:val="bottom"/>
          </w:tcPr>
          <w:p>
            <w:pPr>
              <w:spacing w:after="0"/>
              <w:rPr>
                <w:sz w:val="16"/>
                <w:szCs w:val="16"/>
                <w:color w:val="auto"/>
              </w:rPr>
            </w:pPr>
          </w:p>
        </w:tc>
        <w:tc>
          <w:tcPr>
            <w:tcW w:w="1820" w:type="dxa"/>
            <w:vAlign w:val="bottom"/>
            <w:gridSpan w:val="3"/>
            <w:vMerge w:val="restart"/>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Communications and equipment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4,209</w:t>
            </w:r>
          </w:p>
        </w:tc>
        <w:tc>
          <w:tcPr>
            <w:tcW w:w="10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Advertising and public relations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Postage, printing and supplies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Lending and loan servicing expense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Outside services - electronic banking</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65"/>
        </w:trPr>
        <w:tc>
          <w:tcPr>
            <w:tcW w:w="27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FDIC assessments and other regulatory</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4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2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charges</w:t>
            </w: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10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42"/>
        </w:trPr>
        <w:tc>
          <w:tcPr>
            <w:tcW w:w="2760" w:type="dxa"/>
            <w:vAlign w:val="bottom"/>
          </w:tcPr>
          <w:p>
            <w:pPr>
              <w:ind w:left="140"/>
              <w:spacing w:after="0" w:line="142" w:lineRule="exact"/>
              <w:rPr>
                <w:sz w:val="20"/>
                <w:szCs w:val="20"/>
                <w:color w:val="auto"/>
              </w:rPr>
            </w:pPr>
            <w:r>
              <w:rPr>
                <w:rFonts w:ascii="Times New Roman" w:cs="Times New Roman" w:eastAsia="Times New Roman" w:hAnsi="Times New Roman"/>
                <w:sz w:val="16"/>
                <w:szCs w:val="16"/>
                <w:color w:val="auto"/>
              </w:rPr>
              <w:t>Total excluding merger-related and</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113,647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94,462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19,185</w:t>
            </w:r>
          </w:p>
        </w:tc>
        <w:tc>
          <w:tcPr>
            <w:tcW w:w="10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223,906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188,113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35,793</w:t>
            </w:r>
          </w:p>
        </w:tc>
        <w:tc>
          <w:tcPr>
            <w:tcW w:w="102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charges</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120,790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95,540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25,250</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240,065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190,734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49,331</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salaries and employee benefits for the second quarter and first six months of 2022 compared to the same periods of 2021 was primarily driven by the addition of Reliant, Aquesta and FinTrust employees since June 30, 2021. The increase also reflects our annual merit-based salary increases awarded during the second quarter of 2022. These increases were partially offset by a reduction in deferred compensation expense resulting from unrealized losses on underlying plan assets, compared to unrealized gains in the same periods of 2021. Full-time equivalent headcount totaled 2,822 at June 30, 2022, up from 2,440 at June 30, 2021, which represents a 16% increase.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Communications and equipment expense increased primarily driven by incremental software contract costs and the growth in our network with the addition of recent acquisitions. The increase in occupancy costs for the second quarter and first six months of 2022 compared to the same periods of 2021 was mostly attributable to the additional operating lease costs associated with Reliant, Aquesta and FinTrust. Advertising and public relations expense increased compared to 2021 as a result of new marketing campaigns, promotions and sponsorships. The increase in outside services - electronic banking primarily related to increased ATM network and internet banking costs. Amortization of intangibles increased with the additional customer deposit and customer relationship intangibles recorded as a result of acquisitions since the second quarter of 2021. The increase in other expense was primarily due to increase in travel and meals expenses, as well as volume-based increases in fraud losses. Increased merger-related charges were primarily related to the acquisition of Reliant and the completion of its system conversion in the second quarter of 2022, as well as branch closure costs.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at June 30, 2022 and December 31, 2021 were $24.2 billion and $20.9 billion, respectively. Total liabilities at June 30, 2022 and December 31, 2021 were $21.6 billion and $18.7 billion, respectively. Shareholders’ equity totaled $2.65 billion and $2.22 billion at June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Our loan portfolio is our largest category of interest-earning assets. The following table presents a summary of the loan portfolio by loan type as of June 30, 2022, of which approximately 73% was secured by real estate. Commercial and industrial loans as of June 30, 2022 included $9.96 million of PPP loans.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 Loan Portfolio Composition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5715</wp:posOffset>
            </wp:positionV>
            <wp:extent cx="5143500" cy="30003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 and Risk Elements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asset quality and control credit risk through review and oversight of the loan portfolio as well as adherence to policies designed to promote sound underwriting and loan monitoring practices. Our credit risk management function is responsible for monitoring asset quality and Board approved portfolio concentration limits, establishing credit policies and procedures and enforcing the consistent application of these policies and procedures.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reviews of special mention and substandard performing and non-performing loans, TDRs, past due loans and portfolio concentrations on a regular basis to identify risk migration and potential charges to the ACL. These items are discussed in a series of 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ACL reflects our assessment of the life of loan expected credit losses in the loan portfolio and unfunded loan commitments. This assessment involves uncertainty and judgment and is subject to change in future periods. The amount of any changes could be significant if our assessment of loan quality or collateral values changes substantially with respect to one or more loan relationships or portfolios. The allocation of the ACL is based on reasonable and supportable forecasts, historical data, subjective judgment and estimates and therefore, is not necessarily indicative of the specific amounts or loan categories in which charge-offs may ultimately occur. See the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section of MD&amp;A in our 2021 10-K for additional information on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Table 10 - Allocation of ACL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320" w:type="dxa"/>
            <w:vAlign w:val="bottom"/>
            <w:tcBorders>
              <w:top w:val="single" w:sz="8" w:color="auto"/>
            </w:tcBorders>
          </w:tcPr>
          <w:p>
            <w:pPr>
              <w:spacing w:after="0"/>
              <w:rPr>
                <w:sz w:val="19"/>
                <w:szCs w:val="19"/>
                <w:color w:val="auto"/>
              </w:rPr>
            </w:pPr>
          </w:p>
        </w:tc>
        <w:tc>
          <w:tcPr>
            <w:tcW w:w="2560" w:type="dxa"/>
            <w:vAlign w:val="bottom"/>
            <w:tcBorders>
              <w:top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157"/>
        </w:trPr>
        <w:tc>
          <w:tcPr>
            <w:tcW w:w="53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loans in each</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loans in each</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ACL</w:t>
            </w:r>
          </w:p>
        </w:tc>
        <w:tc>
          <w:tcPr>
            <w:tcW w:w="100" w:type="dxa"/>
            <w:vAlign w:val="bottom"/>
          </w:tcPr>
          <w:p>
            <w:pPr>
              <w:spacing w:after="0"/>
              <w:rPr>
                <w:sz w:val="14"/>
                <w:szCs w:val="14"/>
                <w:color w:val="auto"/>
              </w:rPr>
            </w:pPr>
          </w:p>
        </w:tc>
        <w:tc>
          <w:tcPr>
            <w:tcW w:w="14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category to total</w:t>
            </w:r>
          </w:p>
        </w:tc>
        <w:tc>
          <w:tcPr>
            <w:tcW w:w="320" w:type="dxa"/>
            <w:vAlign w:val="bottom"/>
          </w:tcPr>
          <w:p>
            <w:pPr>
              <w:spacing w:after="0"/>
              <w:rPr>
                <w:sz w:val="14"/>
                <w:szCs w:val="14"/>
                <w:color w:val="auto"/>
              </w:rPr>
            </w:pPr>
          </w:p>
        </w:tc>
        <w:tc>
          <w:tcPr>
            <w:tcW w:w="112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ACL</w:t>
            </w:r>
          </w:p>
        </w:tc>
        <w:tc>
          <w:tcPr>
            <w:tcW w:w="1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category to total</w:t>
            </w:r>
          </w:p>
        </w:tc>
        <w:tc>
          <w:tcPr>
            <w:tcW w:w="0" w:type="dxa"/>
            <w:vAlign w:val="bottom"/>
          </w:tcPr>
          <w:p>
            <w:pPr>
              <w:spacing w:after="0"/>
              <w:rPr>
                <w:sz w:val="1"/>
                <w:szCs w:val="1"/>
                <w:color w:val="auto"/>
              </w:rPr>
            </w:pPr>
          </w:p>
        </w:tc>
      </w:tr>
      <w:tr>
        <w:trPr>
          <w:trHeight w:val="214"/>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16,774</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14,282</w:t>
            </w: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33,284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24,156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18,267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16,592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16,062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9,956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18,409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16,290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102,796</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81,276</w:t>
            </w:r>
          </w:p>
        </w:tc>
        <w:tc>
          <w:tcPr>
            <w:tcW w:w="12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17,035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12,390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7,487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6,568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2,086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6,614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907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ACL - loans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136,925</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102,532</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ACL - unfunded commitments</w:t>
            </w: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39"/>
              <w:spacing w:after="0" w:line="181" w:lineRule="exact"/>
              <w:rPr>
                <w:sz w:val="20"/>
                <w:szCs w:val="20"/>
                <w:color w:val="auto"/>
              </w:rPr>
            </w:pPr>
            <w:r>
              <w:rPr>
                <w:rFonts w:ascii="Times New Roman" w:cs="Times New Roman" w:eastAsia="Times New Roman" w:hAnsi="Times New Roman"/>
                <w:sz w:val="16"/>
                <w:szCs w:val="16"/>
                <w:color w:val="auto"/>
              </w:rPr>
              <w:t>16,117</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9"/>
              <w:spacing w:after="0" w:line="181" w:lineRule="exact"/>
              <w:rPr>
                <w:sz w:val="20"/>
                <w:szCs w:val="20"/>
                <w:color w:val="auto"/>
              </w:rPr>
            </w:pPr>
            <w:r>
              <w:rPr>
                <w:rFonts w:ascii="Times New Roman" w:cs="Times New Roman" w:eastAsia="Times New Roman" w:hAnsi="Times New Roman"/>
                <w:sz w:val="16"/>
                <w:szCs w:val="16"/>
                <w:color w:val="auto"/>
              </w:rPr>
              <w:t>10,992</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153,042</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113,524</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ACL - loans as a percentage of total loans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0.94 %</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0.87 %</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ACL - loans as a percentage of nonaccrual loans HFI</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the ACL since December 31, 2021 was primarily driven by the acquisition of Reliant, which added $31.1 million to the ACL as of the acquisition date. Of this amount, $12.7 million was reclassified from the amortized cost basis of PCD loans, $15.2 million was recorded as provision for loan losses on acquired non-PCD loan balances and $3.12 million was recorded as provision for unfunded commitments on the acquired balance of unfunded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The following table presents a summary of net charge-offs to average loans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11 - Net Charge-offs to Average Loans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56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r>
      <w:tr>
        <w:trPr>
          <w:trHeight w:val="209"/>
        </w:trPr>
        <w:tc>
          <w:tcPr>
            <w:tcW w:w="5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5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4"/>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charge-offs (recoveries)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(1,541)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(395)</w:t>
            </w: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830</w:t>
            </w: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(2,693)</w:t>
            </w: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(271)</w:t>
            </w: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1,812</w:t>
            </w: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HELOC</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w:t>
            </w: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w:t>
            </w: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420</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336</w:t>
            </w:r>
          </w:p>
        </w:tc>
      </w:tr>
      <w:tr>
        <w:trPr>
          <w:trHeight w:val="237"/>
        </w:trPr>
        <w:tc>
          <w:tcPr>
            <w:tcW w:w="5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net charge-offs (recoveries)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(1,069)</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1,909</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(761)</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loans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2,650,947</w:t>
            </w:r>
          </w:p>
        </w:tc>
        <w:tc>
          <w:tcPr>
            <w:tcW w:w="16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2,143,421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2,635,052</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2,112,703</w:t>
            </w: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3,290,217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2,592,699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3,300,737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2,570,778</w:t>
            </w: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2,287,209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2,456,334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2,310,017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2,504,066</w:t>
            </w: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1,493,351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950,201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1,476,983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953,011</w:t>
            </w: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1,175,526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947,428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1,155,168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914,388</w:t>
            </w: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1,905,131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1,427,443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1,862,223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1,370,382</w:t>
            </w: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HELOC</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786,866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674,760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780,509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678,599</w:t>
            </w: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373,732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282,149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373,333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278,224</w:t>
            </w: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276,918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271,231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142,427</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142,367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143,332</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143,212</w:t>
            </w:r>
          </w:p>
        </w:tc>
      </w:tr>
      <w:tr>
        <w:trPr>
          <w:trHeight w:val="212"/>
        </w:trPr>
        <w:tc>
          <w:tcPr>
            <w:tcW w:w="54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average loans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14,382,324</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11,616,802</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14,308,585</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11,525,363</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5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6"/>
        </w:trPr>
        <w:tc>
          <w:tcPr>
            <w:tcW w:w="54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Net charge-offs to average loans </w:t>
            </w:r>
            <w:r>
              <w:rPr>
                <w:rFonts w:ascii="Times New Roman" w:cs="Times New Roman" w:eastAsia="Times New Roman" w:hAnsi="Times New Roman"/>
                <w:sz w:val="21"/>
                <w:szCs w:val="21"/>
                <w:b w:val="1"/>
                <w:bCs w:val="1"/>
                <w:color w:val="auto"/>
                <w:vertAlign w:val="superscript"/>
              </w:rPr>
              <w:t>(1)</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9"/>
              </w:rPr>
              <w:t>(0.03)%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(0.04)%</w:t>
            </w: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00" w:type="dxa"/>
            <w:vAlign w:val="bottom"/>
          </w:tcPr>
          <w:p>
            <w:pPr>
              <w:spacing w:after="0"/>
              <w:rPr>
                <w:sz w:val="18"/>
                <w:szCs w:val="18"/>
                <w:color w:val="auto"/>
              </w:rPr>
            </w:pPr>
          </w:p>
        </w:tc>
        <w:tc>
          <w:tcPr>
            <w:tcW w:w="104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8"/>
              </w:rPr>
              <w:t>(0.01)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(0.02)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0.07</w:t>
            </w: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8"/>
              </w:rPr>
              <w:t>(0.05)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0.23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(0.22)</w:t>
            </w: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00" w:type="dxa"/>
            <w:vAlign w:val="bottom"/>
          </w:tcPr>
          <w:p>
            <w:pPr>
              <w:spacing w:after="0"/>
              <w:rPr>
                <w:sz w:val="18"/>
                <w:szCs w:val="18"/>
                <w:color w:val="auto"/>
              </w:rPr>
            </w:pPr>
          </w:p>
        </w:tc>
        <w:tc>
          <w:tcPr>
            <w:tcW w:w="104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8"/>
              </w:rPr>
              <w:t>(0.04)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(0.07)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(0.06)</w:t>
            </w: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0.31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0.20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0.40</w:t>
            </w: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tcPr>
          <w:p>
            <w:pPr>
              <w:spacing w:after="0"/>
              <w:rPr>
                <w:sz w:val="18"/>
                <w:szCs w:val="18"/>
                <w:color w:val="auto"/>
              </w:rPr>
            </w:pPr>
          </w:p>
        </w:tc>
        <w:tc>
          <w:tcPr>
            <w:tcW w:w="104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8"/>
              </w:rPr>
              <w:t>(0.01)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(0.02)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(0.02)</w:t>
            </w: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HELOC</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8"/>
              </w:rPr>
              <w:t>(0.18)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8"/>
              </w:rPr>
              <w:t>(0.11)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(0.05)</w:t>
            </w: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00" w:type="dxa"/>
            <w:vAlign w:val="bottom"/>
          </w:tcPr>
          <w:p>
            <w:pPr>
              <w:spacing w:after="0"/>
              <w:rPr>
                <w:sz w:val="18"/>
                <w:szCs w:val="18"/>
                <w:color w:val="auto"/>
              </w:rPr>
            </w:pPr>
          </w:p>
        </w:tc>
        <w:tc>
          <w:tcPr>
            <w:tcW w:w="104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8"/>
              </w:rPr>
              <w:t>(0.08)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(0.07)</w:t>
            </w: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0.20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0.22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Pr>
          <w:p>
            <w:pPr>
              <w:spacing w:after="0"/>
              <w:rPr>
                <w:sz w:val="18"/>
                <w:szCs w:val="18"/>
                <w:color w:val="auto"/>
              </w:rPr>
            </w:pPr>
          </w:p>
        </w:tc>
        <w:tc>
          <w:tcPr>
            <w:tcW w:w="104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9"/>
              </w:rPr>
              <w:t>1.18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1.33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0.47</w:t>
            </w:r>
          </w:p>
        </w:tc>
      </w:tr>
      <w:tr>
        <w:trPr>
          <w:trHeight w:val="219"/>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8"/>
              </w:rPr>
              <w:t>(0.03)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0.03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(0.01)</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Annualized.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NPAs, which include nonaccrual loans, OREO and repossessed assets, totaled $34.4 million at June 30, 2022, compared with $32.9 million at December 31, 2021. The increase in NPAs since December 31, 2021 is primarily a result of the addition of Reliant NPAs.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policy is to place loans on nonaccrual status when, in the opinion of management, the full principal and interest on a loan is not likely to be collected or when the loan becomes 90 days past due. A loan may continue on accrual after 90 days, however, if it is well collateralized and in the process of collection. When a loan is placed on nonaccrual status, interest previously accrued but not collected is reversed against current interest revenue. Interest payments received on nonaccrual loans are applied to reduce the loan’s amortized</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cost. Loans are generally returned to accrual status when all the principal and interest amounts contractually due are brought current, there is a sustained period of repayment performance and future payments are reasonably assured.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we do not commit to lend additional funds to customers whose loans are on nonaccrual status, although in certain isolated cases, we execute forbearance agreements whereby we agree to continue to fund construction loans to completion or other lines of credit as long as the borrower meets the conditions of the forbearance agreement. We may also fund other amounts necessary to protect collateral such as amounts to pay past due property taxes and insurance coverage.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NPAs.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12 - NPAs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6"/>
                <w:szCs w:val="16"/>
                <w:color w:val="auto"/>
              </w:rPr>
            </w:pPr>
          </w:p>
        </w:tc>
        <w:tc>
          <w:tcPr>
            <w:tcW w:w="2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6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40" w:type="dxa"/>
            <w:vAlign w:val="bottom"/>
            <w:tcBorders>
              <w:bottom w:val="single" w:sz="8" w:color="CCEEFF"/>
            </w:tcBorders>
          </w:tcPr>
          <w:p>
            <w:pPr>
              <w:spacing w:after="0"/>
              <w:rPr>
                <w:sz w:val="18"/>
                <w:szCs w:val="18"/>
                <w:color w:val="auto"/>
              </w:rPr>
            </w:pPr>
          </w:p>
        </w:tc>
      </w:tr>
      <w:tr>
        <w:trPr>
          <w:trHeight w:val="211"/>
        </w:trPr>
        <w:tc>
          <w:tcPr>
            <w:tcW w:w="66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Nonaccrual loans HFI</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33,143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32,812</w:t>
            </w:r>
          </w:p>
        </w:tc>
        <w:tc>
          <w:tcPr>
            <w:tcW w:w="1340" w:type="dxa"/>
            <w:vAlign w:val="bottom"/>
            <w:shd w:val="clear" w:color="auto" w:fill="CCEEFF"/>
          </w:tcPr>
          <w:p>
            <w:pPr>
              <w:spacing w:after="0"/>
              <w:rPr>
                <w:sz w:val="18"/>
                <w:szCs w:val="18"/>
                <w:color w:val="auto"/>
              </w:rPr>
            </w:pPr>
          </w:p>
        </w:tc>
      </w:tr>
      <w:tr>
        <w:trPr>
          <w:trHeight w:val="213"/>
        </w:trPr>
        <w:tc>
          <w:tcPr>
            <w:tcW w:w="666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Nonaccrual loans held for sale</w:t>
            </w:r>
          </w:p>
        </w:tc>
        <w:tc>
          <w:tcPr>
            <w:tcW w:w="3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2"/>
          </w:tcPr>
          <w:p>
            <w:pPr>
              <w:jc w:val="right"/>
              <w:ind w:right="15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6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OREO and repossessed assets</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1340" w:type="dxa"/>
            <w:vAlign w:val="bottom"/>
            <w:shd w:val="clear" w:color="auto" w:fill="CCEEFF"/>
          </w:tcPr>
          <w:p>
            <w:pPr>
              <w:spacing w:after="0"/>
              <w:rPr>
                <w:sz w:val="18"/>
                <w:szCs w:val="18"/>
                <w:color w:val="auto"/>
              </w:rPr>
            </w:pPr>
          </w:p>
        </w:tc>
      </w:tr>
      <w:tr>
        <w:trPr>
          <w:trHeight w:val="212"/>
        </w:trPr>
        <w:tc>
          <w:tcPr>
            <w:tcW w:w="666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Total NPAs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34,428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32,855</w:t>
            </w:r>
          </w:p>
        </w:tc>
        <w:tc>
          <w:tcPr>
            <w:tcW w:w="1340" w:type="dxa"/>
            <w:vAlign w:val="bottom"/>
          </w:tcPr>
          <w:p>
            <w:pPr>
              <w:spacing w:after="0"/>
              <w:rPr>
                <w:sz w:val="18"/>
                <w:szCs w:val="18"/>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183"/>
        </w:trPr>
        <w:tc>
          <w:tcPr>
            <w:tcW w:w="6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13"/>
        </w:trPr>
        <w:tc>
          <w:tcPr>
            <w:tcW w:w="666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Nonaccrual loans HFI as a percentage of total loans HFI</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0.28 %</w:t>
            </w: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NPAs as a percentage of total assets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0.16</w:t>
            </w:r>
          </w:p>
        </w:tc>
        <w:tc>
          <w:tcPr>
            <w:tcW w:w="134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2022 and December 31, 2021, we had $50.7 million and $52.4 million, respectively, in loans with terms that have been modified in TDRs. Included therein were $11.4 million and $11.5 million, respectively, of TDRs that were classified as nonaccrual and were included in nonperforming loans. The remaining TDRs with an aggregate balance of $39.3 million and $40.9 million, respectively, were performing according to their modified terms and were therefore not considered to be nonperforming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June 30, 2022 and December 31, 2021, we had HTM debt securities with a carrying amount of $2.72 billion and $1.16 billion, respectively, and AFS debt securities totaling $3.96 billion and $4.50 billion, respectively. During the second quarter and the first six months of 2022, United transferred AFS debt securities to HTM with a fair value on the transfer date of $184 million and $1.29 billion, respectively. Included in the amount transferred were unrealized losses totaling $30.0 million and $87.4 million for the second quarter and the first six months of 2022, respectively, which are recorded in AOCI. Transfer date unrealized losses are amortized and reclassified out of AOCI as a yield adjustment, which is offset by discount accretion of the transferred HTM securities. Amortization of transfer date unrealized losses and discount accretion are recognized over the remaining life of the securities. Since December 31, 2021, we have continued to deploy liquidity generated through strong deposit growth by purchasing additional investment securities. At June 30, 2022 and December 31, 2021, the securities portfolio represented approximately 28% and 27%, respectively, of total assets.</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CECL, our HTM debt securities portfolio is evaluated quarterly to assess whether an ACL is required. We measure expected credit losses on HTM debt securities on a collective basis by major security type. The estimate of expected credit losses considers historical credit loss information that is adjusted for current conditions and reasonable and supportable forecasts. At June 30, 2022 and December 31, 2021, calculated credit losses on HTM debt securities were de minimis due to the high credit quality of the portfolio, which included securities issued or guaranteed by U.S. Government agencies, GSEs, high credit quality municipalities and supranational entities. As a result, no ACL for HTM debt securities was recorded.</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AFS debt securities in an unrealized loss position, if we intend to sell, or if it is more likely than not that we will be required to sell the security before recovery of its amortized cost basis, the security's amortized cost basis is written down to fair value through income. Absent an intent or more than likely requirement to sell, we evaluate whether the decline in fair value has resulted from credit losses or other factors. The evaluation considers factors such as the extent to which fair value is less than amortized cost, changes to the security’s rating, and adverse conditions specific to the security. If the evaluation indicates a credit loss exists, an ACL may be recorded, with such allowance limited to the amount by which fair value is below amortized cost. Any impairment unrelated to credit</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4" w:name="page55"/>
    <w:bookmarkEnd w:id="54"/>
    <w:p>
      <w:pPr>
        <w:jc w:val="both"/>
        <w:spacing w:after="0" w:line="282" w:lineRule="auto"/>
        <w:rPr>
          <w:sz w:val="20"/>
          <w:szCs w:val="20"/>
          <w:color w:val="auto"/>
        </w:rPr>
      </w:pPr>
      <w:r>
        <w:rPr>
          <w:rFonts w:ascii="Times New Roman" w:cs="Times New Roman" w:eastAsia="Times New Roman" w:hAnsi="Times New Roman"/>
          <w:sz w:val="18"/>
          <w:szCs w:val="18"/>
          <w:color w:val="auto"/>
        </w:rPr>
        <w:t>factors is recognized in OCI. At June 30, 2022 and December 31, 2021, there was no ACL related to the AFS debt securities portfolio. Losses on fixed income securities at June 30, 2022 and December 31, 2021 primarily reflected the effect of changes in interest rates.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premium paid for acquired companies above the net fair value of the assets acquired and liabilities assumed, including separately identifiable intangible assets. Management evaluates goodwill annually, or more frequently if necessary, to determine if any impairment exists. At June 30, 2022 and December 31, 2021, the net carrying amount of goodwill was $751 million and $452 million,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core deposit and customer relationship intangible assets, representing the value of acquired deposit and customer relationships, respectively, which are amortizing intangible assets. Amortizing intangible assets are required to be tested for impairment only when events or circumstances indicate that impairment may exist.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acquisition of Reliant, we recorded goodwill and a core deposit intangible of $299 million and $14.5 million,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 deposits are the primary source of funds for the continued growth of our earning assets. Our high level of service, as evidenced by our strong customer satisfaction scores, has been instrumental in attracting and retaining customer deposit accounts. The increase in deposits since December 31, 2021 is mostly driven by the deposits assumed in the Reliant transaction as well as organic growth.</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13 - Deposits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5540" w:type="dxa"/>
            <w:vAlign w:val="bottom"/>
            <w:tcBorders>
              <w:top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8,155,494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6,956,981</w:t>
            </w:r>
          </w:p>
        </w:tc>
        <w:tc>
          <w:tcPr>
            <w:tcW w:w="1500" w:type="dxa"/>
            <w:vAlign w:val="bottom"/>
            <w:tcBorders>
              <w:top w:val="single" w:sz="8" w:color="CCEEFF"/>
            </w:tcBorders>
            <w:shd w:val="clear" w:color="auto" w:fill="CCEEFF"/>
          </w:tcPr>
          <w:p>
            <w:pPr>
              <w:spacing w:after="0"/>
              <w:rPr>
                <w:sz w:val="18"/>
                <w:szCs w:val="18"/>
                <w:color w:val="auto"/>
              </w:rPr>
            </w:pPr>
          </w:p>
        </w:tc>
      </w:tr>
      <w:tr>
        <w:trPr>
          <w:trHeight w:val="213"/>
        </w:trPr>
        <w:tc>
          <w:tcPr>
            <w:tcW w:w="55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4,543,722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4,252,209</w:t>
            </w:r>
          </w:p>
        </w:tc>
        <w:tc>
          <w:tcPr>
            <w:tcW w:w="1500" w:type="dxa"/>
            <w:vAlign w:val="bottom"/>
          </w:tcPr>
          <w:p>
            <w:pPr>
              <w:spacing w:after="0"/>
              <w:rPr>
                <w:sz w:val="18"/>
                <w:szCs w:val="18"/>
                <w:color w:val="auto"/>
              </w:rPr>
            </w:pPr>
          </w:p>
        </w:tc>
      </w:tr>
      <w:tr>
        <w:trPr>
          <w:trHeight w:val="219"/>
        </w:trPr>
        <w:tc>
          <w:tcPr>
            <w:tcW w:w="554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Money market and savings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6,353,221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5,399,133</w:t>
            </w:r>
          </w:p>
        </w:tc>
        <w:tc>
          <w:tcPr>
            <w:tcW w:w="1500" w:type="dxa"/>
            <w:vAlign w:val="bottom"/>
            <w:shd w:val="clear" w:color="auto" w:fill="CCEEFF"/>
          </w:tcPr>
          <w:p>
            <w:pPr>
              <w:spacing w:after="0"/>
              <w:rPr>
                <w:sz w:val="19"/>
                <w:szCs w:val="19"/>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6"/>
                <w:szCs w:val="16"/>
                <w:color w:val="auto"/>
              </w:rPr>
              <w:t>Time</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1,654,704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1,442,498</w:t>
            </w:r>
          </w:p>
        </w:tc>
        <w:tc>
          <w:tcPr>
            <w:tcW w:w="1500" w:type="dxa"/>
            <w:vAlign w:val="bottom"/>
            <w:tcBorders>
              <w:bottom w:val="single" w:sz="8" w:color="CCEEFF"/>
            </w:tcBorders>
          </w:tcPr>
          <w:p>
            <w:pPr>
              <w:spacing w:after="0"/>
              <w:rPr>
                <w:sz w:val="18"/>
                <w:szCs w:val="18"/>
                <w:color w:val="auto"/>
              </w:rPr>
            </w:pPr>
          </w:p>
        </w:tc>
      </w:tr>
      <w:tr>
        <w:trPr>
          <w:trHeight w:val="212"/>
        </w:trPr>
        <w:tc>
          <w:tcPr>
            <w:tcW w:w="554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Total customer deposits</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20,707,141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18,050,821</w:t>
            </w:r>
          </w:p>
        </w:tc>
        <w:tc>
          <w:tcPr>
            <w:tcW w:w="150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6"/>
                <w:szCs w:val="16"/>
                <w:color w:val="auto"/>
              </w:rPr>
              <w:t>Brokered deposits</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165,942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190,358</w:t>
            </w:r>
          </w:p>
        </w:tc>
        <w:tc>
          <w:tcPr>
            <w:tcW w:w="1500" w:type="dxa"/>
            <w:vAlign w:val="bottom"/>
            <w:tcBorders>
              <w:bottom w:val="single" w:sz="8" w:color="CCEEFF"/>
            </w:tcBorders>
          </w:tcPr>
          <w:p>
            <w:pPr>
              <w:spacing w:after="0"/>
              <w:rPr>
                <w:sz w:val="18"/>
                <w:szCs w:val="18"/>
                <w:color w:val="auto"/>
              </w:rPr>
            </w:pPr>
          </w:p>
        </w:tc>
      </w:tr>
      <w:tr>
        <w:trPr>
          <w:trHeight w:val="237"/>
        </w:trPr>
        <w:tc>
          <w:tcPr>
            <w:tcW w:w="554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Total deposits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20,873,083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18,241,179</w:t>
            </w:r>
          </w:p>
        </w:tc>
        <w:tc>
          <w:tcPr>
            <w:tcW w:w="1500" w:type="dxa"/>
            <w:vAlign w:val="bottom"/>
            <w:tcBorders>
              <w:bottom w:val="single" w:sz="8" w:color="CCEEFF"/>
            </w:tcBorders>
            <w:shd w:val="clear" w:color="auto" w:fill="CCEEFF"/>
          </w:tcPr>
          <w:p>
            <w:pPr>
              <w:spacing w:after="0"/>
              <w:rPr>
                <w:sz w:val="20"/>
                <w:szCs w:val="20"/>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2022 and December 31, 2021, we had long-term debt outstanding of $324 million and $247 million, respectively, which includes senior debentures, subordinated debentures, and trust preferred securities. The increase since December 31, 2021 is a result of the subordinated debt and trust preferred securities assumed in the Reliant acquisition totaling $76.7 million. See Note 9 to the consolidated financial statements for further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our contractual obligations since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We are not involved in off-balance sheet contractual relationships, other than those disclosed in this report, that could result in liquidity needs or other commitments, or that could significantly affect earnings. See Note 22 to the consolidated financial statements included in our 2021 10-K and Note 15 to the consolidated financial statements in this Report for additional information on off-balance sheet arrangements.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Management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absolute level and volatility of interest rates can have a significant effect on profitability. The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revenue and the fair value of financial instruments are influenced by changes in the level of interest rates. We limit our exposure to fluctuations in interest rates through policies established by our ALCO and approved by the Board. The ALCO meets periodically and has responsibility for formulating and recommending asset/liability management policies to the Board, formulating and implementing strategies to improve balance sheet positioning and/or earnings, and reviewing interest rate sensitivity.</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of the tools management uses to estimate and manage the sensitivity of net interest revenue to changes in interest rates is an asset/liability simulation model. Resulting estimates are based upon several assumptions for each scenario, including loan and deposit re-pricing characteristics and the rate of prepayments. The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Our assumptions include floors such that market rates and discount rates do not go below zero. Other scenarios analyzed may include delayed rate shocks, yield curve steepening or flattening, or other variations in rate movements. While the primary policy scenarios focus on a 12-month time frame, longer time horizons are also modeled.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Our policy limits the projected change in net interest revenue over the first 12 months to an 8% decrease for each 100 basis point change in the increasing and decreasing rate ramp and shock scenarios. The following table presents our interest sensitivity position at the dates indicated.</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14 - Interest Sensitivity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20" w:type="dxa"/>
            <w:vAlign w:val="bottom"/>
            <w:gridSpan w:val="9"/>
          </w:tcPr>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Increase (Decrease) in Net Interest Revenue from Base Scenario</w:t>
            </w:r>
          </w:p>
        </w:tc>
      </w:tr>
      <w:tr>
        <w:trPr>
          <w:trHeight w:val="214"/>
        </w:trPr>
        <w:tc>
          <w:tcPr>
            <w:tcW w:w="1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center"/>
              <w:ind w:right="1140"/>
              <w:spacing w:after="0"/>
              <w:rPr>
                <w:sz w:val="20"/>
                <w:szCs w:val="20"/>
                <w:color w:val="auto"/>
              </w:rPr>
            </w:pPr>
            <w:r>
              <w:rPr>
                <w:rFonts w:ascii="Times New Roman" w:cs="Times New Roman" w:eastAsia="Times New Roman" w:hAnsi="Times New Roman"/>
                <w:sz w:val="16"/>
                <w:szCs w:val="16"/>
                <w:b w:val="1"/>
                <w:bCs w:val="1"/>
                <w:color w:val="auto"/>
                <w:w w:val="89"/>
              </w:rPr>
              <w:t>at</w:t>
            </w:r>
          </w:p>
        </w:tc>
        <w:tc>
          <w:tcPr>
            <w:tcW w:w="1060" w:type="dxa"/>
            <w:vAlign w:val="bottom"/>
            <w:tcBorders>
              <w:bottom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08"/>
        </w:trPr>
        <w:tc>
          <w:tcPr>
            <w:tcW w:w="1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Borders>
              <w:bottom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560" w:type="dxa"/>
            <w:vAlign w:val="bottom"/>
          </w:tcPr>
          <w:p>
            <w:pPr>
              <w:spacing w:after="0"/>
              <w:rPr>
                <w:sz w:val="18"/>
                <w:szCs w:val="18"/>
                <w:color w:val="auto"/>
              </w:rPr>
            </w:pPr>
          </w:p>
        </w:tc>
      </w:tr>
      <w:tr>
        <w:trPr>
          <w:trHeight w:val="211"/>
        </w:trPr>
        <w:tc>
          <w:tcPr>
            <w:tcW w:w="1500" w:type="dxa"/>
            <w:vAlign w:val="bottom"/>
          </w:tcPr>
          <w:p>
            <w:pPr>
              <w:spacing w:after="0"/>
              <w:rPr>
                <w:sz w:val="18"/>
                <w:szCs w:val="18"/>
                <w:color w:val="auto"/>
              </w:rPr>
            </w:pPr>
          </w:p>
        </w:tc>
        <w:tc>
          <w:tcPr>
            <w:tcW w:w="3580" w:type="dxa"/>
            <w:vAlign w:val="bottom"/>
            <w:gridSpan w:val="2"/>
          </w:tcPr>
          <w:p>
            <w:pPr>
              <w:ind w:left="1160"/>
              <w:spacing w:after="0"/>
              <w:rPr>
                <w:sz w:val="20"/>
                <w:szCs w:val="20"/>
                <w:color w:val="auto"/>
              </w:rPr>
            </w:pPr>
            <w:r>
              <w:rPr>
                <w:rFonts w:ascii="Times New Roman" w:cs="Times New Roman" w:eastAsia="Times New Roman" w:hAnsi="Times New Roman"/>
                <w:sz w:val="16"/>
                <w:szCs w:val="16"/>
                <w:b w:val="1"/>
                <w:bCs w:val="1"/>
                <w:color w:val="auto"/>
              </w:rPr>
              <w:t>Change in Rates</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Ramp</w:t>
            </w:r>
          </w:p>
        </w:tc>
        <w:tc>
          <w:tcPr>
            <w:tcW w:w="1560" w:type="dxa"/>
            <w:vAlign w:val="bottom"/>
          </w:tcPr>
          <w:p>
            <w:pPr>
              <w:spacing w:after="0"/>
              <w:rPr>
                <w:sz w:val="18"/>
                <w:szCs w:val="18"/>
                <w:color w:val="auto"/>
              </w:rPr>
            </w:pPr>
          </w:p>
        </w:tc>
      </w:tr>
      <w:tr>
        <w:trPr>
          <w:trHeight w:val="211"/>
        </w:trPr>
        <w:tc>
          <w:tcPr>
            <w:tcW w:w="150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basis point increase</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11.36 %</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96"/>
              </w:rPr>
              <w:t>7.29 %</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8.02 %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4.76 %</w:t>
            </w:r>
          </w:p>
        </w:tc>
        <w:tc>
          <w:tcPr>
            <w:tcW w:w="1560" w:type="dxa"/>
            <w:vAlign w:val="bottom"/>
            <w:tcBorders>
              <w:top w:val="single" w:sz="8" w:color="CCEEFF"/>
            </w:tcBorders>
            <w:shd w:val="clear" w:color="auto" w:fill="CCEEFF"/>
          </w:tcPr>
          <w:p>
            <w:pPr>
              <w:spacing w:after="0"/>
              <w:rPr>
                <w:sz w:val="18"/>
                <w:szCs w:val="18"/>
                <w:color w:val="auto"/>
              </w:rPr>
            </w:pPr>
          </w:p>
        </w:tc>
      </w:tr>
      <w:tr>
        <w:trPr>
          <w:trHeight w:val="213"/>
        </w:trPr>
        <w:tc>
          <w:tcPr>
            <w:tcW w:w="1500" w:type="dxa"/>
            <w:vAlign w:val="bottom"/>
          </w:tcPr>
          <w:p>
            <w:pPr>
              <w:spacing w:after="0"/>
              <w:rPr>
                <w:sz w:val="18"/>
                <w:szCs w:val="18"/>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100 basis point increase</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8"/>
                <w:szCs w:val="18"/>
                <w:color w:val="auto"/>
              </w:rPr>
            </w:pPr>
          </w:p>
        </w:tc>
        <w:tc>
          <w:tcPr>
            <w:tcW w:w="10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4.81</w:t>
            </w:r>
          </w:p>
        </w:tc>
        <w:tc>
          <w:tcPr>
            <w:tcW w:w="120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3.07</w:t>
            </w:r>
          </w:p>
        </w:tc>
        <w:tc>
          <w:tcPr>
            <w:tcW w:w="1560" w:type="dxa"/>
            <w:vAlign w:val="bottom"/>
          </w:tcPr>
          <w:p>
            <w:pPr>
              <w:spacing w:after="0"/>
              <w:rPr>
                <w:sz w:val="18"/>
                <w:szCs w:val="18"/>
                <w:color w:val="auto"/>
              </w:rPr>
            </w:pPr>
          </w:p>
        </w:tc>
      </w:tr>
      <w:tr>
        <w:trPr>
          <w:trHeight w:val="219"/>
        </w:trPr>
        <w:tc>
          <w:tcPr>
            <w:tcW w:w="150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 basis point decrease</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(6.10)</w:t>
            </w:r>
          </w:p>
        </w:tc>
        <w:tc>
          <w:tcPr>
            <w:tcW w:w="120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(3.80)</w:t>
            </w:r>
          </w:p>
        </w:tc>
        <w:tc>
          <w:tcPr>
            <w:tcW w:w="1560" w:type="dxa"/>
            <w:vAlign w:val="bottom"/>
            <w:shd w:val="clear" w:color="auto" w:fill="CCEEFF"/>
          </w:tcPr>
          <w:p>
            <w:pPr>
              <w:spacing w:after="0"/>
              <w:rPr>
                <w:sz w:val="19"/>
                <w:szCs w:val="19"/>
                <w:color w:val="auto"/>
              </w:rPr>
            </w:pPr>
          </w:p>
        </w:tc>
      </w:tr>
      <w:tr>
        <w:trPr>
          <w:trHeight w:val="210"/>
        </w:trPr>
        <w:tc>
          <w:tcPr>
            <w:tcW w:w="1500" w:type="dxa"/>
            <w:vAlign w:val="bottom"/>
          </w:tcPr>
          <w:p>
            <w:pPr>
              <w:spacing w:after="0"/>
              <w:rPr>
                <w:sz w:val="18"/>
                <w:szCs w:val="18"/>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basis point decrease</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(8.74)</w:t>
            </w:r>
          </w:p>
        </w:tc>
        <w:tc>
          <w:tcPr>
            <w:tcW w:w="120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(4.51)</w:t>
            </w:r>
          </w:p>
        </w:tc>
        <w:tc>
          <w:tcPr>
            <w:tcW w:w="1560" w:type="dxa"/>
            <w:vAlign w:val="bottom"/>
          </w:tcPr>
          <w:p>
            <w:pPr>
              <w:spacing w:after="0"/>
              <w:rPr>
                <w:sz w:val="18"/>
                <w:szCs w:val="18"/>
                <w:color w:val="auto"/>
              </w:rPr>
            </w:pPr>
          </w:p>
        </w:tc>
      </w:tr>
    </w:tbl>
    <w:p>
      <w:pPr>
        <w:spacing w:after="0" w:line="2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discretion in the extent and timing of deposit repricing depending upon the competitive pressures in the markets in which we operate.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Derivative financial instruments are used to manage interest rate sensitivity. These contracts generally consist of interest rate swaps under which we pay a variable rate (or fixed rate, as the case may be) and receive a fixed rate (or variable rate, as the case may be). In addition, investment securities and wholesale funding strategies are used to manage interest rate risk.</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Derivative financial instruments that are designated as accounting hedges are classified as either cash flow or fair value hedges. The change in fair value of cash flow hedges is recognized in OCI.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We have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policy requires all non-customer derivative financial instruments be used only for asset/liability management through the hedging of specific transactions, positions or risks,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we may require the counterparties to derivative contracts to pledge cash and/or securities as collateral to cover the net exposure.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Management</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Bank’s main source of liquidity is customer interest-bearing and noninterest-bearing deposit accounts. Liquidity is also available from wholesale funding sources consisting primarily of Federal funds purchased, FHLB advances, and brokered deposits. These sources of liquidity are generally short-term in nature and are used as necessary to fund asset growth and meet other short-term liquidity needs.</w:t>
      </w:r>
    </w:p>
    <w:p>
      <w:pPr>
        <w:spacing w:after="0" w:line="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internal capital resources to meet these obligations. While the Holding Company has access to the capital markets and maintains a line of credit as a contingent funding source, the ultimate sources of its liquidity are subsidiary service fees and dividends from the Bank, which are limited by applicable law and regulations. A South Carolina state-chartered bank is permitted to pay a dividend of up to 100% of its current year earnings without requesting approval of the South Carolina Board of Financial Institutions, provided certain conditions are met. Holding Company liquidity is managed to a minimum of 15-months of anticipated cash expenditures after considering all of its liquidity needs over this period.</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2022, we had sufficient qualifying collateral to provide borrowing capacity for FHLB advances of $1.45 billion and Federal Reserve discount window borrowing capacity of $2.52 billion. We also had unpledged investment securities of $5.06 billion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7" w:name="page58"/>
    <w:bookmarkEnd w:id="57"/>
    <w:p>
      <w:pPr>
        <w:spacing w:after="0" w:line="282" w:lineRule="auto"/>
        <w:rPr>
          <w:sz w:val="20"/>
          <w:szCs w:val="20"/>
          <w:color w:val="auto"/>
        </w:rPr>
      </w:pPr>
      <w:r>
        <w:rPr>
          <w:rFonts w:ascii="Times New Roman" w:cs="Times New Roman" w:eastAsia="Times New Roman" w:hAnsi="Times New Roman"/>
          <w:sz w:val="18"/>
          <w:szCs w:val="18"/>
          <w:color w:val="auto"/>
        </w:rPr>
        <w:t>that could be used as collateral for additional borrowings. In addition, we have the ability to attract retail deposits by competing more aggressively on pricing.</w:t>
      </w:r>
    </w:p>
    <w:p>
      <w:pPr>
        <w:spacing w:after="0" w:line="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Significant uses and sources of cash during the six months ended June 30, 2022 are as follows. See the consolidated statement of cash flows for further detail.</w:t>
      </w:r>
    </w:p>
    <w:p>
      <w:pPr>
        <w:spacing w:after="0" w:line="67" w:lineRule="exact"/>
        <w:rPr>
          <w:sz w:val="20"/>
          <w:szCs w:val="20"/>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of $347 million reflects net income of $115 million adjusted for non-cash transactions, gains and losses on sales of securities and other loans, a decrease in loans held for sale of $120 million and changes in other assets and liabilities. Significant non-cash transactions for the period included a $28.7 million provision for credit losses and net depreciation, amortization, and accretion of $22.1 million.</w:t>
      </w:r>
    </w:p>
    <w:p>
      <w:pPr>
        <w:spacing w:after="0" w:line="8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investing activities of $1.53 billion primarily consisted of purchases of AFS and HTM debt securities of $1.83 billion and a net increase in loans of $435 million, partially offset by proceeds from securities sales, maturities and calls of $709 million.</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financing activities of $83.5 million was driven by deposit growth as our net increase in deposits totaled $129 million, which was partially offset by dividends on common and preferred stock of $44.1 million.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opinion of management, our liquidity position at June 30, 2022 was sufficient to meet our expected cash flow requirements for the foreseeable future.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equity at June 30, 2022 was $2.65 billion, an increase of $429 million from December 31, 2021 primarily due to equity issued in the Reliant acquisition and year-to-date earnings partially offset by dividends declared and unrealized losses on AFS debt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capital ratios, as calculated under applicable regulatory guidelines, at June 30, 2022 and December 31, 2021. As of June 30, 2022, capital levels remained characterized as “well-capitalized” under regulatory requirements in effect at the time. Additional information related to capital ratios is provided in Note 14 to the consolidated financial statements.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15 - Capital Ratios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26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8"/>
                <w:szCs w:val="18"/>
                <w:color w:val="auto"/>
              </w:rPr>
            </w:pPr>
          </w:p>
        </w:tc>
        <w:tc>
          <w:tcPr>
            <w:tcW w:w="26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Well-</w:t>
            </w: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Minimum Capital Plus</w:t>
            </w:r>
          </w:p>
        </w:tc>
        <w:tc>
          <w:tcPr>
            <w:tcW w:w="100" w:type="dxa"/>
            <w:vAlign w:val="bottom"/>
          </w:tcPr>
          <w:p>
            <w:pPr>
              <w:spacing w:after="0"/>
              <w:rPr>
                <w:sz w:val="13"/>
                <w:szCs w:val="13"/>
                <w:color w:val="auto"/>
              </w:rPr>
            </w:pPr>
          </w:p>
        </w:tc>
        <w:tc>
          <w:tcPr>
            <w:tcW w:w="13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80" w:type="dxa"/>
            <w:vAlign w:val="bottom"/>
            <w:gridSpan w:val="2"/>
            <w:vMerge w:val="continue"/>
          </w:tcPr>
          <w:p>
            <w:pPr>
              <w:spacing w:after="0"/>
              <w:rPr>
                <w:sz w:val="14"/>
                <w:szCs w:val="14"/>
                <w:color w:val="auto"/>
              </w:rPr>
            </w:pPr>
          </w:p>
        </w:tc>
        <w:tc>
          <w:tcPr>
            <w:tcW w:w="17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Capital Conservation</w:t>
            </w:r>
          </w:p>
        </w:tc>
        <w:tc>
          <w:tcPr>
            <w:tcW w:w="13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Buffer</w:t>
            </w: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2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3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12.87 %</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12.87</w:t>
            </w:r>
          </w:p>
        </w:tc>
        <w:tc>
          <w:tcPr>
            <w:tcW w:w="0" w:type="dxa"/>
            <w:vAlign w:val="bottom"/>
          </w:tcPr>
          <w:p>
            <w:pPr>
              <w:spacing w:after="0"/>
              <w:rPr>
                <w:sz w:val="1"/>
                <w:szCs w:val="1"/>
                <w:color w:val="auto"/>
              </w:rPr>
            </w:pPr>
          </w:p>
        </w:tc>
      </w:tr>
      <w:tr>
        <w:trPr>
          <w:trHeight w:val="213"/>
        </w:trPr>
        <w:tc>
          <w:tcPr>
            <w:tcW w:w="1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14.45</w:t>
            </w:r>
          </w:p>
        </w:tc>
        <w:tc>
          <w:tcPr>
            <w:tcW w:w="1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13.62</w:t>
            </w:r>
          </w:p>
        </w:tc>
        <w:tc>
          <w:tcPr>
            <w:tcW w:w="12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 and Changing Prices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8" w:name="page59"/>
    <w:bookmarkEnd w:id="5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as of June 30, 2022 from that presented in our 2021 10-K. Our interest rate sensitivity position at June 30, 2022 is set forth in Table 14 in MD&amp;A of this Report and incorporated herein by this reference.</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jc w:val="both"/>
        <w:ind w:firstLine="210"/>
        <w:spacing w:after="0" w:line="261" w:lineRule="auto"/>
        <w:tabs>
          <w:tab w:leader="none" w:pos="4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Under the supervision and with the participation of our management, including our principal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principal financial officer, we conducted an evaluation of our disclosure controls and procedures (as such term is defined in Exchange Act Rule 13a-15(e)) as of June 30, 2022. Based on that evaluation, our principal executive officer and chief financial officer concluded that our disclosure controls and procedures were effective as of the end of the period covered by this report.</w:t>
      </w:r>
    </w:p>
    <w:p>
      <w:pPr>
        <w:spacing w:after="0" w:line="206" w:lineRule="exact"/>
        <w:rPr>
          <w:rFonts w:ascii="Times New Roman" w:cs="Times New Roman" w:eastAsia="Times New Roman" w:hAnsi="Times New Roman"/>
          <w:sz w:val="18"/>
          <w:szCs w:val="18"/>
          <w:color w:val="auto"/>
        </w:rPr>
      </w:pPr>
    </w:p>
    <w:p>
      <w:pPr>
        <w:jc w:val="both"/>
        <w:ind w:firstLine="285"/>
        <w:spacing w:after="0" w:line="267" w:lineRule="auto"/>
        <w:tabs>
          <w:tab w:leader="none" w:pos="55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such term 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Rule 13a-15(f)) occurred during the fiscal quarter ended June 30, 2022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9" w:name="page60"/>
    <w:bookmarkEnd w:id="5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Holding Company and the Bank are parties to various legal proceedings. Additionally, in the ordinary course of business, the Holding Company and the Bank are subject to regulatory examinations and investigations. Based on our current knowledge and advice of counsel, in the opinion of management there is no such pending or threatened legal matter which would result in a material adverse effect upon our consolidated financial condition or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1A. Risk Factors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Except with respect to the additional risk factors related to the proposed Progress acquisition, which are set forth in the final prospectus filed with the SEC pursuant to Rule 424(b)(3) on July 12, 2022 (and incorporated herein by this reference), there have been no material changes to the risk factors previously disclosed in the 2021 10-K.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p>
      <w:pPr>
        <w:ind w:left="1100" w:hanging="444"/>
        <w:spacing w:after="0"/>
        <w:tabs>
          <w:tab w:leader="none" w:pos="11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See Exhibit Index below.</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9" w:lineRule="exact"/>
        <w:rPr>
          <w:sz w:val="20"/>
          <w:szCs w:val="20"/>
          <w:color w:val="auto"/>
        </w:rPr>
      </w:pPr>
    </w:p>
    <w:p>
      <w:pPr>
        <w:ind w:left="44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p>
      <w:pPr>
        <w:ind w:left="1080"/>
        <w:spacing w:after="0"/>
        <w:tabs>
          <w:tab w:leader="none" w:pos="1580" w:val="left"/>
        </w:tabs>
        <w:rPr>
          <w:rFonts w:ascii="Times New Roman" w:cs="Times New Roman" w:eastAsia="Times New Roman" w:hAnsi="Times New Roman"/>
          <w:sz w:val="18"/>
          <w:szCs w:val="18"/>
          <w:u w:val="single" w:color="auto"/>
          <w:color w:val="0000FF"/>
        </w:rPr>
      </w:pPr>
      <w:hyperlink r:id="rId87">
        <w:r>
          <w:rPr>
            <w:rFonts w:ascii="Times New Roman" w:cs="Times New Roman" w:eastAsia="Times New Roman" w:hAnsi="Times New Roman"/>
            <w:sz w:val="18"/>
            <w:szCs w:val="18"/>
            <w:u w:val="single" w:color="auto"/>
            <w:color w:val="0000FF"/>
          </w:rPr>
          <w:t>2.1</w:t>
        </w:r>
      </w:hyperlink>
      <w:r>
        <w:rPr>
          <w:rFonts w:ascii="Times New Roman" w:cs="Times New Roman" w:eastAsia="Times New Roman" w:hAnsi="Times New Roman"/>
          <w:sz w:val="18"/>
          <w:szCs w:val="18"/>
          <w:u w:val="single" w:color="auto"/>
          <w:color w:val="0000FF"/>
        </w:rPr>
        <w:tab/>
      </w:r>
      <w:hyperlink r:id="rId87">
        <w:r>
          <w:rPr>
            <w:rFonts w:ascii="Times New Roman" w:cs="Times New Roman" w:eastAsia="Times New Roman" w:hAnsi="Times New Roman"/>
            <w:sz w:val="18"/>
            <w:szCs w:val="18"/>
            <w:u w:val="single" w:color="auto"/>
            <w:color w:val="0000FF"/>
          </w:rPr>
          <w:t>Agreement and Plan of Merger by and between United Community Banks, Inc. and Progress Financial Corporation dated as of May</w:t>
        </w:r>
      </w:hyperlink>
    </w:p>
    <w:p>
      <w:pPr>
        <w:ind w:left="1600"/>
        <w:spacing w:after="0" w:line="203" w:lineRule="auto"/>
        <w:rPr>
          <w:rFonts w:ascii="Times New Roman" w:cs="Times New Roman" w:eastAsia="Times New Roman" w:hAnsi="Times New Roman"/>
          <w:sz w:val="18"/>
          <w:szCs w:val="18"/>
          <w:u w:val="single" w:color="auto"/>
          <w:color w:val="0000FF"/>
        </w:rPr>
      </w:pPr>
      <w:hyperlink r:id="rId87">
        <w:r>
          <w:rPr>
            <w:rFonts w:ascii="Times New Roman" w:cs="Times New Roman" w:eastAsia="Times New Roman" w:hAnsi="Times New Roman"/>
            <w:sz w:val="18"/>
            <w:szCs w:val="18"/>
            <w:u w:val="single" w:color="auto"/>
            <w:color w:val="0000FF"/>
          </w:rPr>
          <w:t>3, 2022 (incorporated herein by reference to Exhibit 2.1 to United Community Banks, Inc.’s Current Report on Form 8-K dated May</w:t>
        </w:r>
      </w:hyperlink>
    </w:p>
    <w:p>
      <w:pPr>
        <w:ind w:left="1600"/>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u w:val="single" w:color="auto"/>
            <w:color w:val="0000FF"/>
          </w:rPr>
          <w:t>3, 2022 and filed with the SEC on May 4, 2022</w:t>
        </w:r>
        <w:r>
          <w:rPr>
            <w:rFonts w:ascii="Times New Roman" w:cs="Times New Roman" w:eastAsia="Times New Roman" w:hAnsi="Times New Roman"/>
            <w:sz w:val="18"/>
            <w:szCs w:val="18"/>
            <w:color w:val="000000"/>
          </w:rPr>
          <w:t>.</w:t>
        </w:r>
      </w:hyperlink>
    </w:p>
    <w:p>
      <w:pPr>
        <w:spacing w:after="0" w:line="178" w:lineRule="exact"/>
        <w:rPr>
          <w:sz w:val="20"/>
          <w:szCs w:val="20"/>
          <w:color w:val="auto"/>
        </w:rPr>
      </w:pPr>
    </w:p>
    <w:p>
      <w:pPr>
        <w:jc w:val="both"/>
        <w:ind w:left="1600" w:right="20" w:hanging="516"/>
        <w:spacing w:after="0" w:line="226" w:lineRule="auto"/>
        <w:tabs>
          <w:tab w:leader="none" w:pos="1580" w:val="left"/>
        </w:tabs>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u w:val="single" w:color="auto"/>
          <w:color w:val="0000FF"/>
        </w:rPr>
        <w:tab/>
      </w:r>
      <w:hyperlink r:id="rId88">
        <w:r>
          <w:rPr>
            <w:rFonts w:ascii="Times New Roman" w:cs="Times New Roman" w:eastAsia="Times New Roman" w:hAnsi="Times New Roman"/>
            <w:sz w:val="18"/>
            <w:szCs w:val="18"/>
            <w:u w:val="single" w:color="auto"/>
            <w:color w:val="0000FF"/>
          </w:rPr>
          <w:t>Restated Articles of Incorporation of United Community Banks, Inc. as amended through August 13, 2021 (incorporated herein by</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reference to Exhibit 3.1 to United Community Bank Inc.'s Quarterly Report on Form 10-Q for the period ended September 30, 2021,</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filed on November 5, 2021.</w:t>
        </w:r>
      </w:hyperlink>
    </w:p>
    <w:p>
      <w:pPr>
        <w:spacing w:after="0" w:line="171" w:lineRule="exact"/>
        <w:rPr>
          <w:rFonts w:ascii="Times New Roman" w:cs="Times New Roman" w:eastAsia="Times New Roman" w:hAnsi="Times New Roman"/>
          <w:sz w:val="18"/>
          <w:szCs w:val="18"/>
          <w:u w:val="single" w:color="auto"/>
          <w:color w:val="0000FF"/>
        </w:rPr>
      </w:pPr>
    </w:p>
    <w:p>
      <w:pPr>
        <w:jc w:val="both"/>
        <w:ind w:left="1600" w:right="20" w:hanging="516"/>
        <w:spacing w:after="0" w:line="226" w:lineRule="auto"/>
        <w:tabs>
          <w:tab w:leader="none" w:pos="1580" w:val="left"/>
        </w:tabs>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89">
        <w:r>
          <w:rPr>
            <w:rFonts w:ascii="Times New Roman" w:cs="Times New Roman" w:eastAsia="Times New Roman" w:hAnsi="Times New Roman"/>
            <w:sz w:val="18"/>
            <w:szCs w:val="18"/>
            <w:u w:val="single" w:color="auto"/>
            <w:color w:val="0000FF"/>
          </w:rPr>
          <w:t>Amended and Restated Bylaws of United Community Banks, Inc., as amended (incorporated herein by reference to Exhibit 3.2 to</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United Community Banks, Inc.’s Quarterly Report on Form 10-Q for the period ended March 31, 2015, filed with the SEC on May</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11, 2015).</w:t>
        </w:r>
      </w:hyperlink>
    </w:p>
    <w:p>
      <w:pPr>
        <w:spacing w:after="0" w:line="171" w:lineRule="exact"/>
        <w:rPr>
          <w:rFonts w:ascii="Times New Roman" w:cs="Times New Roman" w:eastAsia="Times New Roman" w:hAnsi="Times New Roman"/>
          <w:sz w:val="18"/>
          <w:szCs w:val="18"/>
          <w:u w:val="single" w:color="auto"/>
          <w:color w:val="0000FF"/>
        </w:rPr>
      </w:pPr>
    </w:p>
    <w:p>
      <w:pPr>
        <w:ind w:left="1600" w:right="120" w:hanging="606"/>
        <w:spacing w:after="0" w:line="266" w:lineRule="auto"/>
        <w:tabs>
          <w:tab w:leader="none" w:pos="1580" w:val="left"/>
        </w:tabs>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90">
        <w:r>
          <w:rPr>
            <w:rFonts w:ascii="Times New Roman" w:cs="Times New Roman" w:eastAsia="Times New Roman" w:hAnsi="Times New Roman"/>
            <w:sz w:val="18"/>
            <w:szCs w:val="18"/>
            <w:u w:val="single" w:color="auto"/>
            <w:color w:val="0000FF"/>
          </w:rPr>
          <w:t>United Community Banks, Inc.’s 2022 Omnibus Equity Plan (incorporated herein by reference to Appendix 1 to United Community</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Banks, Inc.’s Schedule 14A Proxy Statement, File No. 001-35095, filed with the SEC on April 6, 2022)</w:t>
        </w:r>
        <w:r>
          <w:rPr>
            <w:rFonts w:ascii="Times New Roman" w:cs="Times New Roman" w:eastAsia="Times New Roman" w:hAnsi="Times New Roman"/>
            <w:sz w:val="18"/>
            <w:szCs w:val="18"/>
            <w:color w:val="000000"/>
          </w:rPr>
          <w:t>.#</w:t>
        </w:r>
      </w:hyperlink>
    </w:p>
    <w:p>
      <w:pPr>
        <w:spacing w:after="0" w:line="189" w:lineRule="exact"/>
        <w:rPr>
          <w:rFonts w:ascii="Times New Roman" w:cs="Times New Roman" w:eastAsia="Times New Roman" w:hAnsi="Times New Roman"/>
          <w:sz w:val="18"/>
          <w:szCs w:val="18"/>
          <w:u w:val="single" w:color="auto"/>
          <w:color w:val="0000FF"/>
        </w:rPr>
      </w:pPr>
    </w:p>
    <w:p>
      <w:pPr>
        <w:ind w:left="1000"/>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10.2</w:t>
      </w:r>
      <w:r>
        <w:rPr>
          <w:sz w:val="20"/>
          <w:szCs w:val="20"/>
          <w:color w:val="auto"/>
        </w:rPr>
        <w:tab/>
      </w:r>
      <w:r>
        <w:rPr>
          <w:rFonts w:ascii="Times New Roman" w:cs="Times New Roman" w:eastAsia="Times New Roman" w:hAnsi="Times New Roman"/>
          <w:sz w:val="17"/>
          <w:szCs w:val="17"/>
          <w:u w:val="single" w:color="auto"/>
          <w:color w:val="0000FF"/>
        </w:rPr>
        <w:t xml:space="preserve">Form of Restricted Stock Unit Award Agreement for Non-Employee Directors. </w:t>
      </w:r>
      <w:r>
        <w:rPr>
          <w:rFonts w:ascii="Times New Roman" w:cs="Times New Roman" w:eastAsia="Times New Roman" w:hAnsi="Times New Roman"/>
          <w:sz w:val="17"/>
          <w:szCs w:val="17"/>
          <w:color w:val="000000"/>
        </w:rPr>
        <w:t>#</w:t>
      </w:r>
    </w:p>
    <w:p>
      <w:pPr>
        <w:spacing w:after="0" w:line="198" w:lineRule="exact"/>
        <w:rPr>
          <w:rFonts w:ascii="Times New Roman" w:cs="Times New Roman" w:eastAsia="Times New Roman" w:hAnsi="Times New Roman"/>
          <w:sz w:val="18"/>
          <w:szCs w:val="18"/>
          <w:u w:val="single" w:color="auto"/>
          <w:color w:val="0000FF"/>
        </w:rPr>
      </w:pPr>
    </w:p>
    <w:p>
      <w:pPr>
        <w:ind w:left="1600" w:right="2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8"/>
          <w:szCs w:val="18"/>
          <w:u w:val="single" w:color="auto"/>
          <w:color w:val="0000FF"/>
        </w:rPr>
        <w:t>Certification by H. Lynn Harton, President and Chief Executive Officer of United Community Banks, Inc., pursuant to Exchange Act Rule 13a-14(a).</w:t>
      </w:r>
    </w:p>
    <w:p>
      <w:pPr>
        <w:spacing w:after="0" w:line="172" w:lineRule="exact"/>
        <w:rPr>
          <w:rFonts w:ascii="Times New Roman" w:cs="Times New Roman" w:eastAsia="Times New Roman" w:hAnsi="Times New Roman"/>
          <w:sz w:val="18"/>
          <w:szCs w:val="18"/>
          <w:u w:val="single" w:color="auto"/>
          <w:color w:val="0000FF"/>
        </w:rPr>
      </w:pPr>
    </w:p>
    <w:p>
      <w:pPr>
        <w:ind w:left="1600" w:right="2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8"/>
          <w:szCs w:val="18"/>
          <w:u w:val="single" w:color="auto"/>
          <w:color w:val="0000FF"/>
        </w:rPr>
        <w:t>Certification by Jefferson L. Harralson, Executive Vice President and Chief Financial Officer of United Community Banks, Inc., pursuant to Exchange Act Rule 13a-14(a).</w:t>
      </w:r>
    </w:p>
    <w:p>
      <w:pPr>
        <w:spacing w:after="0" w:line="172" w:lineRule="exact"/>
        <w:rPr>
          <w:rFonts w:ascii="Times New Roman" w:cs="Times New Roman" w:eastAsia="Times New Roman" w:hAnsi="Times New Roman"/>
          <w:sz w:val="18"/>
          <w:szCs w:val="18"/>
          <w:u w:val="single" w:color="auto"/>
          <w:color w:val="0000FF"/>
        </w:rPr>
      </w:pPr>
    </w:p>
    <w:p>
      <w:pPr>
        <w:ind w:left="1140"/>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32</w:t>
      </w:r>
      <w:r>
        <w:rPr>
          <w:sz w:val="20"/>
          <w:szCs w:val="20"/>
          <w:color w:val="auto"/>
        </w:rPr>
        <w:tab/>
      </w:r>
      <w:r>
        <w:rPr>
          <w:rFonts w:ascii="Times New Roman" w:cs="Times New Roman" w:eastAsia="Times New Roman" w:hAnsi="Times New Roman"/>
          <w:sz w:val="18"/>
          <w:szCs w:val="18"/>
          <w:u w:val="single" w:color="auto"/>
          <w:color w:val="0000FF"/>
        </w:rPr>
        <w:t>Certification of CEO and CFO pursuant to 18 U.S.C. Section 1350.</w:t>
      </w:r>
    </w:p>
    <w:p>
      <w:pPr>
        <w:spacing w:after="0" w:line="185" w:lineRule="exact"/>
        <w:rPr>
          <w:rFonts w:ascii="Times New Roman" w:cs="Times New Roman" w:eastAsia="Times New Roman" w:hAnsi="Times New Roman"/>
          <w:sz w:val="18"/>
          <w:szCs w:val="18"/>
          <w:u w:val="single" w:color="auto"/>
          <w:color w:val="0000FF"/>
        </w:rPr>
      </w:pPr>
    </w:p>
    <w:p>
      <w:pPr>
        <w:jc w:val="both"/>
        <w:ind w:left="1600" w:right="20" w:hanging="557"/>
        <w:spacing w:after="0" w:line="215" w:lineRule="auto"/>
        <w:tabs>
          <w:tab w:leader="none" w:pos="1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Interactive data files for United Community Bank, Inc.’s Quarterly Report on Form 10-Q for the quarter ended June 30, 2022, formatted in Inline XBRL: </w:t>
      </w:r>
      <w:r>
        <w:rPr>
          <w:rFonts w:ascii="Times New Roman" w:cs="Times New Roman" w:eastAsia="Times New Roman" w:hAnsi="Times New Roman"/>
          <w:sz w:val="18"/>
          <w:szCs w:val="18"/>
          <w:color w:val="212529"/>
        </w:rPr>
        <w:t>(i) the Consolidated Balance Sheets (unaudited); (ii) the Consolidated Statements of Income (unaudited);</w:t>
      </w:r>
    </w:p>
    <w:p>
      <w:pPr>
        <w:ind w:left="1940" w:hanging="335"/>
        <w:spacing w:after="0" w:line="219" w:lineRule="auto"/>
        <w:tabs>
          <w:tab w:leader="none" w:pos="1940" w:val="left"/>
        </w:tabs>
        <w:numPr>
          <w:ilvl w:val="1"/>
          <w:numId w:val="21"/>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Consolidated Statements of Comprehensive Income (unaudited); (iv) the Consolidated Statements in Shareholders’ Equity</w:t>
      </w:r>
    </w:p>
    <w:p>
      <w:pPr>
        <w:ind w:left="1600" w:right="20"/>
        <w:spacing w:after="0" w:line="226" w:lineRule="auto"/>
        <w:rPr>
          <w:sz w:val="20"/>
          <w:szCs w:val="20"/>
          <w:color w:val="auto"/>
        </w:rPr>
      </w:pPr>
      <w:r>
        <w:rPr>
          <w:rFonts w:ascii="Times New Roman" w:cs="Times New Roman" w:eastAsia="Times New Roman" w:hAnsi="Times New Roman"/>
          <w:sz w:val="18"/>
          <w:szCs w:val="18"/>
          <w:color w:val="212529"/>
        </w:rPr>
        <w:t>(unaudited); (v) the Consolidated Statements of Cash Flows (unaudited); and (vi) the Notes to Consolidated Financial Statements (unaudited)</w:t>
      </w:r>
      <w:r>
        <w:rPr>
          <w:rFonts w:ascii="Times New Roman" w:cs="Times New Roman" w:eastAsia="Times New Roman" w:hAnsi="Times New Roman"/>
          <w:sz w:val="18"/>
          <w:szCs w:val="18"/>
          <w:color w:val="000000"/>
        </w:rPr>
        <w:t>.</w:t>
      </w:r>
    </w:p>
    <w:p>
      <w:pPr>
        <w:spacing w:after="0" w:line="171" w:lineRule="exact"/>
        <w:rPr>
          <w:rFonts w:ascii="Times New Roman" w:cs="Times New Roman" w:eastAsia="Times New Roman" w:hAnsi="Times New Roman"/>
          <w:sz w:val="18"/>
          <w:szCs w:val="18"/>
          <w:u w:val="single" w:color="auto"/>
          <w:color w:val="0000FF"/>
        </w:rPr>
      </w:pPr>
    </w:p>
    <w:p>
      <w:pPr>
        <w:ind w:left="1600" w:right="20" w:hanging="557"/>
        <w:spacing w:after="0" w:line="237" w:lineRule="auto"/>
        <w:tabs>
          <w:tab w:leader="none" w:pos="16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United Community Bank’s Quarterly Report on Form 10-Q for the quarter ended June 30, 2022 (formatted in Inline XBRL and included in Exhibit 101)</w:t>
      </w:r>
    </w:p>
    <w:p>
      <w:pPr>
        <w:spacing w:after="0" w:line="320"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compensatory plan or arrangement</w:t>
      </w:r>
    </w:p>
    <w:p>
      <w:pPr>
        <w:sectPr>
          <w:pgSz w:w="11900" w:h="16838" w:orient="portrait"/>
          <w:cols w:equalWidth="0" w:num="1">
            <w:col w:w="11240"/>
          </w:cols>
          <w:pgMar w:left="320" w:top="927" w:right="339" w:bottom="1440"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5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Alan H. Kumler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 August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92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COMMUNITY BANKS, INC.</w:t>
      </w:r>
    </w:p>
    <w:p>
      <w:pPr>
        <w:jc w:val="center"/>
        <w:spacing w:after="0"/>
        <w:rPr>
          <w:sz w:val="20"/>
          <w:szCs w:val="20"/>
          <w:color w:val="auto"/>
        </w:rPr>
      </w:pPr>
      <w:r>
        <w:rPr>
          <w:rFonts w:ascii="Times New Roman" w:cs="Times New Roman" w:eastAsia="Times New Roman" w:hAnsi="Times New Roman"/>
          <w:sz w:val="22"/>
          <w:szCs w:val="22"/>
          <w:b w:val="1"/>
          <w:bCs w:val="1"/>
          <w:color w:val="auto"/>
        </w:rPr>
        <w:t>2022 OMNIBUS EQUITY PLAN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w:t>
      </w:r>
    </w:p>
    <w:p>
      <w:pPr>
        <w:spacing w:after="0" w:line="232" w:lineRule="exact"/>
        <w:rPr>
          <w:sz w:val="20"/>
          <w:szCs w:val="20"/>
          <w:color w:val="auto"/>
        </w:rPr>
      </w:pPr>
    </w:p>
    <w:tbl>
      <w:tblPr>
        <w:tblLayout w:type="fixed"/>
        <w:tblInd w:w="1600" w:type="dxa"/>
        <w:tblCellMar>
          <w:top w:w="0" w:type="dxa"/>
          <w:left w:w="0" w:type="dxa"/>
          <w:bottom w:w="0" w:type="dxa"/>
          <w:right w:w="0" w:type="dxa"/>
        </w:tblCellMar>
      </w:tblPr>
      <w:tr>
        <w:trPr>
          <w:trHeight w:val="286"/>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25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Number of RSUs:</w:t>
            </w:r>
          </w:p>
        </w:tc>
        <w:tc>
          <w:tcPr>
            <w:tcW w:w="254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RSUs</w:t>
            </w:r>
          </w:p>
        </w:tc>
        <w:tc>
          <w:tcPr>
            <w:tcW w:w="0" w:type="dxa"/>
            <w:vAlign w:val="bottom"/>
          </w:tcPr>
          <w:p>
            <w:pPr>
              <w:spacing w:after="0"/>
              <w:rPr>
                <w:sz w:val="1"/>
                <w:szCs w:val="1"/>
                <w:color w:val="auto"/>
              </w:rPr>
            </w:pPr>
          </w:p>
        </w:tc>
      </w:tr>
      <w:tr>
        <w:trPr>
          <w:trHeight w:val="478"/>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2540" w:type="dxa"/>
            <w:vAlign w:val="bottom"/>
            <w:tcBorders>
              <w:top w:val="single" w:sz="8" w:color="auto"/>
              <w:bottom w:val="single" w:sz="8" w:color="auto"/>
            </w:tcBorders>
          </w:tcPr>
          <w:p>
            <w:pPr>
              <w:spacing w:after="0"/>
              <w:rPr>
                <w:sz w:val="24"/>
                <w:szCs w:val="24"/>
                <w:color w:val="auto"/>
              </w:rPr>
            </w:pPr>
          </w:p>
        </w:tc>
        <w:tc>
          <w:tcPr>
            <w:tcW w:w="25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9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Vesting Schedule:</w:t>
            </w:r>
          </w:p>
        </w:tc>
        <w:tc>
          <w:tcPr>
            <w:tcW w:w="25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980" w:type="dxa"/>
            <w:vAlign w:val="bottom"/>
            <w:vMerge w:val="continue"/>
          </w:tcPr>
          <w:p>
            <w:pPr>
              <w:spacing w:after="0"/>
              <w:rPr>
                <w:sz w:val="21"/>
                <w:szCs w:val="21"/>
                <w:color w:val="auto"/>
              </w:rPr>
            </w:pPr>
          </w:p>
        </w:tc>
        <w:tc>
          <w:tcPr>
            <w:tcW w:w="2540" w:type="dxa"/>
            <w:vAlign w:val="bottom"/>
            <w:tcBorders>
              <w:left w:val="single" w:sz="8" w:color="auto"/>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Vesting Date</w:t>
            </w:r>
          </w:p>
        </w:tc>
        <w:tc>
          <w:tcPr>
            <w:tcW w:w="2500" w:type="dxa"/>
            <w:vAlign w:val="bottom"/>
            <w:tcBorders>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Vest Quantity</w:t>
            </w: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THIS AGREEMENT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into as of the _____day of ______, _________, by and between</w:t>
      </w:r>
    </w:p>
    <w:p>
      <w:pPr>
        <w:jc w:val="both"/>
        <w:ind w:right="20"/>
        <w:spacing w:after="0" w:line="225" w:lineRule="auto"/>
        <w:rPr>
          <w:sz w:val="20"/>
          <w:szCs w:val="20"/>
          <w:color w:val="auto"/>
        </w:rPr>
      </w:pPr>
      <w:r>
        <w:rPr>
          <w:rFonts w:ascii="Times New Roman" w:cs="Times New Roman" w:eastAsia="Times New Roman" w:hAnsi="Times New Roman"/>
          <w:sz w:val="22"/>
          <w:szCs w:val="22"/>
          <w:b w:val="1"/>
          <w:bCs w:val="1"/>
          <w:color w:val="auto"/>
        </w:rPr>
        <w:t>UNITED COMMUNITY BANKS, INC.</w:t>
      </w:r>
      <w:r>
        <w:rPr>
          <w:rFonts w:ascii="Times New Roman" w:cs="Times New Roman" w:eastAsia="Times New Roman" w:hAnsi="Times New Roman"/>
          <w:sz w:val="22"/>
          <w:szCs w:val="22"/>
          <w:color w:val="auto"/>
        </w:rPr>
        <w:t>, a Georgia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the individual designated above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Grantee</w:t>
      </w:r>
      <w:r>
        <w:rPr>
          <w:rFonts w:ascii="Times New Roman" w:cs="Times New Roman" w:eastAsia="Times New Roman" w:hAnsi="Times New Roman"/>
          <w:sz w:val="22"/>
          <w:szCs w:val="22"/>
          <w:color w:val="auto"/>
        </w:rPr>
        <w:t>”).</w:t>
      </w:r>
    </w:p>
    <w:p>
      <w:pPr>
        <w:spacing w:after="0" w:line="2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maintains the United Community Banks, Inc. 2022 Omnibus Equity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Grantee has been selected by the Committee to receive a Restricted Stock Unit Award under the Plan in connection with Grantee’s service as a member of the Board of Directors of the Company;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 THEREFORE, IT IS AGREED</w:t>
      </w:r>
      <w:r>
        <w:rPr>
          <w:rFonts w:ascii="Times New Roman" w:cs="Times New Roman" w:eastAsia="Times New Roman" w:hAnsi="Times New Roman"/>
          <w:sz w:val="22"/>
          <w:szCs w:val="22"/>
          <w:color w:val="auto"/>
        </w:rPr>
        <w:t>, by and between the Company and the Grantee, as follows:</w:t>
      </w:r>
    </w:p>
    <w:p>
      <w:pPr>
        <w:spacing w:after="0" w:line="179"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of Restricted Stock Units</w:t>
      </w:r>
    </w:p>
    <w:p>
      <w:pPr>
        <w:spacing w:after="0" w:line="177" w:lineRule="exact"/>
        <w:rPr>
          <w:sz w:val="20"/>
          <w:szCs w:val="20"/>
          <w:color w:val="auto"/>
        </w:rPr>
      </w:pPr>
    </w:p>
    <w:p>
      <w:pPr>
        <w:jc w:val="both"/>
        <w:ind w:left="180" w:firstLine="1620"/>
        <w:spacing w:after="0" w:line="227" w:lineRule="auto"/>
        <w:rPr>
          <w:sz w:val="20"/>
          <w:szCs w:val="20"/>
          <w:color w:val="auto"/>
        </w:rPr>
      </w:pPr>
      <w:r>
        <w:rPr>
          <w:rFonts w:ascii="Times New Roman" w:cs="Times New Roman" w:eastAsia="Times New Roman" w:hAnsi="Times New Roman"/>
          <w:sz w:val="22"/>
          <w:szCs w:val="22"/>
          <w:color w:val="auto"/>
        </w:rPr>
        <w:t>1.1 Grant. The Company hereby grants to the Grantee an award of Restricted Stock Units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in the amount set forth above, subject to, and in accordance with, the restrictions, terms, and conditions set forth in this Agreement and the Plan. The grant date of this award of RSUs is set forth above (the “</w:t>
      </w:r>
      <w:r>
        <w:rPr>
          <w:rFonts w:ascii="Times New Roman" w:cs="Times New Roman" w:eastAsia="Times New Roman" w:hAnsi="Times New Roman"/>
          <w:sz w:val="22"/>
          <w:szCs w:val="22"/>
          <w:b w:val="1"/>
          <w:bCs w:val="1"/>
          <w:i w:val="1"/>
          <w:iCs w:val="1"/>
          <w:color w:val="auto"/>
        </w:rPr>
        <w:t>Date of Grant</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left="180" w:firstLine="1620"/>
        <w:spacing w:after="0" w:line="225"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This Agreement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spacing w:after="0" w:line="153" w:lineRule="exact"/>
        <w:rPr>
          <w:sz w:val="20"/>
          <w:szCs w:val="20"/>
          <w:color w:val="auto"/>
        </w:rPr>
      </w:pPr>
    </w:p>
    <w:p>
      <w:pPr>
        <w:jc w:val="both"/>
        <w:ind w:left="180" w:firstLine="1620"/>
        <w:spacing w:after="0" w:line="220"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Execution of the Agreement</w:t>
      </w:r>
      <w:r>
        <w:rPr>
          <w:rFonts w:ascii="Times New Roman" w:cs="Times New Roman" w:eastAsia="Times New Roman" w:hAnsi="Times New Roman"/>
          <w:sz w:val="22"/>
          <w:szCs w:val="22"/>
          <w:color w:val="auto"/>
        </w:rPr>
        <w:t>. This Award is conditioned on the Grantee’s execution of this Agreement. By executing this Agreement, the Grantee agrees to the terms set forth in this Agreement (and the provisions of the Plan incorporated herein). If this Agreement is not executed by the Grantee and returned to the Company within seven days of the Date of Grant, it may be canceled by the Committee resulting in the immediate forfeiture of all RSUs granted hereunder.</w:t>
      </w:r>
    </w:p>
    <w:p>
      <w:pPr>
        <w:sectPr>
          <w:pgSz w:w="11900" w:h="16838" w:orient="portrait"/>
          <w:cols w:equalWidth="0" w:num="1">
            <w:col w:w="11240"/>
          </w:cols>
          <w:pgMar w:left="320" w:top="117" w:right="339" w:bottom="1440" w:gutter="0" w:footer="0" w:header="0"/>
        </w:sectPr>
      </w:pPr>
    </w:p>
    <w:bookmarkStart w:id="62" w:name="page63"/>
    <w:bookmarkEnd w:id="62"/>
    <w:p>
      <w:pPr>
        <w:ind w:left="10420"/>
        <w:spacing w:after="0"/>
        <w:rPr>
          <w:sz w:val="20"/>
          <w:szCs w:val="20"/>
          <w:color w:val="auto"/>
        </w:rPr>
      </w:pPr>
      <w:r>
        <w:rPr>
          <w:rFonts w:ascii="Times New Roman" w:cs="Times New Roman" w:eastAsia="Times New Roman" w:hAnsi="Times New Roman"/>
          <w:sz w:val="22"/>
          <w:szCs w:val="22"/>
          <w:color w:val="7F7F7F"/>
        </w:rPr>
        <w:t xml:space="preserve">Page | </w:t>
      </w:r>
      <w:r>
        <w:rPr>
          <w:rFonts w:ascii="Times New Roman" w:cs="Times New Roman" w:eastAsia="Times New Roman" w:hAnsi="Times New Roman"/>
          <w:sz w:val="22"/>
          <w:szCs w:val="22"/>
          <w:b w:val="1"/>
          <w:bCs w:val="1"/>
          <w:color w:val="7F7F7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22225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20" w:hanging="482"/>
        <w:spacing w:after="0"/>
        <w:tabs>
          <w:tab w:leader="none" w:pos="122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Termination of Service</w:t>
      </w:r>
    </w:p>
    <w:p>
      <w:pPr>
        <w:spacing w:after="0" w:line="183" w:lineRule="exact"/>
        <w:rPr>
          <w:sz w:val="20"/>
          <w:szCs w:val="20"/>
          <w:color w:val="auto"/>
        </w:rPr>
      </w:pPr>
    </w:p>
    <w:p>
      <w:pPr>
        <w:jc w:val="both"/>
        <w:ind w:firstLine="1620"/>
        <w:spacing w:after="0" w:line="212"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Except as otherwise provided in this Section 2, if the Grantee continues to serve as a member of the Board of Directors of the Company through the Vesting Date set forth above (the “</w:t>
      </w:r>
      <w:r>
        <w:rPr>
          <w:rFonts w:ascii="Times New Roman" w:cs="Times New Roman" w:eastAsia="Times New Roman" w:hAnsi="Times New Roman"/>
          <w:sz w:val="22"/>
          <w:szCs w:val="22"/>
          <w:b w:val="1"/>
          <w:bCs w:val="1"/>
          <w:i w:val="1"/>
          <w:iCs w:val="1"/>
          <w:color w:val="auto"/>
        </w:rPr>
        <w:t>Vesting Date</w:t>
      </w:r>
      <w:r>
        <w:rPr>
          <w:rFonts w:ascii="Times New Roman" w:cs="Times New Roman" w:eastAsia="Times New Roman" w:hAnsi="Times New Roman"/>
          <w:sz w:val="22"/>
          <w:szCs w:val="22"/>
          <w:color w:val="auto"/>
        </w:rPr>
        <w:t>”), the RSUs shall vest on the Vesting Date. Except as otherwise provided herein, as soon as practicable (and no later than thirty (30) days) after the Vesting Date, a number of Shares equal to the number of vested RSUs shall be issued to the Grantee (or, if the Grantee has died, to his or her surviving spouse or, if none, to the Grantee’s estate) free and clear of all restrictions imposed by this Agreement (except those described under Section 3.3 below, if applicable). For purposes of this Agreement, employment with the Company or a Subsidiary of the Company or service as a member of the Board of Directors of a Subsidiary of the Company shall be considered continued service as a member of the Board of Directors of the Company.</w:t>
      </w:r>
    </w:p>
    <w:p>
      <w:pPr>
        <w:spacing w:after="0" w:line="156" w:lineRule="exact"/>
        <w:rPr>
          <w:sz w:val="20"/>
          <w:szCs w:val="20"/>
          <w:color w:val="auto"/>
        </w:rPr>
      </w:pPr>
    </w:p>
    <w:p>
      <w:pPr>
        <w:jc w:val="both"/>
        <w:ind w:firstLine="1620"/>
        <w:spacing w:after="0" w:line="220"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Termination of Service Due to Death or Disability</w:t>
      </w:r>
      <w:r>
        <w:rPr>
          <w:rFonts w:ascii="Times New Roman" w:cs="Times New Roman" w:eastAsia="Times New Roman" w:hAnsi="Times New Roman"/>
          <w:sz w:val="22"/>
          <w:szCs w:val="22"/>
          <w:color w:val="auto"/>
        </w:rPr>
        <w:t>. If the Grantee’s service as a member of the Board of Directors of the Company is terminated as a result of the Grantee’s death or Disability (as defined in the Plan), the unvested RSUs shall immediately vest on such date of termination, and a number of Shares equal to such vested RSUs shall be issued to the Grantee (or the Grantee’s surviving spouse or estate) in the manner described in Section 2.1.</w:t>
      </w:r>
    </w:p>
    <w:p>
      <w:pPr>
        <w:spacing w:after="0" w:line="152" w:lineRule="exact"/>
        <w:rPr>
          <w:sz w:val="20"/>
          <w:szCs w:val="20"/>
          <w:color w:val="auto"/>
        </w:rPr>
      </w:pPr>
    </w:p>
    <w:p>
      <w:pPr>
        <w:jc w:val="both"/>
        <w:ind w:firstLine="1620"/>
        <w:spacing w:after="0" w:line="217"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Subject to the Grantee’s continued service as a member of the Board of Directors as of immediately prior to a Change in Control (as defined in the Plan), the RSUs shall immediately vest upon the occurrence of such Change in Control, and a number of Shares equal to the number of such vested RSUs (or such other consideration as shall be payable or provided in respect of a Share in connection with such Change in Control, as permitted under the Plan) shall be issued to the Grantee as described in Section 2.1.</w:t>
      </w:r>
    </w:p>
    <w:p>
      <w:pPr>
        <w:spacing w:after="0" w:line="152" w:lineRule="exact"/>
        <w:rPr>
          <w:sz w:val="20"/>
          <w:szCs w:val="20"/>
          <w:color w:val="auto"/>
        </w:rPr>
      </w:pPr>
    </w:p>
    <w:p>
      <w:pPr>
        <w:jc w:val="both"/>
        <w:ind w:firstLine="1620"/>
        <w:spacing w:after="0" w:line="220"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Termination of Service for Other Reasons</w:t>
      </w:r>
      <w:r>
        <w:rPr>
          <w:rFonts w:ascii="Times New Roman" w:cs="Times New Roman" w:eastAsia="Times New Roman" w:hAnsi="Times New Roman"/>
          <w:sz w:val="22"/>
          <w:szCs w:val="22"/>
          <w:color w:val="auto"/>
        </w:rPr>
        <w:t>. If the Grantee’s service as a member of the Board of Directors of the Company is terminated by the Company or the Grantee prior to the Vesting Date for any reason other than as set forth in Section 2.2 or the Grantee’s RSUs do not vest pursuant to Section 2.3, the unvested RSUs shall immediately be forfeited as of the Grantee’s date of termination.</w:t>
      </w:r>
    </w:p>
    <w:p>
      <w:pPr>
        <w:spacing w:after="0" w:line="152" w:lineRule="exact"/>
        <w:rPr>
          <w:sz w:val="20"/>
          <w:szCs w:val="20"/>
          <w:color w:val="auto"/>
        </w:rPr>
      </w:pPr>
    </w:p>
    <w:p>
      <w:pPr>
        <w:jc w:val="both"/>
        <w:ind w:right="20" w:firstLine="1620"/>
        <w:spacing w:after="0" w:line="236"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The RSUs may not be sold, assigned, transferred, pledged, or otherwise encumbered prior to the date the Grantee becomes vested in the RSUs and the Shares are issued.</w:t>
      </w:r>
    </w:p>
    <w:p>
      <w:pPr>
        <w:spacing w:after="0" w:line="150" w:lineRule="exact"/>
        <w:rPr>
          <w:sz w:val="20"/>
          <w:szCs w:val="20"/>
          <w:color w:val="auto"/>
        </w:rPr>
      </w:pPr>
    </w:p>
    <w:p>
      <w:pPr>
        <w:jc w:val="both"/>
        <w:ind w:firstLine="1620"/>
        <w:spacing w:after="0" w:line="210"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 To the extent applicable, this Agreement shall at all times be interpreted and operated in compliance with the requirements of Section 409A of the Internal Revenue Code of 1986, as amended and the standards, regulations or other guidance promulgated thereunder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To the extent required under the provisions of Section 409A to avoid imposition of additional income and other taxes, the provisions of Section 11.2(b) of the Plan shall apply the RSUs. For purposes of this Agreement, termination of service shall be construed consistent with the meaning of a separation from service within the meaning of Section 409A.</w:t>
      </w:r>
    </w:p>
    <w:p>
      <w:pPr>
        <w:sectPr>
          <w:pgSz w:w="11900" w:h="16838" w:orient="portrait"/>
          <w:cols w:equalWidth="0" w:num="1">
            <w:col w:w="11160"/>
          </w:cols>
          <w:pgMar w:left="400" w:top="149" w:right="339" w:bottom="1440" w:gutter="0" w:footer="0" w:header="0"/>
        </w:sectPr>
      </w:pPr>
    </w:p>
    <w:bookmarkStart w:id="63" w:name="page64"/>
    <w:bookmarkEnd w:id="63"/>
    <w:p>
      <w:pPr>
        <w:ind w:left="10500"/>
        <w:spacing w:after="0"/>
        <w:rPr>
          <w:sz w:val="20"/>
          <w:szCs w:val="20"/>
          <w:color w:val="auto"/>
        </w:rPr>
      </w:pPr>
      <w:r>
        <w:rPr>
          <w:rFonts w:ascii="Times New Roman" w:cs="Times New Roman" w:eastAsia="Times New Roman" w:hAnsi="Times New Roman"/>
          <w:sz w:val="21"/>
          <w:szCs w:val="21"/>
          <w:color w:val="7F7F7F"/>
        </w:rPr>
        <w:t xml:space="preserve">Page | </w:t>
      </w:r>
      <w:r>
        <w:rPr>
          <w:rFonts w:ascii="Times New Roman" w:cs="Times New Roman" w:eastAsia="Times New Roman" w:hAnsi="Times New Roman"/>
          <w:sz w:val="21"/>
          <w:szCs w:val="21"/>
          <w:b w:val="1"/>
          <w:bCs w:val="1"/>
          <w:color w:val="7F7F7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 as Shareholder; Dividends; Change in Capitalization; Deferral Rights</w:t>
      </w:r>
    </w:p>
    <w:p>
      <w:pPr>
        <w:spacing w:after="0" w:line="183" w:lineRule="exact"/>
        <w:rPr>
          <w:sz w:val="20"/>
          <w:szCs w:val="20"/>
          <w:color w:val="auto"/>
        </w:rPr>
      </w:pPr>
    </w:p>
    <w:p>
      <w:pPr>
        <w:jc w:val="both"/>
        <w:ind w:firstLine="1620"/>
        <w:spacing w:after="0" w:line="215" w:lineRule="auto"/>
        <w:rPr>
          <w:sz w:val="20"/>
          <w:szCs w:val="20"/>
          <w:color w:val="auto"/>
        </w:rPr>
      </w:pPr>
      <w:r>
        <w:rPr>
          <w:rFonts w:ascii="Times New Roman" w:cs="Times New Roman" w:eastAsia="Times New Roman" w:hAnsi="Times New Roman"/>
          <w:sz w:val="22"/>
          <w:szCs w:val="22"/>
          <w:color w:val="auto"/>
        </w:rPr>
        <w:t xml:space="preserve">3.1 The Grantee shall have no rights as a shareholder until such date as the Shares are delivered in settlement of vested RSUs;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following the Grant Date of the RSUs through the date that is the earlier of (i) the date that the RSUs are vested and Shares in settlement thereof are transferred to the Grantee pursuant to Section 2 or (ii) the date that the RSUs are forfeited, the Grantee shall have the right to receive dividend equivalents or other distributions declared on the Shares represented by the RSUs, which shall be paid or provided as soon as reasonably practicable (and in no event later than thirty (30) days) following the date such dividend or distribution is paid or provided to shareholders generally.</w:t>
      </w:r>
    </w:p>
    <w:p>
      <w:pPr>
        <w:spacing w:after="0" w:line="152" w:lineRule="exact"/>
        <w:rPr>
          <w:sz w:val="20"/>
          <w:szCs w:val="20"/>
          <w:color w:val="auto"/>
        </w:rPr>
      </w:pPr>
    </w:p>
    <w:p>
      <w:pPr>
        <w:jc w:val="both"/>
        <w:ind w:firstLine="1620"/>
        <w:spacing w:after="0" w:line="220" w:lineRule="auto"/>
        <w:rPr>
          <w:sz w:val="20"/>
          <w:szCs w:val="20"/>
          <w:color w:val="auto"/>
        </w:rPr>
      </w:pPr>
      <w:r>
        <w:rPr>
          <w:rFonts w:ascii="Times New Roman" w:cs="Times New Roman" w:eastAsia="Times New Roman" w:hAnsi="Times New Roman"/>
          <w:sz w:val="22"/>
          <w:szCs w:val="22"/>
          <w:color w:val="auto"/>
        </w:rPr>
        <w:t xml:space="preserve">3.2 In the event of a change in capitalization, the Committee shall make appropriate adjustments in accordance with Section 4.3 of the Plan to reflect the change in capitalization;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additional Shares or additional or different shares or securities reflected in any such adjustment shall remain subject to the restrictions in this Agreement.</w:t>
      </w:r>
    </w:p>
    <w:p>
      <w:pPr>
        <w:spacing w:after="0" w:line="152" w:lineRule="exact"/>
        <w:rPr>
          <w:sz w:val="20"/>
          <w:szCs w:val="20"/>
          <w:color w:val="auto"/>
        </w:rPr>
      </w:pPr>
    </w:p>
    <w:p>
      <w:pPr>
        <w:jc w:val="both"/>
        <w:ind w:firstLine="1620"/>
        <w:spacing w:after="0" w:line="227" w:lineRule="auto"/>
        <w:rPr>
          <w:sz w:val="20"/>
          <w:szCs w:val="20"/>
          <w:color w:val="auto"/>
        </w:rPr>
      </w:pPr>
      <w:r>
        <w:rPr>
          <w:rFonts w:ascii="Times New Roman" w:cs="Times New Roman" w:eastAsia="Times New Roman" w:hAnsi="Times New Roman"/>
          <w:sz w:val="21"/>
          <w:szCs w:val="21"/>
          <w:color w:val="auto"/>
        </w:rPr>
        <w:t>3.3 The Grantee represents and warrants that the Grantee is acquiring the Shares under this Agreement for investment purposes only, and not with a view to distribution thereof. The Grantee is aware that the Shares may not be registered under the federal or any state securities laws and that for that reason, in addition to the other restrictions on the Shares, they will not be able to be transferred unless an exemption from registration is available or the Shares are registered. By making this award of RSUs, the Company is not undertaking any obligation to register the RSUs under any federal or state securities laws.</w:t>
      </w:r>
    </w:p>
    <w:p>
      <w:pPr>
        <w:spacing w:after="0" w:line="154" w:lineRule="exact"/>
        <w:rPr>
          <w:sz w:val="20"/>
          <w:szCs w:val="20"/>
          <w:color w:val="auto"/>
        </w:rPr>
      </w:pPr>
    </w:p>
    <w:p>
      <w:pPr>
        <w:jc w:val="both"/>
        <w:ind w:firstLine="1620"/>
        <w:spacing w:after="0" w:line="220" w:lineRule="auto"/>
        <w:rPr>
          <w:sz w:val="20"/>
          <w:szCs w:val="20"/>
          <w:color w:val="auto"/>
        </w:rPr>
      </w:pPr>
      <w:r>
        <w:rPr>
          <w:rFonts w:ascii="Times New Roman" w:cs="Times New Roman" w:eastAsia="Times New Roman" w:hAnsi="Times New Roman"/>
          <w:sz w:val="22"/>
          <w:szCs w:val="22"/>
          <w:color w:val="auto"/>
        </w:rPr>
        <w:t>3.4 To the extent the Grantee is eligible to participate in a deferred compensation plan established for such purpose, the Grantee may elect to defer delivery of the Shares that would otherwise be due by virtue of the lapse or waiver of the vesting requirements as set forth in Section 2. If such deferral election is made, the Committee shall, in its sole discretion, establish the rules and procedures for such deferrals which shall be in compliance with Section 409A.</w:t>
      </w:r>
    </w:p>
    <w:p>
      <w:pPr>
        <w:spacing w:after="0" w:line="148"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Continued Service</w:t>
      </w:r>
    </w:p>
    <w:p>
      <w:pPr>
        <w:spacing w:after="0" w:line="18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Nothing in this Agreement or the Plan shall be interpreted or construed to confer upon the Grantee any right with respect to continuance of service as a member of the Board of Directors of the Company, nor shall this Agreement or the Plan interfere in any way with the right of the Company, the shareholders or others to terminate the Grantee’s service as a member of the Board of Directors of the Company at any time in accordance with applicable law and/or the governing documents of the Company.</w:t>
      </w:r>
    </w:p>
    <w:p>
      <w:pPr>
        <w:spacing w:after="0" w:line="148"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Taxes and Withholding</w:t>
      </w:r>
    </w:p>
    <w:p>
      <w:pPr>
        <w:spacing w:after="0" w:line="18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The Grantee shall be responsible for all federal, state, and local income taxes payable with respect to this award of RSUs and any dividends, dividend equivalents or other distributions paid on such RSUs. The Company and the Grantee agree to report the value of the RSUs and any dividends, dividend equivalents or other distributions in respect thereof in a consistent manner for federal income tax purposes.</w:t>
      </w:r>
    </w:p>
    <w:p>
      <w:pPr>
        <w:spacing w:after="0" w:line="148"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Grantee Bound by The Plan</w:t>
      </w:r>
    </w:p>
    <w:p>
      <w:pPr>
        <w:spacing w:after="0" w:line="183"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The Grantee hereby acknowledges receipt of a copy of the Plan and the prospectus for the Plan, and agrees to be bound by all the terms and provisions thereof.</w:t>
      </w:r>
    </w:p>
    <w:p>
      <w:pPr>
        <w:sectPr>
          <w:pgSz w:w="11900" w:h="16838" w:orient="portrait"/>
          <w:cols w:equalWidth="0" w:num="1">
            <w:col w:w="11240"/>
          </w:cols>
          <w:pgMar w:left="320" w:top="149" w:right="339" w:bottom="1440" w:gutter="0" w:footer="0" w:header="0"/>
          <w:type w:val="continuous"/>
        </w:sectPr>
      </w:pPr>
    </w:p>
    <w:bookmarkStart w:id="64" w:name="page65"/>
    <w:bookmarkEnd w:id="64"/>
    <w:p>
      <w:pPr>
        <w:ind w:left="10500"/>
        <w:spacing w:after="0"/>
        <w:rPr>
          <w:sz w:val="20"/>
          <w:szCs w:val="20"/>
          <w:color w:val="auto"/>
        </w:rPr>
      </w:pPr>
      <w:r>
        <w:rPr>
          <w:rFonts w:ascii="Times New Roman" w:cs="Times New Roman" w:eastAsia="Times New Roman" w:hAnsi="Times New Roman"/>
          <w:sz w:val="21"/>
          <w:szCs w:val="21"/>
          <w:color w:val="7F7F7F"/>
        </w:rPr>
        <w:t xml:space="preserve">Page | </w:t>
      </w:r>
      <w:r>
        <w:rPr>
          <w:rFonts w:ascii="Times New Roman" w:cs="Times New Roman" w:eastAsia="Times New Roman" w:hAnsi="Times New Roman"/>
          <w:sz w:val="21"/>
          <w:szCs w:val="21"/>
          <w:b w:val="1"/>
          <w:bCs w:val="1"/>
          <w:color w:val="7F7F7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 of Agreement</w:t>
      </w:r>
    </w:p>
    <w:p>
      <w:pPr>
        <w:spacing w:after="0" w:line="183" w:lineRule="exact"/>
        <w:rPr>
          <w:sz w:val="20"/>
          <w:szCs w:val="20"/>
          <w:color w:val="auto"/>
        </w:rPr>
      </w:pPr>
    </w:p>
    <w:p>
      <w:pPr>
        <w:ind w:firstLine="898"/>
        <w:spacing w:after="0" w:line="236" w:lineRule="auto"/>
        <w:rPr>
          <w:sz w:val="20"/>
          <w:szCs w:val="20"/>
          <w:color w:val="auto"/>
        </w:rPr>
      </w:pPr>
      <w:r>
        <w:rPr>
          <w:rFonts w:ascii="Times New Roman" w:cs="Times New Roman" w:eastAsia="Times New Roman" w:hAnsi="Times New Roman"/>
          <w:sz w:val="22"/>
          <w:szCs w:val="22"/>
          <w:color w:val="auto"/>
        </w:rPr>
        <w:t>The parties may modify, amend, suspend or terminate this Agreement or may waive any terms or conditions of this Agreement but only by a written instrument executed by the parties hereto.</w:t>
      </w:r>
    </w:p>
    <w:p>
      <w:pPr>
        <w:spacing w:after="0" w:line="173"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 and Forum</w:t>
      </w:r>
    </w:p>
    <w:p>
      <w:pPr>
        <w:spacing w:after="0" w:line="18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The validity, interpretation, construction, and performance of this Agreement shall be governed by the laws of the state of Georgia without giving effect to the conflicts of laws principles thereof. The parties agree that they will not file any action arising out of or relating in any way to this Agreement other than in the United States District Court for the Northern District of Georgia or the Superior Court of Union County, Georgia. The parties consent to personal jurisdiction and venue solely within these forums and waive all possible objections thereto.</w:t>
      </w:r>
    </w:p>
    <w:p>
      <w:pPr>
        <w:spacing w:after="0" w:line="148"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 in Interest</w:t>
      </w:r>
    </w:p>
    <w:p>
      <w:pPr>
        <w:spacing w:after="0" w:line="18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148"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p>
    <w:p>
      <w:pPr>
        <w:spacing w:after="0" w:line="18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148"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Resolution of Disputes</w:t>
      </w:r>
    </w:p>
    <w:p>
      <w:pPr>
        <w:spacing w:after="0" w:line="183" w:lineRule="exact"/>
        <w:rPr>
          <w:sz w:val="20"/>
          <w:szCs w:val="20"/>
          <w:color w:val="auto"/>
        </w:rPr>
      </w:pPr>
    </w:p>
    <w:p>
      <w:pPr>
        <w:jc w:val="both"/>
        <w:ind w:right="20" w:firstLine="976"/>
        <w:spacing w:after="0" w:line="220" w:lineRule="auto"/>
        <w:rPr>
          <w:sz w:val="20"/>
          <w:szCs w:val="20"/>
          <w:color w:val="auto"/>
        </w:rPr>
      </w:pPr>
      <w:r>
        <w:rPr>
          <w:rFonts w:ascii="Times New Roman" w:cs="Times New Roman" w:eastAsia="Times New Roman" w:hAnsi="Times New Roman"/>
          <w:sz w:val="22"/>
          <w:szCs w:val="22"/>
          <w:color w:val="auto"/>
        </w:rPr>
        <w:t>Any dispute or disagreement which may arise under, or as a result of, or in any way relate to, the interpretation, construction or application of this Agreement and the Plan shall 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[EXECUTION PAGE FOLLOWS]</w:t>
      </w:r>
    </w:p>
    <w:p>
      <w:pPr>
        <w:sectPr>
          <w:pgSz w:w="11900" w:h="16838" w:orient="portrait"/>
          <w:cols w:equalWidth="0" w:num="1">
            <w:col w:w="11240"/>
          </w:cols>
          <w:pgMar w:left="320" w:top="149" w:right="339" w:bottom="1440" w:gutter="0" w:footer="0" w:header="0"/>
          <w:type w:val="continuous"/>
        </w:sectPr>
      </w:pPr>
    </w:p>
    <w:bookmarkStart w:id="65" w:name="page66"/>
    <w:bookmarkEnd w:id="65"/>
    <w:p>
      <w:pPr>
        <w:ind w:left="10500"/>
        <w:spacing w:after="0"/>
        <w:rPr>
          <w:sz w:val="20"/>
          <w:szCs w:val="20"/>
          <w:color w:val="auto"/>
        </w:rPr>
      </w:pPr>
      <w:r>
        <w:rPr>
          <w:rFonts w:ascii="Times New Roman" w:cs="Times New Roman" w:eastAsia="Times New Roman" w:hAnsi="Times New Roman"/>
          <w:sz w:val="22"/>
          <w:szCs w:val="22"/>
          <w:color w:val="7F7F7F"/>
        </w:rPr>
        <w:t xml:space="preserve">Page | </w:t>
      </w:r>
      <w:r>
        <w:rPr>
          <w:rFonts w:ascii="Times New Roman" w:cs="Times New Roman" w:eastAsia="Times New Roman" w:hAnsi="Times New Roman"/>
          <w:sz w:val="22"/>
          <w:szCs w:val="22"/>
          <w:b w:val="1"/>
          <w:bCs w:val="1"/>
          <w:color w:val="7F7F7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UNITED COMMUNITY BANKS, INC.</w:t>
      </w:r>
    </w:p>
    <w:p>
      <w:pPr>
        <w:spacing w:after="0" w:line="19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19685</wp:posOffset>
            </wp:positionV>
            <wp:extent cx="30518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5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19685</wp:posOffset>
            </wp:positionV>
            <wp:extent cx="30518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5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19685</wp:posOffset>
            </wp:positionV>
            <wp:extent cx="30518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9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By accepting this Agreement, the Grantee hereby accepts the RSU grant subject to all its terms and provisions and agrees to be bound by the terms and provisions of this Agreement and the Plan. The Grantee hereby agrees to accept as binding, conclusive and final all decisions or interpretations of the Board of Directors of the Company, or the Talent and Compensation Committee or other Committee responsible for the administration of the Plan, upon any questions arising under the Plan.</w:t>
      </w:r>
    </w:p>
    <w:p>
      <w:pPr>
        <w:spacing w:after="0" w:line="17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By accepting this Agreement, the Grantee hereby acknowledges that notwithstanding any other provision herein, and in addition to other restrictions stated herein, any award, or any payment related thereto paid to the Grantee, shall be limited to the extent required by the federal or state regulatory agency having authority over the Company. The Grantee agrees that compliance by the Company with such regulatory restrictions, even to the extent that payments are limited, shall not be a breach of this Agreement by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accepting this Agreement, the Grantee hereby consents to the holding and processing of personal data provided by the</w:t>
      </w:r>
    </w:p>
    <w:p>
      <w:pPr>
        <w:spacing w:after="0"/>
        <w:rPr>
          <w:sz w:val="20"/>
          <w:szCs w:val="20"/>
          <w:color w:val="auto"/>
        </w:rPr>
      </w:pPr>
      <w:r>
        <w:rPr>
          <w:rFonts w:ascii="Times New Roman" w:cs="Times New Roman" w:eastAsia="Times New Roman" w:hAnsi="Times New Roman"/>
          <w:sz w:val="22"/>
          <w:szCs w:val="22"/>
          <w:color w:val="auto"/>
        </w:rPr>
        <w:t>Grantee to the Company for all purposes necessary for the operation of the Plan. These include, but are not limited to:</w:t>
      </w:r>
    </w:p>
    <w:p>
      <w:pPr>
        <w:spacing w:after="0" w:line="169" w:lineRule="exact"/>
        <w:rPr>
          <w:sz w:val="20"/>
          <w:szCs w:val="20"/>
          <w:color w:val="auto"/>
        </w:rPr>
      </w:pPr>
    </w:p>
    <w:p>
      <w:pPr>
        <w:ind w:left="1120" w:hanging="464"/>
        <w:spacing w:after="0"/>
        <w:tabs>
          <w:tab w:leader="none" w:pos="11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administering and maintaining Plan records;</w:t>
      </w:r>
    </w:p>
    <w:p>
      <w:pPr>
        <w:ind w:left="1120" w:hanging="464"/>
        <w:spacing w:after="0" w:line="204" w:lineRule="auto"/>
        <w:tabs>
          <w:tab w:leader="none" w:pos="11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information to any registrars, brokers or third party administrators of the Plan; and</w:t>
      </w:r>
    </w:p>
    <w:p>
      <w:pPr>
        <w:ind w:left="1120" w:hanging="464"/>
        <w:spacing w:after="0"/>
        <w:tabs>
          <w:tab w:leader="none" w:pos="11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information to future purchasers of the Company or the business in which the Grantee works.</w:t>
      </w:r>
    </w:p>
    <w:p>
      <w:pPr>
        <w:spacing w:after="0" w:line="1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GRANTEE</w:t>
      </w:r>
    </w:p>
    <w:p>
      <w:pPr>
        <w:spacing w:after="0" w:line="19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19685</wp:posOffset>
            </wp:positionV>
            <wp:extent cx="30518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5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19685</wp:posOffset>
            </wp:positionV>
            <wp:extent cx="30518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5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19685</wp:posOffset>
            </wp:positionV>
            <wp:extent cx="30518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66" w:name="page67"/>
    <w:bookmarkEnd w:id="66"/>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5, 2022</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 of the Registrant</w:t>
      </w:r>
    </w:p>
    <w:p>
      <w:pPr>
        <w:sectPr>
          <w:pgSz w:w="11900" w:h="16838" w:orient="portrait"/>
          <w:cols w:equalWidth="0" w:num="1">
            <w:col w:w="11240"/>
          </w:cols>
          <w:pgMar w:left="320" w:top="887" w:right="339" w:bottom="1440" w:gutter="0" w:footer="0" w:header="0"/>
        </w:sectPr>
      </w:pPr>
    </w:p>
    <w:bookmarkStart w:id="67" w:name="page68"/>
    <w:bookmarkEnd w:id="67"/>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5, 2022</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the Registrant</w:t>
      </w:r>
    </w:p>
    <w:p>
      <w:pPr>
        <w:sectPr>
          <w:pgSz w:w="11900" w:h="16838" w:orient="portrait"/>
          <w:cols w:equalWidth="0" w:num="1">
            <w:col w:w="11240"/>
          </w:cols>
          <w:pgMar w:left="320" w:top="88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United Community Banks, Inc. (“United”) on Form 10-Q for the period ending June 30, 2022 filed with the Securities and Exchange Commission on the date hereof (the “Report”), each of the undersigned officers of United certifies,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w:t>
      </w:r>
    </w:p>
    <w:p>
      <w:pPr>
        <w:spacing w:after="0" w:line="126" w:lineRule="exact"/>
        <w:rPr>
          <w:sz w:val="20"/>
          <w:szCs w:val="20"/>
          <w:color w:val="auto"/>
        </w:rPr>
      </w:pPr>
    </w:p>
    <w:tbl>
      <w:tblPr>
        <w:tblLayout w:type="fixed"/>
        <w:tblInd w:w="53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 Lynn Harton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 Lynn Harton</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5, 2022</w:t>
            </w:r>
          </w:p>
        </w:tc>
      </w:tr>
      <w:tr>
        <w:trPr>
          <w:trHeight w:val="459"/>
        </w:trPr>
        <w:tc>
          <w:tcPr>
            <w:tcW w:w="780" w:type="dxa"/>
            <w:vAlign w:val="bottom"/>
          </w:tcPr>
          <w:p>
            <w:pPr>
              <w:spacing w:after="0"/>
              <w:rPr>
                <w:sz w:val="24"/>
                <w:szCs w:val="24"/>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Jefferson L. Harralson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Jefferson L. Harralson</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5, 2022</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upperLetter"/>
      <w:start w:val="68"/>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lowerLetter"/>
      <w:start w:val="1"/>
    </w:lvl>
    <w:lvl w:ilvl="1">
      <w:lvlJc w:val="left"/>
      <w:lvlText w:val="(%2)"/>
      <w:numFmt w:val="lowerLetter"/>
      <w:start w:val="2"/>
    </w:lvl>
  </w:abstractNum>
  <w:abstractNum w:abstractNumId="19">
    <w:nsid w:val="836C40E"/>
    <w:multiLevelType w:val="hybridMultilevel"/>
    <w:lvl w:ilvl="0">
      <w:lvlJc w:val="left"/>
      <w:lvlText w:val="(%1)"/>
      <w:numFmt w:val="lowerLetter"/>
      <w:start w:val="4"/>
    </w:lvl>
  </w:abstractNum>
  <w:abstractNum w:abstractNumId="20">
    <w:nsid w:val="2901D82"/>
    <w:multiLevelType w:val="hybridMultilevel"/>
    <w:lvl w:ilvl="0">
      <w:lvlJc w:val="left"/>
      <w:lvlText w:val="%1"/>
      <w:numFmt w:val="decimal"/>
      <w:start w:val="101"/>
    </w:lvl>
    <w:lvl w:ilvl="1">
      <w:lvlJc w:val="left"/>
      <w:lvlText w:val="(%2)"/>
      <w:numFmt w:val="lowerRoman"/>
      <w:start w:val="3"/>
    </w:lvl>
  </w:abstractNum>
  <w:abstractNum w:abstractNumId="21">
    <w:nsid w:val="3A95F874"/>
    <w:multiLevelType w:val="hybridMultilevel"/>
    <w:lvl w:ilvl="0">
      <w:lvlJc w:val="left"/>
      <w:lvlText w:val="#"/>
      <w:numFmt w:val="bullet"/>
      <w:start w:val="1"/>
    </w:lvl>
    <w:lvl w:ilvl="1">
      <w:lvlJc w:val="left"/>
      <w:lvlText w:val="%2"/>
      <w:numFmt w:val="decimal"/>
      <w:start w:val="104"/>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2"/>
    </w:lvl>
  </w:abstractNum>
  <w:abstractNum w:abstractNumId="24">
    <w:nsid w:val="7C3DBD3D"/>
    <w:multiLevelType w:val="hybridMultilevel"/>
    <w:lvl w:ilvl="0">
      <w:lvlJc w:val="left"/>
      <w:lvlText w:val="%1."/>
      <w:numFmt w:val="decimal"/>
      <w:start w:val="3"/>
    </w:lvl>
  </w:abstractNum>
  <w:abstractNum w:abstractNumId="25">
    <w:nsid w:val="737B8DDC"/>
    <w:multiLevelType w:val="hybridMultilevel"/>
    <w:lvl w:ilvl="0">
      <w:lvlJc w:val="left"/>
      <w:lvlText w:val="%1."/>
      <w:numFmt w:val="decimal"/>
      <w:start w:val="4"/>
    </w:lvl>
  </w:abstractNum>
  <w:abstractNum w:abstractNumId="26">
    <w:nsid w:val="6CEAF087"/>
    <w:multiLevelType w:val="hybridMultilevel"/>
    <w:lvl w:ilvl="0">
      <w:lvlJc w:val="left"/>
      <w:lvlText w:val="%1."/>
      <w:numFmt w:val="decimal"/>
      <w:start w:val="5"/>
    </w:lvl>
  </w:abstractNum>
  <w:abstractNum w:abstractNumId="27">
    <w:nsid w:val="22221A70"/>
    <w:multiLevelType w:val="hybridMultilevel"/>
    <w:lvl w:ilvl="0">
      <w:lvlJc w:val="left"/>
      <w:lvlText w:val="%1."/>
      <w:numFmt w:val="decimal"/>
      <w:start w:val="6"/>
    </w:lvl>
  </w:abstractNum>
  <w:abstractNum w:abstractNumId="28">
    <w:nsid w:val="4516DDE9"/>
    <w:multiLevelType w:val="hybridMultilevel"/>
    <w:lvl w:ilvl="0">
      <w:lvlJc w:val="left"/>
      <w:lvlText w:val="%1."/>
      <w:numFmt w:val="decimal"/>
      <w:start w:val="7"/>
    </w:lvl>
  </w:abstractNum>
  <w:abstractNum w:abstractNumId="29">
    <w:nsid w:val="3006C83E"/>
    <w:multiLevelType w:val="hybridMultilevel"/>
    <w:lvl w:ilvl="0">
      <w:lvlJc w:val="left"/>
      <w:lvlText w:val="%1."/>
      <w:numFmt w:val="decimal"/>
      <w:start w:val="8"/>
    </w:lvl>
  </w:abstractNum>
  <w:abstractNum w:abstractNumId="30">
    <w:nsid w:val="614FD4A1"/>
    <w:multiLevelType w:val="hybridMultilevel"/>
    <w:lvl w:ilvl="0">
      <w:lvlJc w:val="left"/>
      <w:lvlText w:val="%1."/>
      <w:numFmt w:val="decimal"/>
      <w:start w:val="9"/>
    </w:lvl>
  </w:abstractNum>
  <w:abstractNum w:abstractNumId="31">
    <w:nsid w:val="419AC241"/>
    <w:multiLevelType w:val="hybridMultilevel"/>
    <w:lvl w:ilvl="0">
      <w:lvlJc w:val="left"/>
      <w:lvlText w:val="%1."/>
      <w:numFmt w:val="decimal"/>
      <w:start w:val="10"/>
    </w:lvl>
  </w:abstractNum>
  <w:abstractNum w:abstractNumId="32">
    <w:nsid w:val="5577F8E1"/>
    <w:multiLevelType w:val="hybridMultilevel"/>
    <w:lvl w:ilvl="0">
      <w:lvlJc w:val="left"/>
      <w:lvlText w:val="%1."/>
      <w:numFmt w:val="decimal"/>
      <w:start w:val="1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87" Type="http://schemas.openxmlformats.org/officeDocument/2006/relationships/hyperlink" Target="http://www.sec.gov/Archives/edgar/data/857855/000110465922076762/tm2219182-3_s4a.htm#tAAAA" TargetMode="External"/><Relationship Id="rId88" Type="http://schemas.openxmlformats.org/officeDocument/2006/relationships/hyperlink" Target="http://www.sec.gov/Archives/edgar/data/857855/000085785521000109/ucbi93021ex31restatedartic.htm" TargetMode="External"/><Relationship Id="rId89" Type="http://schemas.openxmlformats.org/officeDocument/2006/relationships/hyperlink" Target="http://www.sec.gov/Archives/edgar/data/857855/000157104915003882/t82199_ex3-2.htm" TargetMode="External"/><Relationship Id="rId90" Type="http://schemas.openxmlformats.org/officeDocument/2006/relationships/hyperlink" Target="http://www.sec.gov/Archives/edgar/data/857855/000114036122013333/ny20003550x2_def14a.htm#a002_v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2022-08-05T10:08:51Z</dcterms:created>
  <dcterms:modified xsi:type="dcterms:W3CDTF">2022-08-05T10:08:51Z</dcterms:modified>
</cp:coreProperties>
</file>