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0-21656</w:t>
      </w:r>
    </w:p>
    <w:p>
      <w:pPr>
        <w:spacing w:after="0" w:line="15" w:lineRule="exact"/>
        <w:rPr>
          <w:sz w:val="24"/>
          <w:szCs w:val="24"/>
          <w:color w:val="auto"/>
        </w:rPr>
      </w:pPr>
    </w:p>
    <w:p>
      <w:pPr>
        <w:ind w:left="3880"/>
        <w:spacing w:after="0"/>
        <w:rPr>
          <w:sz w:val="20"/>
          <w:szCs w:val="20"/>
          <w:color w:val="auto"/>
        </w:rPr>
      </w:pPr>
      <w:r>
        <w:rPr>
          <w:rFonts w:ascii="Arial" w:cs="Arial" w:eastAsia="Arial" w:hAnsi="Arial"/>
          <w:sz w:val="22"/>
          <w:szCs w:val="22"/>
          <w:b w:val="1"/>
          <w:bCs w:val="1"/>
          <w:color w:val="auto"/>
        </w:rPr>
        <w:t>UNITED COMMUNITY BANKS, INC.</w:t>
      </w: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92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58-1807304</w:t>
            </w:r>
          </w:p>
        </w:tc>
      </w:tr>
      <w:tr>
        <w:trPr>
          <w:trHeight w:val="198"/>
        </w:trPr>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17"/>
                <w:szCs w:val="17"/>
                <w:color w:val="auto"/>
              </w:rPr>
            </w:pPr>
          </w:p>
        </w:tc>
        <w:tc>
          <w:tcPr>
            <w:tcW w:w="5460" w:type="dxa"/>
            <w:vAlign w:val="bottom"/>
            <w:tcBorders>
              <w:top w:val="single" w:sz="8" w:color="auto"/>
            </w:tcBorders>
          </w:tcPr>
          <w:p>
            <w:pPr>
              <w:ind w:left="1120"/>
              <w:spacing w:after="0" w:line="198" w:lineRule="exact"/>
              <w:rPr>
                <w:sz w:val="20"/>
                <w:szCs w:val="20"/>
                <w:color w:val="auto"/>
              </w:rPr>
            </w:pPr>
            <w:r>
              <w:rPr>
                <w:rFonts w:ascii="Arial" w:cs="Arial" w:eastAsia="Arial" w:hAnsi="Arial"/>
                <w:sz w:val="18"/>
                <w:szCs w:val="18"/>
                <w:color w:val="auto"/>
              </w:rPr>
              <w:t>(I.R.S. Employer Identification No.)</w:t>
            </w:r>
          </w:p>
        </w:tc>
      </w:tr>
      <w:tr>
        <w:trPr>
          <w:trHeight w:val="241"/>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125 Highway 515 East, Blairsville, Georgia</w:t>
            </w:r>
          </w:p>
        </w:tc>
        <w:tc>
          <w:tcPr>
            <w:tcW w:w="592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30512</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460" w:type="dxa"/>
            <w:vAlign w:val="bottom"/>
            <w:tcBorders>
              <w:top w:val="single" w:sz="8" w:color="auto"/>
            </w:tcBorders>
          </w:tcPr>
          <w:p>
            <w:pPr>
              <w:ind w:left="2320"/>
              <w:spacing w:after="0"/>
              <w:rPr>
                <w:sz w:val="20"/>
                <w:szCs w:val="20"/>
                <w:color w:val="auto"/>
              </w:rPr>
            </w:pPr>
            <w:r>
              <w:rPr>
                <w:rFonts w:ascii="Arial" w:cs="Arial" w:eastAsia="Arial" w:hAnsi="Arial"/>
                <w:sz w:val="18"/>
                <w:szCs w:val="18"/>
                <w:color w:val="auto"/>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Sections 13 or 15(d) of the Act. Yes o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860"/>
        <w:spacing w:after="0"/>
        <w:rPr>
          <w:sz w:val="20"/>
          <w:szCs w:val="20"/>
          <w:color w:val="auto"/>
        </w:rPr>
      </w:pPr>
      <w:r>
        <w:rPr>
          <w:rFonts w:ascii="Arial" w:cs="Arial" w:eastAsia="Arial" w:hAnsi="Arial"/>
          <w:sz w:val="17"/>
          <w:szCs w:val="17"/>
          <w:color w:val="auto"/>
        </w:rPr>
        <w:t>Accelerated filer x</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6400" w:space="720"/>
            <w:col w:w="4300"/>
          </w:cols>
          <w:pgMar w:left="240" w:top="310" w:right="23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52"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State the aggregate market value of the voting common equity held by non-affiliates computed by reference to the price at which the common equity was last sold, or the average bid and asked price of such common equity, as of the last business day of the registrant’s most recently completed second fiscal quarter: $271,707,634 based on shares held by non-affiliates at $5.99 per share, the closing stock price on the Nasdaq stock market on June 30, 2009).</w:t>
      </w:r>
    </w:p>
    <w:p>
      <w:pPr>
        <w:spacing w:after="0" w:line="1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January 31, 2010, 94,092,583 shares of common stock were issued and outstanding, including presently exercisable options to acquire 2,465,142 shares, presently exercisable warrants to acquire 1,747,892 shares and 228,703 shares issuable under United Community Banks, Inc.’s deferred compensation plan.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the 2010 Annual Meeting of Shareholders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120" w:type="dxa"/>
            <w:vAlign w:val="bottom"/>
          </w:tcPr>
          <w:p>
            <w:pPr>
              <w:ind w:left="398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0"/>
                <w:szCs w:val="20"/>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Business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1A.</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Risk Factors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1B.</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Unresolved Staff Comments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2.</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Properties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3.</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Legal Proceedings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3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4.</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5.</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w w:val="97"/>
              </w:rPr>
              <w:t>Market for United’s Common Equity, Related Stockholder Matters and Issuer Purchases of Equity Securities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6.</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Selected Financial Data</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7.</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7A.</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8.</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9.</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9A.</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Controls and Procedures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3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9B.</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10.</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Directors, Executive Officers and Corporate Governance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11.</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Executive Compensation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12.</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16"/>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13.</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34"/>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14.</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Principal Accounting Fees and Services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1440" w:type="dxa"/>
            <w:vAlign w:val="bottom"/>
          </w:tcPr>
          <w:p>
            <w:pPr>
              <w:ind w:left="700"/>
              <w:spacing w:after="0"/>
              <w:rPr>
                <w:sz w:val="20"/>
                <w:szCs w:val="20"/>
                <w:color w:val="auto"/>
              </w:rPr>
            </w:pPr>
            <w:r>
              <w:rPr>
                <w:rFonts w:ascii="Arial" w:cs="Arial" w:eastAsia="Arial" w:hAnsi="Arial"/>
                <w:sz w:val="18"/>
                <w:szCs w:val="18"/>
                <w:b w:val="1"/>
                <w:bCs w:val="1"/>
                <w:color w:val="auto"/>
              </w:rPr>
              <w:t>Item 15.</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Exhibits, Financial Statement Schedules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608"/>
        </w:trPr>
        <w:tc>
          <w:tcPr>
            <w:tcW w:w="1440" w:type="dxa"/>
            <w:vAlign w:val="bottom"/>
          </w:tcPr>
          <w:p>
            <w:pPr>
              <w:spacing w:after="0"/>
              <w:rPr>
                <w:sz w:val="24"/>
                <w:szCs w:val="24"/>
                <w:color w:val="auto"/>
              </w:rPr>
            </w:pPr>
          </w:p>
        </w:tc>
        <w:tc>
          <w:tcPr>
            <w:tcW w:w="9120" w:type="dxa"/>
            <w:vAlign w:val="bottom"/>
          </w:tcPr>
          <w:p>
            <w:pPr>
              <w:ind w:left="42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r>
      <w:tr>
        <w:trPr>
          <w:trHeight w:val="108"/>
        </w:trPr>
        <w:tc>
          <w:tcPr>
            <w:tcW w:w="1440" w:type="dxa"/>
            <w:vAlign w:val="bottom"/>
            <w:tcBorders>
              <w:bottom w:val="single" w:sz="8" w:color="808080"/>
            </w:tcBorders>
          </w:tcPr>
          <w:p>
            <w:pPr>
              <w:spacing w:after="0"/>
              <w:rPr>
                <w:sz w:val="9"/>
                <w:szCs w:val="9"/>
                <w:color w:val="auto"/>
              </w:rPr>
            </w:pPr>
          </w:p>
        </w:tc>
        <w:tc>
          <w:tcPr>
            <w:tcW w:w="9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was incorporated under the laws of Georgia in 1987 and commenced operations in 1988 by acquiring 100% of the outstanding shares of Union County Bank, Blairsville, Georgia, now known as United Community Bank, Blairsville, Georgia (the “Bank”).</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over the last ten years, their contribution has primarily been to provide United access to new markets with attractive growth potential. Organic growth in assets includes growth through existing offices as well as growth at de novo locations and post-acquisition growth at acquired banking offices.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emphasize its commitment to community banking, United conducts substantially all of its operations through a community-focused operating model of 27 separate “community banks”, which as of December 31, 2009, operated at 107 locations in north Georgia, the Atlanta, Georgia MSA, the Gainesville, Georgia MSA, coastal Georgia, western North Carolina and east Tennessee.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19, 2009, United Community Bank (“UCB” or the “Bank”) purchased substantially all the assets and assumed substantially all the liabilities of Southern Community Bank (“SCB”) from the Federal Deposit Insurance Corporation (“FDIC”), as Receiver of SCB. The acquisition of SCB added assets and liabilities of $378 million and $367 million, respectively and resulted in a gain of $11.4 million. The acquisition of SCB added four banking offices in the Atlanta, Georgia MSA. UCB and the FDIC entered loss sharing agreements regarding future losses incurred on loans and foreclosed loan collateral existing at June 19, 2009. Under the terms of the loss sharing agreements, the FDIC will absorb 80 percent of the losses and share 80 percent of loss recoveries on the first $109 million of losses and absorb 95 percent of losses and share in 95 percent of loss recoveries exceeding $109 million.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2007, United completed the acquisition of Gwinnett Commercial Group, Inc. and its wholly-owned subsidiary First Bank of the South. The acquisition of Gwinnett Commercial Group added assets and deposits of $809 million and $568 million, respectively, and five banking offices in the Atlanta MSA.</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through its full-service retail mortgage lending division, United Community Mortgage Services (“UCMS”), is approved as a seller/servicer for Federal National Mortgage Association (“Fannie Mae”) and Federal Home Loan Mortgage Corporation (“Freddie Mac”) and provides fixed and adjustable-rate home mortgages. During 2009, the Bank originated $524 million of residential mortgage loans throughout its footprint in Georgia, North Carolina and Tennessee for the purchase of homes and to refinance existing mortgage debt. Substantially all of these mortgages were sold into the secondary market with no recourse to the Bank other than for breach of warranties.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Acquired in 2000, Brintech, Inc. (“Brintech”), a subsidiary of the Bank, is a consulting firm for the financial services industry. Brintech provides consulting, advisory, and implementation services in the areas of strategic planning, profitability improvement, technology, efficiency, security, risk management, network, Internet banking, marketing, core processing, and telecommunications and regulatory compliance assistance.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that is a subsidiary of the Bank. United also owns a captive insurance subsidiary, United Community Risk Management Services, Inc. (“UCRMSI”) that provides risk management services for United and its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United provides retail brokerage services through an affiliation with a third party broker/dealer.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208" w:lineRule="exact"/>
        <w:rPr>
          <w:sz w:val="20"/>
          <w:szCs w:val="20"/>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become profitable;</w:t>
      </w:r>
    </w:p>
    <w:p>
      <w:pPr>
        <w:spacing w:after="0" w:line="9"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 consistent with our capital plan;</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660" w:right="20" w:hanging="382"/>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adverse effects on future earnings resulting from non-cash charges for goodwill impairment;</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States Department of Treasury (“Treasury”) may change the terms of our Series B Preferred Stock;</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services laws and regulations change;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special assessment that may be imposed by the FDIC on all FDIC-insured institutions in the future, similar to the assessment in 2009 that decreased our earnings; and</w:t>
      </w:r>
    </w:p>
    <w:p>
      <w:pPr>
        <w:ind w:left="660" w:hanging="382"/>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regulatory or judicial proceedings, board resolutions, informal memorandums of understanding or formal enforcement actions imposed by regulators that occur, or any such proceedings or enforcement actions that is more severe than we anticipate.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banking and bank-related services is highly competitive. United actively competes in its market areas, which include north Georgia, the Atlanta, Georgia MSA, the Gainesville, Georgia MSA, coastal Georgia, western North Carolina and east Tennessee, with other providers of deposit and credit services. These competitors include other commercial banks, savings banks, savings and loan associations, credit unions, mortgage companies, and brokerage firms.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displays the respective percentage of total bank and thrift deposits in each county where the Bank has operations. The table also indicates the Bank’s ranking by deposit size in each county. All information in the table was obtained from the Federal Deposit Insurance Corporation Summary of Deposits as of June 30, 2009. The following information only shows market share in deposit gathering, which may not be indicative of market presence in other areas.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w w:val="90"/>
              </w:rPr>
              <w:t>Share of Local Deposit Markets by County - Banks and Savings Institutions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Market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Rank in</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Market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Rank in</w:t>
            </w:r>
          </w:p>
        </w:tc>
        <w:tc>
          <w:tcPr>
            <w:tcW w:w="19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Market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Rank in</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Share</w:t>
            </w:r>
          </w:p>
        </w:tc>
        <w:tc>
          <w:tcPr>
            <w:tcW w:w="340" w:type="dxa"/>
            <w:vAlign w:val="bottom"/>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Market</w:t>
            </w: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Share</w:t>
            </w: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Market</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Share</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418"/>
        </w:trPr>
        <w:tc>
          <w:tcPr>
            <w:tcW w:w="1880" w:type="dxa"/>
            <w:vAlign w:val="bottom"/>
          </w:tcPr>
          <w:p>
            <w:pPr>
              <w:spacing w:after="0"/>
              <w:rPr>
                <w:sz w:val="20"/>
                <w:szCs w:val="20"/>
                <w:color w:val="auto"/>
              </w:rPr>
            </w:pPr>
            <w:r>
              <w:rPr>
                <w:rFonts w:ascii="Arial" w:cs="Arial" w:eastAsia="Arial" w:hAnsi="Arial"/>
                <w:sz w:val="18"/>
                <w:szCs w:val="18"/>
                <w:b w:val="1"/>
                <w:bCs w:val="1"/>
                <w:color w:val="auto"/>
              </w:rPr>
              <w:t>Atlanta, Georgia MSA</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North Georgia</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Coastal Georgia</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Bartow</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Chattooga</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40" w:type="dxa"/>
            <w:vAlign w:val="bottom"/>
          </w:tcPr>
          <w:p>
            <w:pPr>
              <w:ind w:left="260"/>
              <w:spacing w:after="0"/>
              <w:rPr>
                <w:sz w:val="20"/>
                <w:szCs w:val="20"/>
                <w:color w:val="auto"/>
              </w:rPr>
            </w:pPr>
            <w:r>
              <w:rPr>
                <w:rFonts w:ascii="Arial" w:cs="Arial" w:eastAsia="Arial" w:hAnsi="Arial"/>
                <w:sz w:val="18"/>
                <w:szCs w:val="18"/>
                <w:color w:val="auto"/>
              </w:rPr>
              <w:t>Chatham</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Carroll</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Fannin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40" w:type="dxa"/>
            <w:vAlign w:val="bottom"/>
          </w:tcPr>
          <w:p>
            <w:pPr>
              <w:ind w:left="260"/>
              <w:spacing w:after="0"/>
              <w:rPr>
                <w:sz w:val="20"/>
                <w:szCs w:val="20"/>
                <w:color w:val="auto"/>
              </w:rPr>
            </w:pPr>
            <w:r>
              <w:rPr>
                <w:rFonts w:ascii="Arial" w:cs="Arial" w:eastAsia="Arial" w:hAnsi="Arial"/>
                <w:sz w:val="18"/>
                <w:szCs w:val="18"/>
                <w:color w:val="auto"/>
              </w:rPr>
              <w:t>Glynn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Cherokee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Floyd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940" w:type="dxa"/>
            <w:vAlign w:val="bottom"/>
          </w:tcPr>
          <w:p>
            <w:pPr>
              <w:ind w:left="260"/>
              <w:spacing w:after="0"/>
              <w:rPr>
                <w:sz w:val="20"/>
                <w:szCs w:val="20"/>
                <w:color w:val="auto"/>
              </w:rPr>
            </w:pPr>
            <w:r>
              <w:rPr>
                <w:rFonts w:ascii="Arial" w:cs="Arial" w:eastAsia="Arial" w:hAnsi="Arial"/>
                <w:sz w:val="18"/>
                <w:szCs w:val="18"/>
                <w:color w:val="auto"/>
              </w:rPr>
              <w:t>Ware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Cobb</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Gilmer</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9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North Carolina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Coweta</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Habersham</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Dawson</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Jackson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940" w:type="dxa"/>
            <w:vAlign w:val="bottom"/>
          </w:tcPr>
          <w:p>
            <w:pPr>
              <w:ind w:left="260"/>
              <w:spacing w:after="0"/>
              <w:rPr>
                <w:sz w:val="20"/>
                <w:szCs w:val="20"/>
                <w:color w:val="auto"/>
              </w:rPr>
            </w:pPr>
            <w:r>
              <w:rPr>
                <w:rFonts w:ascii="Arial" w:cs="Arial" w:eastAsia="Arial" w:hAnsi="Arial"/>
                <w:sz w:val="18"/>
                <w:szCs w:val="18"/>
                <w:color w:val="auto"/>
              </w:rPr>
              <w:t>Avery</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DeKalb</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Lumpkin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40" w:type="dxa"/>
            <w:vAlign w:val="bottom"/>
          </w:tcPr>
          <w:p>
            <w:pPr>
              <w:ind w:left="260"/>
              <w:spacing w:after="0"/>
              <w:rPr>
                <w:sz w:val="20"/>
                <w:szCs w:val="20"/>
                <w:color w:val="auto"/>
              </w:rPr>
            </w:pPr>
            <w:r>
              <w:rPr>
                <w:rFonts w:ascii="Arial" w:cs="Arial" w:eastAsia="Arial" w:hAnsi="Arial"/>
                <w:sz w:val="18"/>
                <w:szCs w:val="18"/>
                <w:color w:val="auto"/>
              </w:rPr>
              <w:t>Cherokee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Douglas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Rabun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940" w:type="dxa"/>
            <w:vAlign w:val="bottom"/>
          </w:tcPr>
          <w:p>
            <w:pPr>
              <w:ind w:left="260"/>
              <w:spacing w:after="0"/>
              <w:rPr>
                <w:sz w:val="20"/>
                <w:szCs w:val="20"/>
                <w:color w:val="auto"/>
              </w:rPr>
            </w:pPr>
            <w:r>
              <w:rPr>
                <w:rFonts w:ascii="Arial" w:cs="Arial" w:eastAsia="Arial" w:hAnsi="Arial"/>
                <w:sz w:val="18"/>
                <w:szCs w:val="18"/>
                <w:color w:val="auto"/>
              </w:rPr>
              <w:t>Clay</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Fayette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Towns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940" w:type="dxa"/>
            <w:vAlign w:val="bottom"/>
          </w:tcPr>
          <w:p>
            <w:pPr>
              <w:ind w:left="260"/>
              <w:spacing w:after="0"/>
              <w:rPr>
                <w:sz w:val="20"/>
                <w:szCs w:val="20"/>
                <w:color w:val="auto"/>
              </w:rPr>
            </w:pPr>
            <w:r>
              <w:rPr>
                <w:rFonts w:ascii="Arial" w:cs="Arial" w:eastAsia="Arial" w:hAnsi="Arial"/>
                <w:sz w:val="18"/>
                <w:szCs w:val="18"/>
                <w:color w:val="auto"/>
              </w:rPr>
              <w:t>Graham</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Forsyth</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Union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40" w:type="dxa"/>
            <w:vAlign w:val="bottom"/>
          </w:tcPr>
          <w:p>
            <w:pPr>
              <w:ind w:left="260"/>
              <w:spacing w:after="0"/>
              <w:rPr>
                <w:sz w:val="20"/>
                <w:szCs w:val="20"/>
                <w:color w:val="auto"/>
              </w:rPr>
            </w:pPr>
            <w:r>
              <w:rPr>
                <w:rFonts w:ascii="Arial" w:cs="Arial" w:eastAsia="Arial" w:hAnsi="Arial"/>
                <w:sz w:val="18"/>
                <w:szCs w:val="18"/>
                <w:color w:val="auto"/>
              </w:rPr>
              <w:t>Haywood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Fulton</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White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940" w:type="dxa"/>
            <w:vAlign w:val="bottom"/>
          </w:tcPr>
          <w:p>
            <w:pPr>
              <w:ind w:left="260"/>
              <w:spacing w:after="0"/>
              <w:rPr>
                <w:sz w:val="20"/>
                <w:szCs w:val="20"/>
                <w:color w:val="auto"/>
              </w:rPr>
            </w:pPr>
            <w:r>
              <w:rPr>
                <w:rFonts w:ascii="Arial" w:cs="Arial" w:eastAsia="Arial" w:hAnsi="Arial"/>
                <w:sz w:val="18"/>
                <w:szCs w:val="18"/>
                <w:color w:val="auto"/>
              </w:rPr>
              <w:t>Henderson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Gwinnett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Tennessee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ind w:left="260"/>
              <w:spacing w:after="0"/>
              <w:rPr>
                <w:sz w:val="20"/>
                <w:szCs w:val="20"/>
                <w:color w:val="auto"/>
              </w:rPr>
            </w:pPr>
            <w:r>
              <w:rPr>
                <w:rFonts w:ascii="Arial" w:cs="Arial" w:eastAsia="Arial" w:hAnsi="Arial"/>
                <w:sz w:val="18"/>
                <w:szCs w:val="18"/>
                <w:color w:val="auto"/>
              </w:rPr>
              <w:t>Jackson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Henry</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9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ind w:left="260"/>
              <w:spacing w:after="0"/>
              <w:rPr>
                <w:sz w:val="20"/>
                <w:szCs w:val="20"/>
                <w:color w:val="auto"/>
              </w:rPr>
            </w:pPr>
            <w:r>
              <w:rPr>
                <w:rFonts w:ascii="Arial" w:cs="Arial" w:eastAsia="Arial" w:hAnsi="Arial"/>
                <w:sz w:val="18"/>
                <w:szCs w:val="18"/>
                <w:color w:val="auto"/>
              </w:rPr>
              <w:t>Macon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Newton</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Blount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940" w:type="dxa"/>
            <w:vAlign w:val="bottom"/>
          </w:tcPr>
          <w:p>
            <w:pPr>
              <w:ind w:left="260"/>
              <w:spacing w:after="0"/>
              <w:rPr>
                <w:sz w:val="20"/>
                <w:szCs w:val="20"/>
                <w:color w:val="auto"/>
              </w:rPr>
            </w:pPr>
            <w:r>
              <w:rPr>
                <w:rFonts w:ascii="Arial" w:cs="Arial" w:eastAsia="Arial" w:hAnsi="Arial"/>
                <w:sz w:val="18"/>
                <w:szCs w:val="18"/>
                <w:color w:val="auto"/>
              </w:rPr>
              <w:t>Mitchell</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Paulding</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Bradley</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40" w:type="dxa"/>
            <w:vAlign w:val="bottom"/>
          </w:tcPr>
          <w:p>
            <w:pPr>
              <w:ind w:left="260"/>
              <w:spacing w:after="0"/>
              <w:rPr>
                <w:sz w:val="20"/>
                <w:szCs w:val="20"/>
                <w:color w:val="auto"/>
              </w:rPr>
            </w:pPr>
            <w:r>
              <w:rPr>
                <w:rFonts w:ascii="Arial" w:cs="Arial" w:eastAsia="Arial" w:hAnsi="Arial"/>
                <w:sz w:val="18"/>
                <w:szCs w:val="18"/>
                <w:color w:val="auto"/>
              </w:rPr>
              <w:t>Swain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Pickens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Knox</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940" w:type="dxa"/>
            <w:vAlign w:val="bottom"/>
          </w:tcPr>
          <w:p>
            <w:pPr>
              <w:ind w:left="260"/>
              <w:spacing w:after="0"/>
              <w:rPr>
                <w:sz w:val="20"/>
                <w:szCs w:val="20"/>
                <w:color w:val="auto"/>
              </w:rPr>
            </w:pPr>
            <w:r>
              <w:rPr>
                <w:rFonts w:ascii="Arial" w:cs="Arial" w:eastAsia="Arial" w:hAnsi="Arial"/>
                <w:sz w:val="18"/>
                <w:szCs w:val="18"/>
                <w:color w:val="auto"/>
              </w:rPr>
              <w:t>Transylvania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Rockdale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Loudon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940" w:type="dxa"/>
            <w:vAlign w:val="bottom"/>
          </w:tcPr>
          <w:p>
            <w:pPr>
              <w:ind w:left="260"/>
              <w:spacing w:after="0"/>
              <w:rPr>
                <w:sz w:val="20"/>
                <w:szCs w:val="20"/>
                <w:color w:val="auto"/>
              </w:rPr>
            </w:pPr>
            <w:r>
              <w:rPr>
                <w:rFonts w:ascii="Arial" w:cs="Arial" w:eastAsia="Arial" w:hAnsi="Arial"/>
                <w:sz w:val="18"/>
                <w:szCs w:val="18"/>
                <w:color w:val="auto"/>
              </w:rPr>
              <w:t>Watauga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rPr>
                <w:sz w:val="20"/>
                <w:szCs w:val="20"/>
                <w:color w:val="auto"/>
              </w:rPr>
            </w:pPr>
            <w:r>
              <w:rPr>
                <w:rFonts w:ascii="Arial" w:cs="Arial" w:eastAsia="Arial" w:hAnsi="Arial"/>
                <w:sz w:val="18"/>
                <w:szCs w:val="18"/>
                <w:color w:val="auto"/>
              </w:rPr>
              <w:t>Walton</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McMinn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940" w:type="dxa"/>
            <w:vAlign w:val="bottom"/>
          </w:tcPr>
          <w:p>
            <w:pPr>
              <w:ind w:left="260"/>
              <w:spacing w:after="0"/>
              <w:rPr>
                <w:sz w:val="20"/>
                <w:szCs w:val="20"/>
                <w:color w:val="auto"/>
              </w:rPr>
            </w:pPr>
            <w:r>
              <w:rPr>
                <w:rFonts w:ascii="Arial" w:cs="Arial" w:eastAsia="Arial" w:hAnsi="Arial"/>
                <w:sz w:val="18"/>
                <w:szCs w:val="18"/>
                <w:color w:val="auto"/>
              </w:rPr>
              <w:t>Yancey</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Gainesville, Georgia MSA</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Monroe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Roane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Hall</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makes both secured and unsecured loans to individuals, firms, and corporations. Secured loans include first and second real estate mortgage loans and commercial loans secured by non-real estate assets. The Bank also makes direct installment loans to consumers on both a secured and unsecured basis. At December 31, 2009, commercial (commercial and industrial), commercial (secured by real estate), commercial construction, residential construction, residential mortgage and consumer installment loans represented approximately 8%, 34%, 7%, 20%, 28% and 3%, respectively, of United’s total loan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1"/>
              </w:rPr>
              <w:t>Loan Type</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Risk Elements</w:t>
            </w:r>
          </w:p>
        </w:tc>
      </w:tr>
      <w:tr>
        <w:trPr>
          <w:trHeight w:val="27"/>
        </w:trPr>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140" w:type="dxa"/>
            <w:vAlign w:val="bottom"/>
          </w:tcPr>
          <w:p>
            <w:pPr>
              <w:spacing w:after="0"/>
              <w:rPr>
                <w:sz w:val="2"/>
                <w:szCs w:val="2"/>
                <w:color w:val="auto"/>
              </w:rPr>
            </w:pPr>
          </w:p>
        </w:tc>
      </w:tr>
      <w:tr>
        <w:trPr>
          <w:trHeight w:val="418"/>
        </w:trPr>
        <w:tc>
          <w:tcPr>
            <w:tcW w:w="110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5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8180" w:type="dxa"/>
            <w:vAlign w:val="bottom"/>
            <w:gridSpan w:val="2"/>
          </w:tcPr>
          <w:p>
            <w:pPr>
              <w:spacing w:after="0"/>
              <w:rPr>
                <w:sz w:val="20"/>
                <w:szCs w:val="20"/>
                <w:color w:val="auto"/>
              </w:rPr>
            </w:pPr>
            <w:r>
              <w:rPr>
                <w:rFonts w:ascii="Arial" w:cs="Arial" w:eastAsia="Arial" w:hAnsi="Arial"/>
                <w:sz w:val="18"/>
                <w:szCs w:val="18"/>
                <w:color w:val="auto"/>
                <w:w w:val="92"/>
              </w:rPr>
              <w:t>Industry concentrations; inability to monitor the condition of collateral (inventory, accounts receivable and other</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w w:val="97"/>
              </w:rPr>
              <w:t>non-real estate assets); use of specialized or obsolete equipment as collateral; insufficient cash flow from</w:t>
            </w: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operations to service debt payments; declines in general economic conditions.</w:t>
            </w:r>
          </w:p>
        </w:tc>
      </w:tr>
      <w:tr>
        <w:trPr>
          <w:trHeight w:val="418"/>
        </w:trPr>
        <w:tc>
          <w:tcPr>
            <w:tcW w:w="2620" w:type="dxa"/>
            <w:vAlign w:val="bottom"/>
            <w:gridSpan w:val="3"/>
          </w:tcPr>
          <w:p>
            <w:pPr>
              <w:spacing w:after="0"/>
              <w:rPr>
                <w:sz w:val="20"/>
                <w:szCs w:val="20"/>
                <w:color w:val="auto"/>
              </w:rPr>
            </w:pPr>
            <w:r>
              <w:rPr>
                <w:rFonts w:ascii="Arial" w:cs="Arial" w:eastAsia="Arial" w:hAnsi="Arial"/>
                <w:sz w:val="18"/>
                <w:szCs w:val="18"/>
                <w:color w:val="auto"/>
                <w:w w:val="89"/>
              </w:rPr>
              <w:t>Commercial (secured by real estate)</w:t>
            </w:r>
          </w:p>
        </w:tc>
        <w:tc>
          <w:tcPr>
            <w:tcW w:w="6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w w:val="90"/>
              </w:rPr>
              <w:t>Loan portfolio concentrations; declines in general economic conditions and occupancy rates; business failure and</w:t>
            </w: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lack of a suitable alternative use for property; environmental contamination.</w:t>
            </w:r>
          </w:p>
        </w:tc>
      </w:tr>
      <w:tr>
        <w:trPr>
          <w:trHeight w:val="418"/>
        </w:trPr>
        <w:tc>
          <w:tcPr>
            <w:tcW w:w="26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6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w w:val="92"/>
              </w:rPr>
              <w:t>Loan portfolio concentrations; inadequate long-term financing arrangements; cost overruns, changes in market</w:t>
            </w: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demand for property.</w:t>
            </w:r>
          </w:p>
        </w:tc>
      </w:tr>
      <w:tr>
        <w:trPr>
          <w:trHeight w:val="418"/>
        </w:trPr>
        <w:tc>
          <w:tcPr>
            <w:tcW w:w="26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6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w w:val="92"/>
              </w:rPr>
              <w:t>Loan portfolio concentrations; inadequate long-term financing arrangements; cost overruns, changes in market</w:t>
            </w: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demand for property.</w:t>
            </w:r>
          </w:p>
        </w:tc>
      </w:tr>
      <w:tr>
        <w:trPr>
          <w:trHeight w:val="418"/>
        </w:trPr>
        <w:tc>
          <w:tcPr>
            <w:tcW w:w="26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6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Loan portfolio concentrations; changes in general economic conditions or in the local economy; loss of</w:t>
            </w: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borrower’s employment; insufficient collateral value due to decline in property value.</w:t>
            </w:r>
          </w:p>
        </w:tc>
      </w:tr>
      <w:tr>
        <w:trPr>
          <w:trHeight w:val="432"/>
        </w:trPr>
        <w:tc>
          <w:tcPr>
            <w:tcW w:w="26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6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Loss of borrower’s employment; changes in local economy; the inability to monitor collateral.</w:t>
            </w:r>
          </w:p>
        </w:tc>
      </w:tr>
      <w:tr>
        <w:trPr>
          <w:trHeight w:val="432"/>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80" w:type="dxa"/>
            <w:vAlign w:val="bottom"/>
            <w:gridSpan w:val="2"/>
          </w:tcPr>
          <w:p>
            <w:pPr>
              <w:ind w:left="2420"/>
              <w:spacing w:after="0"/>
              <w:rPr>
                <w:sz w:val="20"/>
                <w:szCs w:val="20"/>
                <w:color w:val="auto"/>
              </w:rPr>
            </w:pPr>
            <w:r>
              <w:rPr>
                <w:rFonts w:ascii="Arial" w:cs="Arial" w:eastAsia="Arial" w:hAnsi="Arial"/>
                <w:sz w:val="18"/>
                <w:szCs w:val="18"/>
                <w:color w:val="auto"/>
              </w:rPr>
              <w:t>5</w:t>
            </w:r>
          </w:p>
        </w:tc>
      </w:tr>
      <w:tr>
        <w:trPr>
          <w:trHeight w:val="108"/>
        </w:trPr>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1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Lending Policy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makes loans primarily to persons or businesses that reside, work, own property, or operate in its primary market areas. Unsecured loans are generally made only to persons who qualify for such credit based on net worth and liquidity. Secured loans are made to persons who are well established and have net worth, collateral, and cash flow to support the loan. Exceptions to the Bank’s policies are permitted on a case-by-case basis. Major policy exceptions require the approving officer to document the reason for the exception. Loans exceeding the lending officer’s credit limit must be approved through the credit approval process involving Regional Credit Managers.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At December 31, 2009, the Bank’s legal lending limit was $208 million; however, the Board of Directors has established an internal lending limit of $20 million. All loans to borrowers for any individual residential or commercial construction project that exceeds $12 million or whose total aggregate loans exceed $15 million require the approval of two Bank directors and must be reported quarterly to the Bank’s Board of Directors for ratification.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Credit Managers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utilizes its Regional Credit Managers to provide credit administration support to the Bank as needed. The Regional Credit Managers have joint lending approval authority with the Community Bank Presidents within varying limits set by Credit Administration based on characteristics of each market. The Regional Credit Managers also provide credit underwriting support as needed by the community banks they serve.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other secondary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440" w:type="dxa"/>
            <w:vAlign w:val="bottom"/>
          </w:tcPr>
          <w:p>
            <w:pPr>
              <w:ind w:left="20"/>
              <w:spacing w:after="0"/>
              <w:rPr>
                <w:sz w:val="20"/>
                <w:szCs w:val="20"/>
                <w:color w:val="auto"/>
              </w:rPr>
            </w:pPr>
            <w:r>
              <w:rPr>
                <w:rFonts w:ascii="Arial" w:cs="Arial" w:eastAsia="Arial" w:hAnsi="Arial"/>
                <w:sz w:val="18"/>
                <w:szCs w:val="18"/>
                <w:color w:val="auto"/>
              </w:rPr>
              <w:t>(Watch)</w:t>
            </w:r>
          </w:p>
        </w:tc>
        <w:tc>
          <w:tcPr>
            <w:tcW w:w="9860" w:type="dxa"/>
            <w:vAlign w:val="bottom"/>
          </w:tcPr>
          <w:p>
            <w:pPr>
              <w:ind w:left="400"/>
              <w:spacing w:after="0"/>
              <w:rPr>
                <w:sz w:val="20"/>
                <w:szCs w:val="20"/>
                <w:color w:val="auto"/>
              </w:rPr>
            </w:pPr>
            <w:r>
              <w:rPr>
                <w:rFonts w:ascii="Arial" w:cs="Arial" w:eastAsia="Arial" w:hAnsi="Arial"/>
                <w:sz w:val="18"/>
                <w:szCs w:val="18"/>
                <w:color w:val="auto"/>
                <w:w w:val="99"/>
              </w:rPr>
              <w:t>Weaknesses exist that could cause future impairment, including the deterioration of financial ratios, past-due status and</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7"/>
              </w:rPr>
              <w:t>questionable management capabilities.  Collateral values generally afford adequate coverage, but may not be immediately</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marketable.</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44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860" w:type="dxa"/>
            <w:vAlign w:val="bottom"/>
          </w:tcPr>
          <w:p>
            <w:pPr>
              <w:ind w:left="400"/>
              <w:spacing w:after="0"/>
              <w:rPr>
                <w:sz w:val="20"/>
                <w:szCs w:val="20"/>
                <w:color w:val="auto"/>
              </w:rPr>
            </w:pPr>
            <w:r>
              <w:rPr>
                <w:rFonts w:ascii="Arial" w:cs="Arial" w:eastAsia="Arial" w:hAnsi="Arial"/>
                <w:sz w:val="18"/>
                <w:szCs w:val="18"/>
                <w:color w:val="auto"/>
                <w:w w:val="93"/>
              </w:rPr>
              <w:t>Specific and well-defined weaknesses that may include poor liquidity and deterioration of financial ratios. Loan may be past-due</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and related deposit accounts experiencing overdrafts. Immediate corrective action is necessary.</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440" w:type="dxa"/>
            <w:vAlign w:val="bottom"/>
          </w:tcPr>
          <w:p>
            <w:pPr>
              <w:ind w:left="20"/>
              <w:spacing w:after="0"/>
              <w:rPr>
                <w:sz w:val="20"/>
                <w:szCs w:val="20"/>
                <w:color w:val="auto"/>
              </w:rPr>
            </w:pPr>
            <w:r>
              <w:rPr>
                <w:rFonts w:ascii="Arial" w:cs="Arial" w:eastAsia="Arial" w:hAnsi="Arial"/>
                <w:sz w:val="18"/>
                <w:szCs w:val="18"/>
                <w:color w:val="auto"/>
              </w:rPr>
              <w:t>(Doubtful)</w:t>
            </w:r>
          </w:p>
        </w:tc>
        <w:tc>
          <w:tcPr>
            <w:tcW w:w="9860" w:type="dxa"/>
            <w:vAlign w:val="bottom"/>
          </w:tcPr>
          <w:p>
            <w:pPr>
              <w:ind w:left="400"/>
              <w:spacing w:after="0"/>
              <w:rPr>
                <w:sz w:val="20"/>
                <w:szCs w:val="20"/>
                <w:color w:val="auto"/>
              </w:rPr>
            </w:pPr>
            <w:r>
              <w:rPr>
                <w:rFonts w:ascii="Arial" w:cs="Arial" w:eastAsia="Arial" w:hAnsi="Arial"/>
                <w:sz w:val="18"/>
                <w:szCs w:val="18"/>
                <w:color w:val="auto"/>
                <w:w w:val="90"/>
              </w:rPr>
              <w:t>Specific weaknesses characterized as Substandard that are severe enough to make collection in full unlikely. No reliable secondary</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source of full repayment.</w:t>
            </w:r>
          </w:p>
        </w:tc>
      </w:tr>
      <w:tr>
        <w:trPr>
          <w:trHeight w:val="459"/>
        </w:trPr>
        <w:tc>
          <w:tcPr>
            <w:tcW w:w="156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860" w:type="dxa"/>
            <w:vAlign w:val="bottom"/>
          </w:tcPr>
          <w:p>
            <w:pPr>
              <w:ind w:left="400"/>
              <w:spacing w:after="0"/>
              <w:rPr>
                <w:sz w:val="20"/>
                <w:szCs w:val="20"/>
                <w:color w:val="auto"/>
              </w:rPr>
            </w:pPr>
            <w:r>
              <w:rPr>
                <w:rFonts w:ascii="Arial" w:cs="Arial" w:eastAsia="Arial" w:hAnsi="Arial"/>
                <w:sz w:val="18"/>
                <w:szCs w:val="18"/>
                <w:color w:val="auto"/>
                <w:w w:val="96"/>
              </w:rPr>
              <w:t>Same characteristics as Doubtful, however, probability of loss is certain. Loans classified as such are generally charged-off.</w:t>
            </w: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Credit Administration, with supervision and input from Accounting, prepares a quarterly analysis to determine the adequacy of the Allowance for Loan Losses (“ALL”) for the Bank and United. The ALL analysis starts with total loans and subtracts loans fully secured by deposit accounts at the Bank, which effectively have no risk of loss. Next, all loans that are considered impaired are individually reviewed and assigned a specific reserve if one is warranted. Effective with the third quarter of 2009, as mandated by the FDIC, all impaired loans with specific reserves were required to be charged down by the amount of the specific reserve (loan charge-off) to net realizable value. The remaining loan balance for each major loan category is then multiplied by its respective loss factor that is derived from the average historical loss rate for the preceding two year period, weighted toward the most recent quarters, and adjusted to reflect current economic conditions. Loss factors for these loans are determined based on historical loss experience by type of loan. The unallocated portion of the allowance is maintained due to imprecision in estimating loss factors and economic and other conditions that cannot be entirely quantified in the analysis.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Asset/Liability Committee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United’s asset/liability committee (“ALCO”) is composed of executive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w:t>
      </w:r>
      <w:r>
        <w:rPr>
          <w:rFonts w:ascii="Arial" w:cs="Arial" w:eastAsia="Arial" w:hAnsi="Arial"/>
          <w:sz w:val="18"/>
          <w:szCs w:val="18"/>
          <w:i w:val="1"/>
          <w:iCs w:val="1"/>
          <w:color w:val="auto"/>
        </w:rPr>
        <w:t xml:space="preserve">Management’s Discussion and Analysis </w:t>
      </w:r>
      <w:r>
        <w:rPr>
          <w:rFonts w:ascii="Arial" w:cs="Arial" w:eastAsia="Arial" w:hAnsi="Arial"/>
          <w:sz w:val="18"/>
          <w:szCs w:val="18"/>
          <w:color w:val="auto"/>
        </w:rPr>
        <w:t>(Part II, Item 7) and</w:t>
      </w:r>
      <w:r>
        <w:rPr>
          <w:rFonts w:ascii="Arial" w:cs="Arial" w:eastAsia="Arial" w:hAnsi="Arial"/>
          <w:sz w:val="18"/>
          <w:szCs w:val="18"/>
          <w:i w:val="1"/>
          <w:iCs w:val="1"/>
          <w:color w:val="auto"/>
        </w:rPr>
        <w:t xml:space="preserve"> Quantitative and Qualitative Disclosures About Market Risk </w:t>
      </w:r>
      <w:r>
        <w:rPr>
          <w:rFonts w:ascii="Arial" w:cs="Arial" w:eastAsia="Arial" w:hAnsi="Arial"/>
          <w:sz w:val="18"/>
          <w:szCs w:val="18"/>
          <w:color w:val="auto"/>
        </w:rPr>
        <w:t>(Part II, Item 7A)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or a committee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2009, United and its subsidiaries had 1,801 full-time equivalent employees. Neither United nor any of its subsidiaries are a party to any collective bargaining agreement and management believes that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Internet website address is ucbi.com. United makes available free of charge through its website Annual Reports on Form 10-K, Quarterly Reports on Form 10-Q and Current Reports on Form 8-K, and amendments to those reports, as soon as reasonably practicable after they are filed with, or furnished to, the Securities &amp;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Board of Governors of the Federal Reserve System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under the Bank Holding Company Act of 1956, as amended (the “BHC Act”). United is required to file annual and quarterly financial information with the Federal Reserve and is subject to periodic examination by the Federal Reserve.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216" w:lineRule="exact"/>
        <w:rPr>
          <w:sz w:val="20"/>
          <w:szCs w:val="20"/>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215" w:lineRule="exact"/>
        <w:rPr>
          <w:sz w:val="20"/>
          <w:szCs w:val="20"/>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lending, exchanging, transferring, investing for others or safeguarding money or securities;</w:t>
      </w:r>
    </w:p>
    <w:p>
      <w:pPr>
        <w:spacing w:after="0" w:line="23"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financial, investment, or economic advisory services, including advising an investment company;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dealing in or making a market in securities.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and Tennessee, neither the North Carolina Banking Commission (“NCBC”), nor the Tennessee Department of Financial Institutions (“TDFI”) examines or directly regulates out-of-state holding companies.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w:t>
      </w:r>
    </w:p>
    <w:p>
      <w:pPr>
        <w:ind w:firstLine="8"/>
        <w:spacing w:after="0" w:line="261"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and each of its subsidiaries are regularly examined by the Federal Deposit Insurance Corporation (the “FDIC”). The Bank, as a state banking association organized under Georgia law, is subject to the supervision of, and is regularly examined by, the DBF. The Bank’s North Carolina branches are subject to examination by the NCBC. The Bank’s Tennessee branches are subject to examination by the TDFI. Both the FDIC and the DBF must grant prior approval of any merger, consolidation or other corporation reorganization involving the Bank.</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Payment of Dividends. </w:t>
      </w:r>
      <w:r>
        <w:rPr>
          <w:rFonts w:ascii="Arial" w:cs="Arial" w:eastAsia="Arial" w:hAnsi="Arial"/>
          <w:sz w:val="17"/>
          <w:szCs w:val="17"/>
          <w:color w:val="auto"/>
        </w:rPr>
        <w:t>United is a legal entity separate and distinct from the Bank. Most of the revenue of United results from dividends paid to it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There are statutory and regulatory requirements applicable to the payment of dividends by the Bank, as well as by United to its shareholders.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regulations of the DBF, dividends may not be declared out of the retained earnings of a state bank without first obtaining the written permission of the DBF, unless such bank meets all the following requirements:</w:t>
      </w:r>
    </w:p>
    <w:p>
      <w:pPr>
        <w:spacing w:after="0" w:line="19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classified assets as of the most recent examination of the bank do not exceed 80% of equity capital (as defined by regulation);</w:t>
      </w:r>
    </w:p>
    <w:p>
      <w:pPr>
        <w:spacing w:after="0" w:line="34" w:lineRule="exact"/>
        <w:rPr>
          <w:rFonts w:ascii="Arial" w:cs="Arial" w:eastAsia="Arial" w:hAnsi="Arial"/>
          <w:sz w:val="17"/>
          <w:szCs w:val="17"/>
          <w:color w:val="auto"/>
        </w:rPr>
      </w:pPr>
    </w:p>
    <w:p>
      <w:pPr>
        <w:ind w:left="1300" w:hanging="644"/>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On December 5, 2008, United entered into a Letter Agreement and Securities Purchase Agreement (the “Purchase Agreement”) with the U.S. Treasury Department (“Treasury”) under the TARP Capital Purchase Program discussed below, pursuant to which United sold (i) 180,000 shares of United’s Fixed Rate Cumulative Perpetual Preferred Stock, Series B (the “Series B Preferred Stock”) and (ii) a warrant (the “Warrant”) to purchase 2,132,701 shares (1,099,542 shares, as adjusted for subsequent stock dividends and a 50% reduction following United’s stock offering in September 2009) of United’s common stock for an aggregate purchase price of $180 million in cash. Pursuant to the terms of the Purchase Agreement, the ability of United to declare or pay dividends or distributions on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 Due to the net loss for 2009, the Bank does not have the ability, without prior regulatory approval, to pay cash dividends to the parent company in 2010. United did not pay cash dividends on its common stock in 2009. In 2008, United declared cash dividends to common stockholders totaling $8.5 million, or $.18 per common share.</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Capital Adequacy. </w:t>
      </w:r>
      <w:r>
        <w:rPr>
          <w:rFonts w:ascii="Arial" w:cs="Arial" w:eastAsia="Arial" w:hAnsi="Arial"/>
          <w:sz w:val="17"/>
          <w:szCs w:val="17"/>
          <w:color w:val="auto"/>
        </w:rPr>
        <w:t>The Federal Reserve and the FDIC have implemented substantially identical risk-based rules for assessing bank and bank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capital adequacy. These regulations establish minimum capital standards in relation to assets and off-balance sheet exposures as adjusted for credit risk. Banks and bank holding companies are required to have (1) a minimum level of Total Capital (as defined) to risk-weighted assets of eight percent (8%); and (2) a minimum Tier I Capital (as defined) to risk-weighted assets of four percent (4%). In addition, the Federal Reserve and the FDIC have established a minimum three percent (3%) leverage ratio of Tier I Capital to quarterly average total assets for the most highly-rated banks and bank holding companies. “Tier I Capital” generally consists of common and preferred equity plus qualifying trust preferred securities and minority interests in equity accounts of consolidated subsidiaries, less unrecognized gains and losses on available for sale securities and derivatives accounted for as cash flow hedges, certain intangibles and disqualified deferred tax assets. The Federal Reserve and the FDIC use the leverage ratio in tandem with the risk-based ratio to assess the capital adequacy of banks and bank holding companies. The Federal Reserve will require a bank holding company to maintain a leverage ratio greater than four percent (4%) if it is experiencing or anticipating significant growth or is operating with less than well-diversified risks in the opinion of the Federal Reserve. The FDIC, the Office of the Comptroller of the Currency (the “OCC”) and the Federal Reserve consider interest rate risk in the overall determination of a bank’s capital ratio, requiring banks with greater risk to maintain adequate capital for the risk. For example, regulators frequently require financial institutions with high levels of classified assets to maintain a leverage ratio of at least 8%.</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capital leverage ratio reaches 2%. Better capitalized institutions are generally subject to less onerous regulation and supervision than banks with lesser amounts of capital.</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I risk-based ratio of at least 6% and a leverage ratio of at least 5%; (2) an “adequately capitalized” institution has a Total risk-based capital ratio of at least 8%, a Tier I risk-based ratio of at least 4% and a leverage ratio of at least 4%; (3) an “undercapitalized” institution has a Total risk-based capital ratio of under 8%, a Tier I risk-based ratio of under 4% or a leverage ratio of under 4%; (4) a “significantly undercapitalized” institution has a Total risk-based capital ratio of under 6%, a Tier I risk-based ratio of under 3% or a leverage ratio of under 3%; and (5) a “critically undercapitalized” institution has a leverage ratio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continue to conduct its business as currently conducted, United and the Bank will need to maintain capital well above the minimum levels. As of December 31, 2009 and 2008, the most recent notifications from the FDIC categorize the Bank as “well-capitalized” under current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b w:val="1"/>
          <w:bCs w:val="1"/>
          <w:color w:val="auto"/>
        </w:rPr>
        <w:t xml:space="preserve">Regulatory Actions. </w:t>
      </w:r>
      <w:r>
        <w:rPr>
          <w:rFonts w:ascii="Arial" w:cs="Arial" w:eastAsia="Arial" w:hAnsi="Arial"/>
          <w:sz w:val="17"/>
          <w:szCs w:val="17"/>
          <w:color w:val="auto"/>
        </w:rPr>
        <w:t>Effective April 2009, we adopted a board resolution proposed by the Federal Reserve Bank of Atlanta to not incur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indebtedness, pay cash dividends, make payments on our trust preferred securities or repurchase outstanding stock without prior regulatory approval. Since that date, we have requested and received approval to pay all cash dividends and interest payments during 2009. We also agreed to provide written confirmation of our compliance with the resolution periodically to the Federal Reserve. In addition, our subsidiary bank has been examined by the FDIC. The examiners have completed their field work but have not yet prepared the Report of Examination. The examiners have preliminarily indicated that, based on the level of the bank’s capital and classified loans, they expect to enter into some form of informal memorandum of understanding with the bank. Any such suggestion by the examiners is subject to review and must be confirmed or overruled by more senior FDIC officials at the FDIC’s Atlanta Regional Office and is subject to further possible review by FDIC officials in Washington.</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Troubled Asset Relief Program. </w:t>
      </w:r>
      <w:r>
        <w:rPr>
          <w:rFonts w:ascii="Arial" w:cs="Arial" w:eastAsia="Arial" w:hAnsi="Arial"/>
          <w:sz w:val="17"/>
          <w:szCs w:val="17"/>
          <w:color w:val="auto"/>
        </w:rPr>
        <w:t>On October 3, 2008, the Emergency Economic Stabilization Act of 2008 (“EESA”) was enacted establishing the Troubled</w:t>
      </w:r>
      <w:r>
        <w:rPr>
          <w:rFonts w:ascii="Arial" w:cs="Arial" w:eastAsia="Arial" w:hAnsi="Arial"/>
          <w:sz w:val="17"/>
          <w:szCs w:val="17"/>
          <w:b w:val="1"/>
          <w:bCs w:val="1"/>
          <w:color w:val="auto"/>
        </w:rPr>
        <w:t xml:space="preserve"> </w:t>
      </w:r>
      <w:r>
        <w:rPr>
          <w:rFonts w:ascii="Arial" w:cs="Arial" w:eastAsia="Arial" w:hAnsi="Arial"/>
          <w:sz w:val="17"/>
          <w:szCs w:val="17"/>
          <w:color w:val="auto"/>
        </w:rPr>
        <w:t>Asset Relief Program (“TARP”). On October 14, 2008, Treasury announced its intention to inject capital into U.S. financial institutions under the TARP Capital Purchase Program (“CPP”) and since has injected capital into many financial institutions, including United. On December 5, 2008, United entered into the Purchase Agreement with Treasury under the CPP pursuant to which United sold 180,000 shares of Series B Preferred Stock and the Warrant for an aggregate purchase price of $180 million in cash. In the Purchase Agreement, United is subject to restrictions on its ability to pay dividends on its common stock and make certain repurchases of equity securities, including its common stock, without Treasury’s consent. In addition, United agreed that, until such time as Treasury ceases to own any securities of United acquired pursuant to the Purchase Agreement, United will take all necessary actions to ensure that its benefit plans with respect to its senior executive officers comply with Section 111(b) of EESA as implemented by any guidance or regulation under the EESA and has agreed to not adopt any benefit plans with respect to, or which covers, its senior executive officers that do not comply with the EESA, and the applicable executives have consented to the foregoing. Finally, the Purchase Agreement provides that Treasury may unilaterally amend any provision of the Purchase Agreement to the extent required to comply with any changes in applicable federal law.</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Special Inspector General for the Troubled Asset Relief Program (“SIGTARP”), was established pursuant to Section 121 of EESA, and has the duty, among other things, to conduct, supervise, and coordinate audits and investigations of the purchase, management and sale of assets by the Treasury under TARP and the CPP, including the shares of non-voting preferred shares purchased from United.</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American Recovery and Reinvestment Act of 2009. </w:t>
      </w:r>
      <w:r>
        <w:rPr>
          <w:rFonts w:ascii="Arial" w:cs="Arial" w:eastAsia="Arial" w:hAnsi="Arial"/>
          <w:sz w:val="16"/>
          <w:szCs w:val="16"/>
          <w:color w:val="auto"/>
        </w:rPr>
        <w:t>On February 17, 2009, the American Recovery and Reinvestment Act of 2009 (“ARRA”) was</w:t>
      </w:r>
      <w:r>
        <w:rPr>
          <w:rFonts w:ascii="Arial" w:cs="Arial" w:eastAsia="Arial" w:hAnsi="Arial"/>
          <w:sz w:val="16"/>
          <w:szCs w:val="16"/>
          <w:b w:val="1"/>
          <w:bCs w:val="1"/>
          <w:color w:val="auto"/>
        </w:rPr>
        <w:t xml:space="preserve"> </w:t>
      </w:r>
      <w:r>
        <w:rPr>
          <w:rFonts w:ascii="Arial" w:cs="Arial" w:eastAsia="Arial" w:hAnsi="Arial"/>
          <w:sz w:val="16"/>
          <w:szCs w:val="16"/>
          <w:color w:val="auto"/>
        </w:rPr>
        <w:t>enacted. The ARRA, commonly known as the economic stimulus or economic recovery package, includes a wide variety of programs intended to stimulate the economy and provide for extensive infrastructure, energy, health, and education needs. In addition, ARRA imposes additional executive compensation and corporate expenditure limits on all current and future TARP recipients, including United, until the institution has repaid Treasury. This repayment is now permitted under ARRA without penalty and without the need to raise new capital, subject to Treasury’s consultation with the recipient’s appropriate regulatory agency. The executive compensation standards include (i) prohibitions on bonuses, retention awards and other incentive compensation, other than restricted stock grants which do not fully vest during the TARP period up to one-third of the executive’s total annual compensation, (ii) prohibitions on severance payments for departure from a company, (iii) an expanded clawback of bonuses, retention awards, and incentive compensation if payment is based on materially inaccurate statements of earnings, revenues, gains or other criteria, (iv) prohibitions on compensation plans that encourage manipulation of reported earnings, (v) required establishment of a company-wide policy regarding “excessive or luxury expenditures”, and (vi) inclusion in a participant’s proxy statements for annual shareholder meetings of a nonbinding “say on pay” shareholder vote on the compensation of executives.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Incentive Compensation. </w:t>
      </w:r>
      <w:r>
        <w:rPr>
          <w:rFonts w:ascii="Arial" w:cs="Arial" w:eastAsia="Arial" w:hAnsi="Arial"/>
          <w:sz w:val="18"/>
          <w:szCs w:val="18"/>
          <w:color w:val="auto"/>
        </w:rPr>
        <w:t>On October 22, 2009, the Federal Reserve issued a proposal on incentive compensation policies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intended to ensure that the incentive compensation policies of financial institutions do not undermine the safety and soundness of such institutions by encouraging excessive risk-taking. The Incentive Compensation Proposal,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on January 12, 2010, the FDIC announced that it would seek public comment on whether banks with compensation plans that encourage excessive risk-taking should be charged at higher deposit assessment rates than such banks would otherwise be charged.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The scope and content of banking regulators’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Temporary Liquidity Guarantee Program. </w:t>
      </w:r>
      <w:r>
        <w:rPr>
          <w:rFonts w:ascii="Arial" w:cs="Arial" w:eastAsia="Arial" w:hAnsi="Arial"/>
          <w:sz w:val="17"/>
          <w:szCs w:val="17"/>
          <w:color w:val="auto"/>
        </w:rPr>
        <w:t>On November 21, 2008, the Board of Directors of the FDIC adopted a final rule relating to the Temporary</w:t>
      </w:r>
      <w:r>
        <w:rPr>
          <w:rFonts w:ascii="Arial" w:cs="Arial" w:eastAsia="Arial" w:hAnsi="Arial"/>
          <w:sz w:val="17"/>
          <w:szCs w:val="17"/>
          <w:b w:val="1"/>
          <w:bCs w:val="1"/>
          <w:color w:val="auto"/>
        </w:rPr>
        <w:t xml:space="preserve"> </w:t>
      </w:r>
      <w:r>
        <w:rPr>
          <w:rFonts w:ascii="Arial" w:cs="Arial" w:eastAsia="Arial" w:hAnsi="Arial"/>
          <w:sz w:val="17"/>
          <w:szCs w:val="17"/>
          <w:color w:val="auto"/>
        </w:rPr>
        <w:t>Liquidity Guarantee Program (“TLG Program”). The TLG Program was announced by the FDIC on October 14, 2008, preceded by the determination of systemic risk by Treasury, as an initiative to counter the system-wide crisis in the nation’s financial sector. Under the TLG Program the FDIC will (i) guarantee, through the earlier of maturity or June 30, 2012, certain newly issued senior unsecured debt issued by participating institutions and (ii) provide full FDIC deposit insurance coverage for non-interest bearing transaction deposit accounts, Negotiable Order of Withdrawal accounts paying less than 0.5% interest per annum and Interest on Lawyers Trust Accounts held at participating FDIC-insured institutions through December 31, 2009. Coverage under the TLG Program was available for the first 30 days without charge. The fee assessment for coverage of senior unsecured debt ranges from 50 basis points to 100 basis points per annum, depending on the initial maturity of the debt. The fee assessment for deposit insurance coverage is 10 basis points per quarter on amounts in covered accounts exceeding $250,000. United elected to participate in both guarantee programs. On August 26, 2009, the FDIC extended the Transaction Account Guarantee (“TAG”) portion of the TLG Program through June 30, 2010. As of December 31, 2009, no debt has been issued under the TLG Program.</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Commercial Real Estate. </w:t>
      </w:r>
      <w:r>
        <w:rPr>
          <w:rFonts w:ascii="Arial" w:cs="Arial" w:eastAsia="Arial" w:hAnsi="Arial"/>
          <w:sz w:val="18"/>
          <w:szCs w:val="18"/>
          <w:color w:val="auto"/>
        </w:rPr>
        <w:t>The federal banking agencies, including the FDIC, restrict concentrations in commercial real estate lending and have noted that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16"/>
          <w:szCs w:val="16"/>
          <w:color w:val="auto"/>
        </w:rPr>
        <w:t>United’s impaired loans and foreclosed assets may be measured and carried at “fair value”, the determination of which requires management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assumptions, estimates and judgments. When a loan is considered impaired, a specific valuation allowance is allocated or a partial charge-off is taken, if necessary, so that the loan is reported net, at the present value of estimated future cash flows using the loan’s existing rate or at the fair value of collateral if repayment is expected solely from the collateral. In addition, foreclosed assets are carried at the lower of cost or “fair value”,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factors and allow United to arrive at a fair value, the processes require management judgment and assumptions and the value of such assets at the time they are revalued or divested may be significantly different from management’s determination of fair value. Because of this increased subjectivity in fair value determinations, there is greater than usual grounds for differences in opinions, which may result in increased disagreements between management and the Bank’s regulators, disagreements which could impair the relationship between the Bank and its regulators.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Source of Strength Doctrine. </w:t>
      </w:r>
      <w:r>
        <w:rPr>
          <w:rFonts w:ascii="Arial" w:cs="Arial" w:eastAsia="Arial" w:hAnsi="Arial"/>
          <w:sz w:val="18"/>
          <w:szCs w:val="18"/>
          <w:color w:val="auto"/>
        </w:rPr>
        <w:t>Federal Reserve regulations and policy requires bank holding companies to act as a source of financial and managerial</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 to their subsidiary banks. Under this policy, United is expected to commit resources to support the Bank.</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Inter-agency guidelines adopted by federal bank regulators mandate that financial institutions establish real estate lending policies with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allowable real estate loan-to-value limits, subject to an allowable amount of non-conforming loans as a percentage of capital. The Bank adopted the federal guidelines in 2001.</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Transactions with Affiliates. </w:t>
      </w:r>
      <w:r>
        <w:rPr>
          <w:rFonts w:ascii="Arial" w:cs="Arial" w:eastAsia="Arial" w:hAnsi="Arial"/>
          <w:sz w:val="17"/>
          <w:szCs w:val="17"/>
          <w:color w:val="auto"/>
        </w:rPr>
        <w:t>Under federal law, all transactions between and among a state nonmember bank and its affiliates, which include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both"/>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regulators adopted rules that limit the ability of banks and other financial institutions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Anti-Money Laundering Initiatives and the USA Patriot Act. </w:t>
      </w:r>
      <w:r>
        <w:rPr>
          <w:rFonts w:ascii="Arial" w:cs="Arial" w:eastAsia="Arial" w:hAnsi="Arial"/>
          <w:sz w:val="18"/>
          <w:szCs w:val="18"/>
          <w:color w:val="auto"/>
        </w:rPr>
        <w:t>A major focus of governmental policy on financial institutions in recent years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aimed at combating 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Future Legislation. </w:t>
      </w:r>
      <w:r>
        <w:rPr>
          <w:rFonts w:ascii="Arial" w:cs="Arial" w:eastAsia="Arial" w:hAnsi="Arial"/>
          <w:sz w:val="18"/>
          <w:szCs w:val="18"/>
          <w:color w:val="auto"/>
        </w:rPr>
        <w:t>Various legislation affecting financial institutions and the financial industry is from time to time introduced in Congress.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very unpredictable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2010,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720" w:type="dxa"/>
            <w:vAlign w:val="bottom"/>
            <w:gridSpan w:val="4"/>
          </w:tcPr>
          <w:p>
            <w:pPr>
              <w:jc w:val="right"/>
              <w:ind w:right="920"/>
              <w:spacing w:after="0"/>
              <w:rPr>
                <w:sz w:val="20"/>
                <w:szCs w:val="20"/>
                <w:color w:val="auto"/>
              </w:rPr>
            </w:pPr>
            <w:r>
              <w:rPr>
                <w:rFonts w:ascii="Arial" w:cs="Arial" w:eastAsia="Arial" w:hAnsi="Arial"/>
                <w:sz w:val="18"/>
                <w:szCs w:val="18"/>
                <w:color w:val="auto"/>
                <w:w w:val="86"/>
              </w:rPr>
              <w:t>Name(age)</w:t>
            </w:r>
          </w:p>
        </w:tc>
        <w:tc>
          <w:tcPr>
            <w:tcW w:w="274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Position with United</w:t>
            </w:r>
          </w:p>
        </w:tc>
        <w:tc>
          <w:tcPr>
            <w:tcW w:w="1800" w:type="dxa"/>
            <w:vAlign w:val="bottom"/>
          </w:tcPr>
          <w:p>
            <w:pPr>
              <w:jc w:val="right"/>
              <w:spacing w:after="0"/>
              <w:rPr>
                <w:sz w:val="20"/>
                <w:szCs w:val="20"/>
                <w:color w:val="auto"/>
              </w:rPr>
            </w:pPr>
            <w:r>
              <w:rPr>
                <w:rFonts w:ascii="Arial" w:cs="Arial" w:eastAsia="Arial" w:hAnsi="Arial"/>
                <w:sz w:val="18"/>
                <w:szCs w:val="18"/>
                <w:color w:val="auto"/>
                <w:w w:val="96"/>
              </w:rPr>
              <w:t>Officer of United Since</w:t>
            </w:r>
          </w:p>
        </w:tc>
      </w:tr>
      <w:tr>
        <w:trPr>
          <w:trHeight w:val="27"/>
        </w:trPr>
        <w:tc>
          <w:tcPr>
            <w:tcW w:w="66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2"/>
              </w:rPr>
              <w:t>Jimmy C. Tallent</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(57)</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President, Chief Executive Officer and Director</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1988</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0"/>
              </w:rPr>
              <w:t>Guy W. Freeman</w:t>
            </w: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(73)</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Executive Vice President, Chief Operating Officer</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1995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w w:val="87"/>
              </w:rPr>
              <w:t>Rex S. Schuette</w:t>
            </w:r>
          </w:p>
        </w:tc>
        <w:tc>
          <w:tcPr>
            <w:tcW w:w="1220" w:type="dxa"/>
            <w:vAlign w:val="bottom"/>
            <w:gridSpan w:val="3"/>
          </w:tcPr>
          <w:p>
            <w:pPr>
              <w:jc w:val="right"/>
              <w:ind w:right="840"/>
              <w:spacing w:after="0"/>
              <w:rPr>
                <w:sz w:val="20"/>
                <w:szCs w:val="20"/>
                <w:color w:val="auto"/>
              </w:rPr>
            </w:pPr>
            <w:r>
              <w:rPr>
                <w:rFonts w:ascii="Arial" w:cs="Arial" w:eastAsia="Arial" w:hAnsi="Arial"/>
                <w:sz w:val="18"/>
                <w:szCs w:val="18"/>
                <w:color w:val="auto"/>
              </w:rPr>
              <w:t>(60)</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Executive Vice President and Chief Financial Officer</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2001</w:t>
            </w:r>
          </w:p>
        </w:tc>
      </w:tr>
      <w:tr>
        <w:trPr>
          <w:trHeight w:val="418"/>
        </w:trPr>
        <w:tc>
          <w:tcPr>
            <w:tcW w:w="1260" w:type="dxa"/>
            <w:vAlign w:val="bottom"/>
            <w:gridSpan w:val="3"/>
          </w:tcPr>
          <w:p>
            <w:pPr>
              <w:spacing w:after="0"/>
              <w:rPr>
                <w:sz w:val="20"/>
                <w:szCs w:val="20"/>
                <w:color w:val="auto"/>
              </w:rPr>
            </w:pPr>
            <w:r>
              <w:rPr>
                <w:rFonts w:ascii="Arial" w:cs="Arial" w:eastAsia="Arial" w:hAnsi="Arial"/>
                <w:sz w:val="18"/>
                <w:szCs w:val="18"/>
                <w:color w:val="auto"/>
                <w:w w:val="96"/>
              </w:rPr>
              <w:t>David Shearrow</w:t>
            </w:r>
          </w:p>
        </w:tc>
        <w:tc>
          <w:tcPr>
            <w:tcW w:w="112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(50)</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Executive Vice President and Chief Risk Officer since April 2007; prior to joining</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2007</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United, he served as Executive Vice President and Senior Credit Officer of</w:t>
            </w:r>
          </w:p>
        </w:tc>
        <w:tc>
          <w:tcPr>
            <w:tcW w:w="18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SunTrust Banks</w:t>
            </w:r>
          </w:p>
        </w:tc>
        <w:tc>
          <w:tcPr>
            <w:tcW w:w="1800" w:type="dxa"/>
            <w:vAlign w:val="bottom"/>
          </w:tcPr>
          <w:p>
            <w:pPr>
              <w:spacing w:after="0"/>
              <w:rPr>
                <w:sz w:val="20"/>
                <w:szCs w:val="20"/>
                <w:color w:val="auto"/>
              </w:rPr>
            </w:pP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9"/>
              </w:rPr>
              <w:t>Craig Metz (54)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Executive Vice President of Marketing</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1220" w:type="dxa"/>
            <w:vAlign w:val="bottom"/>
            <w:gridSpan w:val="3"/>
          </w:tcPr>
          <w:p>
            <w:pPr>
              <w:jc w:val="right"/>
              <w:ind w:right="900"/>
              <w:spacing w:after="0"/>
              <w:rPr>
                <w:sz w:val="20"/>
                <w:szCs w:val="20"/>
                <w:color w:val="auto"/>
              </w:rPr>
            </w:pPr>
            <w:r>
              <w:rPr>
                <w:rFonts w:ascii="Arial" w:cs="Arial" w:eastAsia="Arial" w:hAnsi="Arial"/>
                <w:sz w:val="18"/>
                <w:szCs w:val="18"/>
                <w:color w:val="auto"/>
                <w:w w:val="93"/>
              </w:rPr>
              <w:t>(57)</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Senior Vice President of Retail Banking</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2003</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w w:val="94"/>
              </w:rPr>
              <w:t>Glenn S. White</w:t>
            </w:r>
          </w:p>
        </w:tc>
        <w:tc>
          <w:tcPr>
            <w:tcW w:w="1220" w:type="dxa"/>
            <w:vAlign w:val="bottom"/>
            <w:gridSpan w:val="3"/>
          </w:tcPr>
          <w:p>
            <w:pPr>
              <w:jc w:val="right"/>
              <w:ind w:right="860"/>
              <w:spacing w:after="0"/>
              <w:rPr>
                <w:sz w:val="20"/>
                <w:szCs w:val="20"/>
                <w:color w:val="auto"/>
              </w:rPr>
            </w:pPr>
            <w:r>
              <w:rPr>
                <w:rFonts w:ascii="Arial" w:cs="Arial" w:eastAsia="Arial" w:hAnsi="Arial"/>
                <w:sz w:val="18"/>
                <w:szCs w:val="18"/>
                <w:color w:val="auto"/>
              </w:rPr>
              <w:t>(58)</w:t>
            </w: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President of the Atlanta Region since 2008; previously, he was the President of</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2008</w:t>
            </w: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United Community Bank - Gwinnett since 2007; prior to joining United, he served</w:t>
            </w:r>
          </w:p>
        </w:tc>
        <w:tc>
          <w:tcPr>
            <w:tcW w:w="18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40" w:type="dxa"/>
            <w:vAlign w:val="bottom"/>
            <w:gridSpan w:val="3"/>
          </w:tcPr>
          <w:p>
            <w:pPr>
              <w:ind w:left="740"/>
              <w:spacing w:after="0"/>
              <w:rPr>
                <w:sz w:val="20"/>
                <w:szCs w:val="20"/>
                <w:color w:val="auto"/>
              </w:rPr>
            </w:pPr>
            <w:r>
              <w:rPr>
                <w:rFonts w:ascii="Arial" w:cs="Arial" w:eastAsia="Arial" w:hAnsi="Arial"/>
                <w:sz w:val="18"/>
                <w:szCs w:val="18"/>
                <w:color w:val="auto"/>
              </w:rPr>
              <w:t>as Chief Executive Officer of Gwinnett Commercial Group, Inc.</w:t>
            </w:r>
          </w:p>
        </w:tc>
        <w:tc>
          <w:tcPr>
            <w:tcW w:w="180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Continued weakness or adverse changes in business and economic conditions generally or specifically in the markets in which we operate could adversely impact our business, including causing one or more of the following negative developments:</w:t>
      </w:r>
    </w:p>
    <w:p>
      <w:pPr>
        <w:spacing w:after="0" w:line="197" w:lineRule="exact"/>
        <w:rPr>
          <w:sz w:val="20"/>
          <w:szCs w:val="20"/>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the value of our loans secured by consumer or commercial real estate;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impairment of our assets, such as our goodwill or deferred tax assets; or</w:t>
      </w:r>
    </w:p>
    <w:p>
      <w:pPr>
        <w:spacing w:after="0" w:line="9" w:lineRule="exact"/>
        <w:rPr>
          <w:rFonts w:ascii="Arial" w:cs="Arial" w:eastAsia="Arial" w:hAnsi="Arial"/>
          <w:sz w:val="18"/>
          <w:szCs w:val="18"/>
          <w:color w:val="auto"/>
        </w:rPr>
      </w:pPr>
    </w:p>
    <w:p>
      <w:pPr>
        <w:ind w:left="660" w:right="20" w:hanging="382"/>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if we are unable to continue to generate, or demonstrate that we can continue to generate, sufficient taxable income in the near future, then we may not be able to fully realize the benefits of our deferred tax assets and may be required to recognize a valuation allowance, similar to an impairment of those assets, if it is more-likely-than-not that some portion of our deferred tax assets will not be realized.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operating losses and the timing of profitability is uncertain.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incurred a net operating loss of $138.6 million, or $2.47 per share, for the year ended December 31, 2009 and $63.5 million, or $1.35 per share, for the year ended December 31, 2008, in each case due primarily to credit losses and associated costs, including significant provisions for loan losses. Although we have taken a significant number of steps to reduce our credit exposure, we will likely continue to have a higher than normal level of non-performing assets and substantial charge-offs in 2010, which would continue to adversely impact or overall financial condition and results of operations.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of our most recent internal credit stress test may not accurately predict the impact on our financial condition if the economy were to continue to deteriorate.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perform an internal analysis of our capital position. Our analysis is based on the tests that were administered to the nation’s nineteen largest banks by Treasury in connection with its Supervisory Capital Assessment Program (“SCAP”). Under the stress test, we apply many of the same methodologies but less severe loss assumptions than Treasury applies in its program to estimate our loan losses (loan charge-offs), resources available to absorb those losses and any necessary additions to capital that would be required under the “more adverse” stress test scenario. As a result, our estimates for loan losses are lower than those suggested by the SCAP assumptions.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calculated our loss estimates based on the SCAP test, and while we believe we have appropriately applied Treasury’s assumptions in performing this internal stress test, results of this test may not be comparable to the results of stress tests performed and publicly released by Treasury, and the results of this test may not be the same as if the test had been performed by Treasury.</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these stress tests involve many assumptions about the economy and future loan losses and default rates, and may not accurately reflect the impact on our financial condition if the economy does not improve or continues to deteriorate. Any continued deterioration of the economy could result in credit losses significantly higher, with a corresponding impact on our financial condition and capital, than those predicted by our internal stress test.</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and business have been adversely affected by conditions in the financial markets and economic conditions generally and recent efforts to address difficult market and economic conditions may not be effective.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mid-2007, the financial markets and economic conditions generally have been materially and adversely affected by significant declines in the values of nearly all asset classes and by a serious lack of liquidity. This was initially triggered by declines in home prices and the values of subprime mortgages, but spread to all residential construction, particularly in metro Atlanta and north and coastal Georgia, and residential mortgages as property prices declined rapidly and affected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These declines have caused many financial institutions to seek additional capital, to reduce or eliminate dividends, to merge with other financial institutions and, in some cases, to fail. In addition, customer delinquencies, foreclosures and unemployment have also increased significantly.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The U.S. Congress, Federal Reserve Board, Treasury, the FDIC, the SEC and others have taken numerous steps to address the current crisis. These measures include the EESA and ARRA; homeowner relief that encourages loan restructuring and modification; the establishment of significant liquidity and credit facilities for financial institutions and investment banks; the lowering of the federal funds rate; regulatory action against short selling practices; a temporary guaranty program for money market funds; the establishment of a commercial paper funding facility to provide back-stop liquidity to commercial paper issuers; and coordinated international efforts to address illiquidity and other weaknesses in the banking sector. We are not yet certain, however, of the actual impact that EESA, including TARP and the CPP, the ARRA, and the other initiatives described above will have on the banking system and financial markets or on us.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economic pressure on consumers and businesses and lack of confidence in the financial markets has adversely affected our business, financial condition and results of operations and may continue to result in credit losses and write-downs in the future. The failure of government programs and other efforts to help stabilize the banking system and financial markets and a continuation or worsening of current economic conditions could materially and adversely affect our business, financial condition, results of operations, access to credit or the trading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raise additional capital could be limited and could affect our liquidity and could be dilutive to existing shareholders.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be required or choose to raise additional capital, including for strategic, regulatory or other reasons. Current conditions in the capital markets are such that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Capital resources and liquidity are essential to our businesses and could be negatively impacted by disruptions in our ability to access other sources of funding.</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resources and liquidity are essential to our businesses.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and Federal Home Loan Bank advances. We also raise funds from time to time in the form of either short-or long-term borrowings or equity issuances.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capital resources and liquidity could be negatively impacted by disruptions in our ability to access these sources of funding. With increased concerns about bank failures, traditional deposit customers are increasingly concerned about the extent to which their deposits are insured by the FDIC. Customers may withdraw deposits from our subsidiary bank in an effort to ensure that the amount that they have on deposit is fully insured. In addition,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other sources of funds. Other financial institutions may be unwilling to extend credit to banks because of concerns about the banking industry and the economy generally and, given recent downturns in the economy,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stock, and our ability to make acquisitions, and we would not be able to accept brokered deposits without prior FDIC approval. To be “well-capitalized,” a bank must generally maintain a leverage capital ratio of at least 5%, a Tier I risk-based capital ratio of at least 6%, and a total risk-based capital ratio of at least 10%. However, our regulators could require us to increase our capital levels. For example, regulators frequently require financial institutions with high levels of classified assets to maintain a leverage ratio of at least 8%. Our failure to remain “well-capitalized” or to maintain any higher capital requirements imposed on us could negatively affect our business, results of operations and financial condition, generally.</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raise funding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ind w:right="40"/>
        <w:spacing w:after="0" w:line="282" w:lineRule="auto"/>
        <w:rPr>
          <w:sz w:val="20"/>
          <w:szCs w:val="20"/>
          <w:color w:val="auto"/>
        </w:rPr>
      </w:pPr>
      <w:r>
        <w:rPr>
          <w:rFonts w:ascii="Arial" w:cs="Arial" w:eastAsia="Arial" w:hAnsi="Arial"/>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success of the local economies and real estate markets in which we operate.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Since mid-2007, the financial markets and economic conditions generally have experienced a variety of difficulties. In particular, the residential construction and commercial development real estate markets in the Atlanta market have experienced substantial deterioration. If market and economic conditions continue to deteriorate or remain at their current level of deterioration for a sustained period of time, such conditions may lead to additional valuation adjustments as we continue to reassess the market value of our loan portfolio, greater losses on defaulted loans and on the sale of other real estate owned. Additionally, such adverse economic conditions in our market areas, specifically decreases in real estate property values due to the nature of our loan portfolio, approximately 90%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20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concentration of residential construction and development loans is subject to unique risks that could adversely affect our results of operations and financial condition.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residential construction and development loan portfolio was $1.05 billion at December 31, 2009, comprising 20% of total loans. Residential construction and development loans are often riskier than home equity loans or residential mortgage loans to individuals. Poor economic conditions have resulted in decreased demand for residential housing, which, in turn, has adversely affected the development and construction efforts of residential real estate developer borrowers. Consequently, economic downturns like the current one impacting our market areas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Because of the general economic slowdown we are currently experiencing, these loans represent higher risk due to slower sales and reduced cash flow that affect the borrowers’ ability to repay on a timely basis and could result in a sharp increase in our total net-charge offs and could require us to significantly increase our allowance for loan losses, which could have a material adverse effect on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concentration of commercial real estate loans is subject to risks that could adversely affect our results of operations and financial condition.</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real estate loan portfolio was $1.8 billion at December 31, 2009, comprising 34% of total loans. Commercial real estate loans typically involve larger loan balances than compared to residential mortgage loans, but are still granular in nature with the average loan size of $443,000 and an average loan to value of 63%. The repayment of loans secured by commercial real estate is dependent upon both the successful operation of the commercial project and the business operated out of that commercial real estate site, as over half of the commercial real estate loans are for borrower-owned sites.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deterioration in income producing commercial real estate is likely to worsen as vacancy rates continue to rise and absorption rates of existing square footage and/or units continue to decline. Because of the general economic slowdown we are currently experiencing, these loans represent higher risk and could result in an increase in our total net-charge offs and could require us to increase our allowance for loan losses.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our assets.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prevailing interest rates may negatively affect the level of net interest revenue, the primary component of our net income. Federal Reserve Board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reporting policies are fundamental to the methods by which it records and reports its financial condition and results of operations. United’s management must make significant assumptions and estimates and exercise significant judgment in selecting and applying many of these accounting and reporting policies so they comply with generally accepted accounting principles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accounting policies are critical to presenting United’s financial condition and results. They require management to make difficult, subjective and complex assumptions, estimates judgments about matters that are uncertain. Materially different amounts could be reported under different conditions or using different assumptions or estimates. These critical accounting policies relate to the allowance for loan losses; fair value measurement, intangible assets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recognize significant impairment on goodwill and other intangible asset balances; or significantly increase its accrued taxes liability or decrease the value of its deferred tax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allowance for loan losses is not sufficient to cover actual loan losses, earnings would decrease.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loan losses in an attempt to cover any loan losses inherent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loan losses. For the year ended December 31, 2009, we recorded a provision for loan losses of $310 million, compared to $184 million for the year ended December 31, 2008. If those assumptions are incorrect, the allowance may not be sufficient to cover future loan losses and adjustments may be necessary to allow for different economic conditions or adverse developments in the loan portfolio.</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 party service providers and employees.</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right="760"/>
        <w:spacing w:after="0" w:line="282" w:lineRule="auto"/>
        <w:rPr>
          <w:sz w:val="20"/>
          <w:szCs w:val="20"/>
          <w:color w:val="auto"/>
        </w:rPr>
      </w:pPr>
      <w:r>
        <w:rPr>
          <w:rFonts w:ascii="Arial" w:cs="Arial" w:eastAsia="Arial" w:hAnsi="Arial"/>
          <w:sz w:val="18"/>
          <w:szCs w:val="18"/>
          <w:b w:val="1"/>
          <w:bCs w:val="1"/>
          <w:color w:val="auto"/>
        </w:rPr>
        <w:t>The terms governing the issuance of the preferred stock to Treasury may be changed, the effect of which may have an adverse effect on our operations.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Letter Agreement and Securities Purchase Agreement, dated December 5, 2008 in which we entered into with Treasury (the “Purchase Agreement”) provides that Treasury may unilaterally amend any provision of the Purchase Agreement to the extent required to comply with any changes in applicable federal law that may occur in the future. We have no control over any change in the terms of the transaction may occur in the future. Such changes may place restrictions on our business or results of operation, which may adversely affect the market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risks with respect to future expansion and acquisitions.</w:t>
      </w:r>
    </w:p>
    <w:p>
      <w:pPr>
        <w:spacing w:after="0" w:line="25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may engage in de novo branch expansion and, if the appropriate business opportunity becomes available, we may seek to acquire other financial institutions or parts of those institutions, including in FDIC-assisted transactions. These involve a number of risks, including:</w:t>
      </w:r>
    </w:p>
    <w:p>
      <w:pPr>
        <w:spacing w:after="0" w:line="174" w:lineRule="exact"/>
        <w:rPr>
          <w:sz w:val="20"/>
          <w:szCs w:val="20"/>
          <w:color w:val="auto"/>
        </w:rPr>
      </w:pPr>
    </w:p>
    <w:p>
      <w:pPr>
        <w:ind w:left="660" w:hanging="382"/>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660" w:hanging="38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incurrence and possible impairment of goodwill associated with an acquisition and possible adverse effects on results of operations;</w:t>
      </w:r>
    </w:p>
    <w:p>
      <w:pPr>
        <w:spacing w:after="0" w:line="20" w:lineRule="exact"/>
        <w:rPr>
          <w:rFonts w:ascii="Arial" w:cs="Arial" w:eastAsia="Arial" w:hAnsi="Arial"/>
          <w:sz w:val="17"/>
          <w:szCs w:val="17"/>
          <w:color w:val="auto"/>
        </w:rPr>
      </w:pPr>
    </w:p>
    <w:p>
      <w:pPr>
        <w:ind w:left="660" w:hanging="38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employees and customers of an acquired branch or institution;</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or failure to successfully integrate the acquired financial institution or portion of the institution;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temporary disruption of our business or the business of the acquired institution.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Legislative and Regulatory Events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including EESA, ARRA, TARP and recently proposed executive compensation guidance by the Federal Reserve and FDIC, could affect us in substantial and unpredictable ways, including limiting the types of financial services and products we may offer or increasing the ability of non-banks to offer competing financial services and products. While we cannot predict the regulatory changes that may be borne out of the current economic crisis, and we cannot predict whether we will become subject to increased regulatory scrutiny by any of these regulatory agencies,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have the ability to impose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The imposition of regulatory sanctions, including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A bank closure would result in a total loss of your investment.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right="200"/>
        <w:spacing w:after="0" w:line="282" w:lineRule="auto"/>
        <w:rPr>
          <w:sz w:val="20"/>
          <w:szCs w:val="20"/>
          <w:color w:val="auto"/>
        </w:rPr>
      </w:pPr>
      <w:r>
        <w:rPr>
          <w:rFonts w:ascii="Arial" w:cs="Arial" w:eastAsia="Arial" w:hAnsi="Arial"/>
          <w:sz w:val="18"/>
          <w:szCs w:val="18"/>
          <w:b w:val="1"/>
          <w:bCs w:val="1"/>
          <w:color w:val="auto"/>
        </w:rPr>
        <w:t>Enforcement actions could have a material negative effect on our business, operations, financial condition, results of operations or the value of our common stock.</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are unable reduce our classified assets or comply with the Federal Reserve Board resolution or if our regulators otherwise elect to recommend an enforcement action against the bank, then we could become subject to additional, heightened enforcement actions and orders, possibly including cease and desist or consent orders, prompt corrective actions and/or other regulatory enforcement actions. If our regulators were to take such additional enforcement actions, then we could, among other things, become subject to significant restrictions on our ability to develop any new business, as well as restrictions on our existing business, and we could be required to raise additional capital, dispose of certain assets and liabilities within a prescribed period of time, or both. The terms of any such enforcement action could have a material negative effect on our business, operations, financial condition, results of operations or the value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other financial institutions could adversely affect us.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engage in routine transactions, including for example funding transactions, could be adversely affected by the actions and potential failures of other financial institutions. We have exposure to many different industries and counterparties, and we routinely execute transactions with a variety of counterparties in the financial services industry. As a result, defaults by, or even rumors or concerns about, one or more financial institutions with which we do business, or the financial services industry generally, have led to market-wide liquidity problems and could lead to losses or defaults by us or by other institutions. Many of these transactions expose us to credit risk in the event of default of our counterparty or client. In addition, our credit risk may be exacerbated when the collateral we hold cannot be sold at prices that are sufficient for us to recover the full amount of our exposure. Any such losses could materially and adversely affect our financial condition or results of operations.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FDIC has imposed a special assessment on all FDIC-insured institutions, which decreased our earnings in 2009, and future special assessments could adversely affect our earnings in future periods.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2009, the FDIC announced that it had voted to levy a special assessment on insured institutions in order to facilitate the rebuilding of the Deposit Insurance Fund. The assessment is equal to five basis points of our subsidiary bank’s total assets minus Tier 1 capital as of June 30, 2009. This additional charge of $3.8 million increased operating expenses during the second quarter of 2009. The FDIC has indicated that future special assessments are possible, although it has not determined the magnitude or timing of any future assessments. Any such future assessments will decrease our earnings.</w:t>
      </w:r>
    </w:p>
    <w:p>
      <w:pPr>
        <w:spacing w:after="0" w:line="200" w:lineRule="exact"/>
        <w:rPr>
          <w:sz w:val="20"/>
          <w:szCs w:val="20"/>
          <w:color w:val="auto"/>
        </w:rPr>
      </w:pPr>
    </w:p>
    <w:p>
      <w:pPr>
        <w:spacing w:after="0" w:line="220"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unresolved comments from the Securities and Exchange Commission staff regarding United’s periodic or current reports under the Exchange Act.</w:t>
      </w:r>
    </w:p>
    <w:p>
      <w:pPr>
        <w:spacing w:after="0" w:line="200" w:lineRule="exact"/>
        <w:rPr>
          <w:sz w:val="20"/>
          <w:szCs w:val="20"/>
          <w:color w:val="auto"/>
        </w:rPr>
      </w:pPr>
    </w:p>
    <w:p>
      <w:pPr>
        <w:spacing w:after="0" w:line="23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executive offices of United are located at 125 Highway 515 East, Blairsville, Georgia. United owns this property. The Bank conducts business from facilities primarily owned by the Bank, all of which are in a good state of repair and appropriately designed for use as banking facilities. The Bank and Brintech provide services or perform operational functions at 133 locations, of which 110 are owned and 23 are leased under operating leases. Note 7 to United’s Consolidated Financial Statements includes additional information regarding amounts invested in premises and equipment.</w:t>
      </w:r>
    </w:p>
    <w:p>
      <w:pPr>
        <w:spacing w:after="0" w:line="200" w:lineRule="exact"/>
        <w:rPr>
          <w:sz w:val="20"/>
          <w:szCs w:val="20"/>
          <w:color w:val="auto"/>
        </w:rPr>
      </w:pPr>
    </w:p>
    <w:p>
      <w:pPr>
        <w:spacing w:after="0" w:line="23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incidental to its business. In the opinion of management, there is no pending or threatened proceeding in which an adverse decision will result in a material adverse change in the consolidated financial condition or results of operations of United. No material proceedings terminated in the fourth quarter of 2009.</w:t>
      </w:r>
    </w:p>
    <w:p>
      <w:pPr>
        <w:spacing w:after="0" w:line="200" w:lineRule="exact"/>
        <w:rPr>
          <w:sz w:val="20"/>
          <w:szCs w:val="20"/>
          <w:color w:val="auto"/>
        </w:rPr>
      </w:pPr>
    </w:p>
    <w:p>
      <w:pPr>
        <w:spacing w:after="0" w:line="24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the security holders of United during the fourth quarter of 2009.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United’s common stock trades on the Nasdaq Global Select Market under the symbol “UCBI”. The closing price for the period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2009 was $3.39. Below is a schedule of high, low and closing stock prices and average daily volume for all quarters in 2009 and 2008.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Stock Price Information</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Avg Daily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Avg</w:t>
            </w:r>
          </w:p>
        </w:tc>
        <w:tc>
          <w:tcPr>
            <w:tcW w:w="2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Volume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Close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Daily Volume</w:t>
            </w:r>
          </w:p>
        </w:tc>
        <w:tc>
          <w:tcPr>
            <w:tcW w:w="20" w:type="dxa"/>
            <w:vAlign w:val="bottom"/>
          </w:tcPr>
          <w:p>
            <w:pPr>
              <w:spacing w:after="0"/>
              <w:rPr>
                <w:sz w:val="20"/>
                <w:szCs w:val="20"/>
                <w:color w:val="auto"/>
              </w:rPr>
            </w:pP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First quarter</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524,492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441,659</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464,566</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525,369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359,971</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1,041,113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319,534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2010, there were approximately 6,700 record shareholders and 17,500 beneficial shareholders of United’s common stock.</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United declared cash dividends of $.18 and $.36 per common share in 2008 and 2007, respectively. United also declared stock dividends of one</w:t>
      </w:r>
      <w:r>
        <w:rPr>
          <w:rFonts w:ascii="Arial" w:cs="Arial" w:eastAsia="Arial" w:hAnsi="Arial"/>
          <w:sz w:val="16"/>
          <w:szCs w:val="16"/>
          <w:b w:val="1"/>
          <w:bCs w:val="1"/>
          <w:color w:val="auto"/>
        </w:rPr>
        <w:t xml:space="preserve"> </w:t>
      </w:r>
      <w:r>
        <w:rPr>
          <w:rFonts w:ascii="Arial" w:cs="Arial" w:eastAsia="Arial" w:hAnsi="Arial"/>
          <w:sz w:val="16"/>
          <w:szCs w:val="16"/>
          <w:color w:val="auto"/>
        </w:rPr>
        <w:t>new share for every 130 shares owned in the third and fourth quarters of 2008 and in each of the first three quarters of 2009. Federal and state laws and regulations impose restrictions on the ability of United and the Bank to pay dividends. In addition, pursuant to the terms of the Purchase Agreement entered into with Treasury under the CPP, the ability of United to declare or pay dividends or distributions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Treasury has transferred all of the Series B Preferred Stock to third parties. Additional information regarding this item is included in Note 16 to the Consolidated Financial Statements, under the heading of “Supervision and Regulation” in Part I of this report and in “Management’s Discussion and Analysis of Financial Condition and Results of Operations – Capital Resources and Dividends.”</w:t>
      </w:r>
    </w:p>
    <w:p>
      <w:pPr>
        <w:spacing w:after="0" w:line="18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Share Repurchases. </w:t>
      </w:r>
      <w:r>
        <w:rPr>
          <w:rFonts w:ascii="Arial" w:cs="Arial" w:eastAsia="Arial" w:hAnsi="Arial"/>
          <w:sz w:val="17"/>
          <w:szCs w:val="17"/>
          <w:color w:val="auto"/>
        </w:rPr>
        <w:t>United had in place a board approved repurchase authorization for up to 3,000,000 shares of United’s common stock, which expired in</w:t>
      </w:r>
      <w:r>
        <w:rPr>
          <w:rFonts w:ascii="Arial" w:cs="Arial" w:eastAsia="Arial" w:hAnsi="Arial"/>
          <w:sz w:val="17"/>
          <w:szCs w:val="17"/>
          <w:b w:val="1"/>
          <w:bCs w:val="1"/>
          <w:color w:val="auto"/>
        </w:rPr>
        <w:t xml:space="preserve"> </w:t>
      </w:r>
      <w:r>
        <w:rPr>
          <w:rFonts w:ascii="Arial" w:cs="Arial" w:eastAsia="Arial" w:hAnsi="Arial"/>
          <w:sz w:val="17"/>
          <w:szCs w:val="17"/>
          <w:color w:val="auto"/>
        </w:rPr>
        <w:t>2008. During, 2007, 2,000,000 shares had been purchased under the authorization. No additional shares were purchased in 2008.</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Amended 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During 2008 and 2007, optionees delivered 33,759 and 1,755 shares, respectively, to exercise stock options. No shares were delivered to exercise stock options in 2009.</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Sales of Unregistered Securities. </w:t>
      </w:r>
      <w:r>
        <w:rPr>
          <w:rFonts w:ascii="Arial" w:cs="Arial" w:eastAsia="Arial" w:hAnsi="Arial"/>
          <w:sz w:val="17"/>
          <w:szCs w:val="17"/>
          <w:color w:val="auto"/>
        </w:rPr>
        <w:t>On October 31, 2008, United formed United Community Statutory Trust II and United Community Statutory Trust III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issuing Trust Preferred Securities in private placement offerings. United Community Statutory Trust II issued $11,767,000 of 9% fixed rate Trust Preferred Securities and United Community Statutory Trust II issued $1.2 million of variable rate Trust Preferred Securities that pay interest at a rate of prime plus 3%. The Trust Preferred Securities issued by both trusts mature on October 31, 2038 and are callable at par anytime after October 31, 2013. The Trust Preferred Securities were issued with warrants that make them convertible into United Community Banks, Inc.’s common stock at the conversion price of $20 per share. The warrants may be exercised anytime prior to October 31, 2013, on which date the unexercised warrants expire. The Trust Preferred Securities qualify as Tier I Capital under applicable Risk-Based Capital guidelines.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5, 2008, United participated in Treasury’s CPP by issuing 180,000 shares of Series B Preferred Stock and the Warrant to purchase 2,132,701 shares (1,099,542 shares, as adjusted for subsequent stock dividends and a 50% reduction following United’s recent stock offering) of United Community Banks, Inc.’s common stock at a price of $12.66 per share ($12.28 per share, as adjusted for subsequent stock dividends) for an aggregate purchase price of $180 million. The Series B Preferred Stock qualifies as Tier I capital under risk-based capital guidelines and will pay cumulative dividends at a rate of 5% per annum for the first five years and 9% per annum thereafter. The Series B Preferred Stock may be redeemed at the stated amount of $1,000 per share plus any accrued and unpaid dividends without penalty and without the need to raise new capital, subject to Treasury’s consultation with the recipient’s appropriate regulatory agency. The Series B Preferred Stock is non-voting except for class voting rights on matters that would adversely affect the rights of the holders of the Series B Preferred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2004 and ending on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140335</wp:posOffset>
            </wp:positionV>
            <wp:extent cx="6071870" cy="4639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Cumulative Total Returns *</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United Community Banks, Inc.</w:t>
            </w:r>
          </w:p>
        </w:tc>
        <w:tc>
          <w:tcPr>
            <w:tcW w:w="660" w:type="dxa"/>
            <w:vAlign w:val="bottom"/>
          </w:tcPr>
          <w:p>
            <w:pPr>
              <w:jc w:val="right"/>
              <w:ind w:right="470"/>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w w:val="86"/>
              </w:rPr>
              <w:t>100</w:t>
            </w:r>
          </w:p>
        </w:tc>
        <w:tc>
          <w:tcPr>
            <w:tcW w:w="360" w:type="dxa"/>
            <w:vAlign w:val="bottom"/>
          </w:tcPr>
          <w:p>
            <w:pPr>
              <w:spacing w:after="0"/>
              <w:rPr>
                <w:sz w:val="17"/>
                <w:szCs w:val="17"/>
                <w:color w:val="auto"/>
              </w:rPr>
            </w:pPr>
          </w:p>
        </w:tc>
        <w:tc>
          <w:tcPr>
            <w:tcW w:w="640" w:type="dxa"/>
            <w:vAlign w:val="bottom"/>
          </w:tcPr>
          <w:p>
            <w:pPr>
              <w:jc w:val="right"/>
              <w:ind w:right="47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w w:val="86"/>
              </w:rPr>
              <w:t>100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123</w:t>
            </w:r>
          </w:p>
        </w:tc>
        <w:tc>
          <w:tcPr>
            <w:tcW w:w="3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66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100</w:t>
            </w:r>
          </w:p>
        </w:tc>
        <w:tc>
          <w:tcPr>
            <w:tcW w:w="6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Nasdaq Bank Index</w:t>
            </w:r>
          </w:p>
        </w:tc>
        <w:tc>
          <w:tcPr>
            <w:tcW w:w="660" w:type="dxa"/>
            <w:vAlign w:val="bottom"/>
          </w:tcPr>
          <w:p>
            <w:pPr>
              <w:spacing w:after="0"/>
              <w:rPr>
                <w:sz w:val="20"/>
                <w:szCs w:val="20"/>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100</w:t>
            </w:r>
          </w:p>
        </w:tc>
        <w:tc>
          <w:tcPr>
            <w:tcW w:w="6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ind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Assumes $100 invested on December 31, 2004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SELECTED FINANCIAL DATA.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Ended December 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 thousands, except per share data;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taxable equivalent)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20" w:type="dxa"/>
            <w:vAlign w:val="bottom"/>
            <w:gridSpan w:val="2"/>
          </w:tcPr>
          <w:p>
            <w:pPr>
              <w:ind w:left="100"/>
              <w:spacing w:after="0" w:line="201" w:lineRule="exact"/>
              <w:rPr>
                <w:sz w:val="20"/>
                <w:szCs w:val="20"/>
                <w:color w:val="auto"/>
              </w:rPr>
            </w:pPr>
            <w:r>
              <w:rPr>
                <w:rFonts w:ascii="Arial" w:cs="Arial" w:eastAsia="Arial" w:hAnsi="Arial"/>
                <w:sz w:val="18"/>
                <w:szCs w:val="18"/>
                <w:b w:val="1"/>
                <w:bCs w:val="1"/>
                <w:color w:val="auto"/>
              </w:rPr>
              <w:t>INCOME SUMMARY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Net interest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245,227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238,704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274,483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237,880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196,799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Provision for loan losses </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310,000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Operating fee revenue </w:t>
            </w:r>
            <w:r>
              <w:rPr>
                <w:rFonts w:ascii="Arial" w:cs="Arial" w:eastAsia="Arial" w:hAnsi="Arial"/>
                <w:sz w:val="25"/>
                <w:szCs w:val="25"/>
                <w:color w:val="auto"/>
                <w:vertAlign w:val="superscript"/>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58,788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62,651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46,148</w:t>
            </w:r>
          </w:p>
        </w:tc>
        <w:tc>
          <w:tcPr>
            <w:tcW w:w="0" w:type="dxa"/>
            <w:vAlign w:val="bottom"/>
          </w:tcPr>
          <w:p>
            <w:pPr>
              <w:spacing w:after="0"/>
              <w:rPr>
                <w:sz w:val="1"/>
                <w:szCs w:val="1"/>
                <w:color w:val="auto"/>
              </w:rPr>
            </w:pPr>
          </w:p>
        </w:tc>
      </w:tr>
      <w:tr>
        <w:trPr>
          <w:trHeight w:val="202"/>
        </w:trPr>
        <w:tc>
          <w:tcPr>
            <w:tcW w:w="4820" w:type="dxa"/>
            <w:vAlign w:val="bottom"/>
            <w:gridSpan w:val="2"/>
          </w:tcPr>
          <w:p>
            <w:pPr>
              <w:ind w:left="140"/>
              <w:spacing w:after="0" w:line="202" w:lineRule="exact"/>
              <w:rPr>
                <w:sz w:val="20"/>
                <w:szCs w:val="20"/>
                <w:color w:val="auto"/>
              </w:rPr>
            </w:pPr>
            <w:r>
              <w:rPr>
                <w:rFonts w:ascii="Arial" w:cs="Arial" w:eastAsia="Arial" w:hAnsi="Arial"/>
                <w:sz w:val="17"/>
                <w:szCs w:val="17"/>
                <w:b w:val="1"/>
                <w:bCs w:val="1"/>
                <w:color w:val="auto"/>
              </w:rPr>
              <w:t xml:space="preserve">Total operating revenue </w:t>
            </w:r>
            <w:r>
              <w:rPr>
                <w:rFonts w:ascii="Arial" w:cs="Arial" w:eastAsia="Arial" w:hAnsi="Arial"/>
                <w:sz w:val="23"/>
                <w:szCs w:val="23"/>
                <w:color w:val="auto"/>
                <w:vertAlign w:val="superscript"/>
              </w:rPr>
              <w:t>(1)(2)</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(5,985)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107,845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299,534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272,375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230,847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60"/>
              <w:spacing w:after="0" w:line="230"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224,055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206,699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190,061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162,070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140,808</w:t>
            </w:r>
          </w:p>
        </w:tc>
        <w:tc>
          <w:tcPr>
            <w:tcW w:w="0" w:type="dxa"/>
            <w:vAlign w:val="bottom"/>
          </w:tcPr>
          <w:p>
            <w:pPr>
              <w:spacing w:after="0"/>
              <w:rPr>
                <w:sz w:val="1"/>
                <w:szCs w:val="1"/>
                <w:color w:val="auto"/>
              </w:rPr>
            </w:pPr>
          </w:p>
        </w:tc>
      </w:tr>
      <w:tr>
        <w:trPr>
          <w:trHeight w:val="202"/>
        </w:trPr>
        <w:tc>
          <w:tcPr>
            <w:tcW w:w="48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Operating (loss) income before taxes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8"/>
              </w:rPr>
              <w:t>(230,040)</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(98,854)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109,473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110,305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 taxes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(91,448)</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40,482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02"/>
        </w:trPr>
        <w:tc>
          <w:tcPr>
            <w:tcW w:w="4820" w:type="dxa"/>
            <w:vAlign w:val="bottom"/>
            <w:gridSpan w:val="2"/>
          </w:tcPr>
          <w:p>
            <w:pPr>
              <w:ind w:left="140"/>
              <w:spacing w:after="0" w:line="201" w:lineRule="exact"/>
              <w:rPr>
                <w:sz w:val="20"/>
                <w:szCs w:val="20"/>
                <w:color w:val="auto"/>
              </w:rPr>
            </w:pPr>
            <w:r>
              <w:rPr>
                <w:rFonts w:ascii="Arial" w:cs="Arial" w:eastAsia="Arial" w:hAnsi="Arial"/>
                <w:sz w:val="18"/>
                <w:szCs w:val="18"/>
                <w:b w:val="1"/>
                <w:bCs w:val="1"/>
                <w:color w:val="auto"/>
              </w:rPr>
              <w:t>Net operating (loss) income</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4"/>
          </w:tcPr>
          <w:p>
            <w:pPr>
              <w:jc w:val="right"/>
              <w:ind w:right="60"/>
              <w:spacing w:after="0" w:line="201" w:lineRule="exact"/>
              <w:rPr>
                <w:sz w:val="20"/>
                <w:szCs w:val="20"/>
                <w:color w:val="auto"/>
              </w:rPr>
            </w:pPr>
            <w:r>
              <w:rPr>
                <w:rFonts w:ascii="Arial" w:cs="Arial" w:eastAsia="Arial" w:hAnsi="Arial"/>
                <w:sz w:val="18"/>
                <w:szCs w:val="18"/>
                <w:color w:val="auto"/>
                <w:w w:val="98"/>
              </w:rPr>
              <w:t>(138,592)</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68,991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56,742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Gain from acquisition, net of tax</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Severance cost, net of tax benefit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Fraud loss provision, net of tax benefit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(10,998)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gridSpan w:val="2"/>
          </w:tcPr>
          <w:p>
            <w:pPr>
              <w:ind w:left="140"/>
              <w:spacing w:after="0" w:line="201" w:lineRule="exact"/>
              <w:rPr>
                <w:sz w:val="20"/>
                <w:szCs w:val="20"/>
                <w:color w:val="auto"/>
              </w:rPr>
            </w:pPr>
            <w:r>
              <w:rPr>
                <w:rFonts w:ascii="Arial" w:cs="Arial" w:eastAsia="Arial" w:hAnsi="Arial"/>
                <w:sz w:val="18"/>
                <w:szCs w:val="18"/>
                <w:b w:val="1"/>
                <w:bCs w:val="1"/>
                <w:color w:val="auto"/>
              </w:rPr>
              <w:t>Net (loss) income</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(228,327)</w:t>
            </w:r>
          </w:p>
        </w:tc>
        <w:tc>
          <w:tcPr>
            <w:tcW w:w="2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57,993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56,742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Preferred dividends and discount accretion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10,242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(238,569</w:t>
            </w:r>
          </w:p>
        </w:tc>
        <w:tc>
          <w:tcPr>
            <w:tcW w:w="440" w:type="dxa"/>
            <w:vAlign w:val="bottom"/>
            <w:gridSpan w:val="3"/>
          </w:tcPr>
          <w:p>
            <w:pPr>
              <w:jc w:val="right"/>
              <w:ind w:right="40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PERFORMANCE MEASURES</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Per common 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Diluted operating (loss) earnings </w:t>
            </w:r>
            <w:r>
              <w:rPr>
                <w:rFonts w:ascii="Arial" w:cs="Arial" w:eastAsia="Arial" w:hAnsi="Arial"/>
                <w:sz w:val="25"/>
                <w:szCs w:val="25"/>
                <w:color w:val="auto"/>
                <w:vertAlign w:val="superscript"/>
              </w:rPr>
              <w:t>(1)(2)(3)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(2.47)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Diluted (loss) earnings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dividends declared (rounded)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Stock dividends declared </w:t>
            </w:r>
            <w:r>
              <w:rPr>
                <w:rFonts w:ascii="Arial" w:cs="Arial" w:eastAsia="Arial" w:hAnsi="Arial"/>
                <w:sz w:val="25"/>
                <w:szCs w:val="25"/>
                <w:color w:val="auto"/>
                <w:vertAlign w:val="superscript"/>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60"/>
              <w:spacing w:after="0"/>
              <w:rPr>
                <w:sz w:val="20"/>
                <w:szCs w:val="20"/>
                <w:color w:val="auto"/>
              </w:rPr>
            </w:pPr>
            <w:r>
              <w:rPr>
                <w:rFonts w:ascii="Arial" w:cs="Arial" w:eastAsia="Arial" w:hAnsi="Arial"/>
                <w:sz w:val="18"/>
                <w:szCs w:val="18"/>
                <w:color w:val="auto"/>
              </w:rPr>
              <w:t>3 for 130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 for 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w w:val="96"/>
              </w:rPr>
              <w:t>Book value</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3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319"/>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Key performance ratios: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(34.40) %</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Return on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Net interest margin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Operating efficiency ratio </w:t>
            </w:r>
            <w:r>
              <w:rPr>
                <w:rFonts w:ascii="Arial" w:cs="Arial" w:eastAsia="Arial" w:hAnsi="Arial"/>
                <w:sz w:val="25"/>
                <w:szCs w:val="25"/>
                <w:color w:val="auto"/>
                <w:vertAlign w:val="superscript"/>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Equity to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Tangible common equity to assets </w:t>
            </w:r>
            <w:r>
              <w:rPr>
                <w:rFonts w:ascii="Arial" w:cs="Arial" w:eastAsia="Arial" w:hAnsi="Arial"/>
                <w:sz w:val="25"/>
                <w:szCs w:val="25"/>
                <w:color w:val="auto"/>
                <w:vertAlign w:val="superscript"/>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3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25"/>
                <w:szCs w:val="25"/>
                <w:color w:val="auto"/>
                <w:vertAlign w:val="superscript"/>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ASSET QUALITY *</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Non-performing loans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264,092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190,723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28,219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12,458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Foreclosed properties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120,770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59,768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2"/>
        </w:trPr>
        <w:tc>
          <w:tcPr>
            <w:tcW w:w="48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Total non-performing assets (NPAs)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384,862</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250,491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46,258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13,654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12,995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155,602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122,271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89,423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53,595</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line="216" w:lineRule="exact"/>
              <w:rPr>
                <w:sz w:val="20"/>
                <w:szCs w:val="20"/>
                <w:color w:val="auto"/>
              </w:rPr>
            </w:pPr>
            <w:r>
              <w:rPr>
                <w:rFonts w:ascii="Arial" w:cs="Arial" w:eastAsia="Arial" w:hAnsi="Arial"/>
                <w:sz w:val="18"/>
                <w:szCs w:val="18"/>
                <w:color w:val="auto"/>
              </w:rPr>
              <w:t xml:space="preserve">Operating net charge-offs </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276,669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151,152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Allowance for loan losses to loans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32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line="216" w:lineRule="exact"/>
              <w:rPr>
                <w:sz w:val="20"/>
                <w:szCs w:val="20"/>
                <w:color w:val="auto"/>
              </w:rPr>
            </w:pPr>
            <w:r>
              <w:rPr>
                <w:rFonts w:ascii="Arial" w:cs="Arial" w:eastAsia="Arial" w:hAnsi="Arial"/>
                <w:sz w:val="18"/>
                <w:szCs w:val="18"/>
                <w:color w:val="auto"/>
              </w:rPr>
              <w:t xml:space="preserve">Operating net charge-offs to average loans </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NPAs to loans and foreclosed properties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NPAs to total 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AVERAGE BALANCES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rPr>
              <w:t>Loans</w:t>
            </w:r>
          </w:p>
        </w:tc>
        <w:tc>
          <w:tcPr>
            <w:tcW w:w="37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5,547,915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5,890,889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5,734,608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4,800,981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4,061,091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1,656,492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1,489,036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1,277,935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1,041,897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989,201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Earning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7,464,639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7,504,186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7,070,900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5,877,483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5,109,053</w:t>
            </w: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w w:val="92"/>
              </w:rPr>
              <w:t>Total assets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8,269,387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8,319,201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7,730,530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6,287,148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5,472,200</w:t>
            </w: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6,712,605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6,524,457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6,028,625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5,017,435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4,003,084</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919,631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850,426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742,771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506,946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417,309</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Common shares - 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60,374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40,413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38,477</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Common shares - 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60,374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47,369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41,575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39,721</w:t>
            </w:r>
          </w:p>
        </w:tc>
        <w:tc>
          <w:tcPr>
            <w:tcW w:w="0" w:type="dxa"/>
            <w:vAlign w:val="bottom"/>
          </w:tcPr>
          <w:p>
            <w:pPr>
              <w:spacing w:after="0"/>
              <w:rPr>
                <w:sz w:val="1"/>
                <w:szCs w:val="1"/>
                <w:color w:val="auto"/>
              </w:rPr>
            </w:pPr>
          </w:p>
        </w:tc>
      </w:tr>
      <w:tr>
        <w:trPr>
          <w:trHeight w:val="41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AT YEAR END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rPr>
              <w:t>Loans *</w:t>
            </w:r>
          </w:p>
        </w:tc>
        <w:tc>
          <w:tcPr>
            <w:tcW w:w="37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5,151,476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5,704,861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5,929,263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5,376,538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4,398,286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1,530,047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1,617,187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1,356,846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1,107,153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990,687</w:t>
            </w: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w w:val="92"/>
              </w:rPr>
              <w:t>Total assets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7,999,914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8,591,933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8,207,302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7,101,249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5,865,756</w:t>
            </w:r>
          </w:p>
        </w:tc>
        <w:tc>
          <w:tcPr>
            <w:tcW w:w="0" w:type="dxa"/>
            <w:vAlign w:val="bottom"/>
          </w:tcPr>
          <w:p>
            <w:pPr>
              <w:spacing w:after="0"/>
              <w:rPr>
                <w:sz w:val="1"/>
                <w:szCs w:val="1"/>
                <w:color w:val="auto"/>
              </w:rPr>
            </w:pPr>
          </w:p>
        </w:tc>
      </w:tr>
      <w:tr>
        <w:trPr>
          <w:trHeight w:val="216"/>
        </w:trPr>
        <w:tc>
          <w:tcPr>
            <w:tcW w:w="10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6,627,834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7,003,624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6,075,951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5,772,886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4,477,600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962,321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989,382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831,902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616,767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472,686</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Common shares outstanding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94,046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46,903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42,891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40,020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Excludes pre-tax provision for fraud-related loan losses and related charge-offs of $18 million, net of income tax benefit of $7 million in</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2007. (2) Excludes the gain from acquisition of $11.4 million, net of income tax expense of $4.3 million in 2009. (3) Excludes the goodwill impairment charge of $95 million and severance costs of $2.9 million, net of income tax benefit of $1.1 million in 2009. (4) Net (loss) income available to common</w:t>
      </w:r>
    </w:p>
    <w:p>
      <w:pPr>
        <w:sectPr>
          <w:pgSz w:w="11900" w:h="16866" w:orient="portrait"/>
          <w:cols w:equalWidth="0" w:num="1">
            <w:col w:w="11420"/>
          </w:cols>
          <w:pgMar w:left="240" w:top="513" w:right="239" w:bottom="0" w:gutter="0" w:footer="0" w:header="0"/>
        </w:sectPr>
      </w:pPr>
    </w:p>
    <w:bookmarkStart w:id="21" w:name="page22"/>
    <w:bookmarkEnd w:id="21"/>
    <w:p>
      <w:pPr>
        <w:spacing w:after="0" w:line="342" w:lineRule="auto"/>
        <w:rPr>
          <w:sz w:val="20"/>
          <w:szCs w:val="20"/>
          <w:color w:val="auto"/>
        </w:rPr>
      </w:pPr>
      <w:r>
        <w:rPr>
          <w:rFonts w:ascii="Arial" w:cs="Arial" w:eastAsia="Arial" w:hAnsi="Arial"/>
          <w:sz w:val="16"/>
          <w:szCs w:val="16"/>
          <w:color w:val="auto"/>
        </w:rPr>
        <w:t>shareholders, which is net of preferred stock dividends, divided by average realized common equity, which excludes accumulated other comprehensive income (loss). (5) Excludes effect of acquisition related intangibles and associated amortization. (6) Number of new shares issued for shares currently held.</w:t>
      </w:r>
    </w:p>
    <w:p>
      <w:pPr>
        <w:spacing w:after="0" w:line="124" w:lineRule="exact"/>
        <w:rPr>
          <w:sz w:val="20"/>
          <w:szCs w:val="20"/>
          <w:color w:val="auto"/>
        </w:rPr>
      </w:pPr>
    </w:p>
    <w:p>
      <w:pPr>
        <w:ind w:left="5620" w:right="4500" w:hanging="5612"/>
        <w:spacing w:after="0" w:line="731" w:lineRule="auto"/>
        <w:tabs>
          <w:tab w:leader="none" w:pos="18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2"/>
              </w:rPr>
              <w:t>(in thousands, except per</w:t>
            </w:r>
          </w:p>
        </w:tc>
        <w:tc>
          <w:tcPr>
            <w:tcW w:w="100" w:type="dxa"/>
            <w:vAlign w:val="bottom"/>
          </w:tcPr>
          <w:p>
            <w:pPr>
              <w:spacing w:after="0"/>
              <w:rPr>
                <w:sz w:val="17"/>
                <w:szCs w:val="17"/>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Fourth</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7"/>
                <w:szCs w:val="17"/>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89"/>
              </w:rPr>
              <w:t>Second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First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Fourth</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Third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89"/>
              </w:rPr>
              <w:t>Second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First</w:t>
            </w:r>
          </w:p>
        </w:tc>
        <w:tc>
          <w:tcPr>
            <w:tcW w:w="0" w:type="dxa"/>
            <w:vAlign w:val="bottom"/>
          </w:tcPr>
          <w:p>
            <w:pPr>
              <w:spacing w:after="0"/>
              <w:rPr>
                <w:sz w:val="1"/>
                <w:szCs w:val="1"/>
                <w:color w:val="auto"/>
              </w:rPr>
            </w:pPr>
          </w:p>
        </w:tc>
      </w:tr>
      <w:tr>
        <w:trPr>
          <w:trHeight w:val="212"/>
        </w:trPr>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share</w:t>
            </w:r>
          </w:p>
        </w:tc>
        <w:tc>
          <w:tcPr>
            <w:tcW w:w="1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gridSpan w:val="2"/>
          </w:tcPr>
          <w:p>
            <w:pPr>
              <w:spacing w:after="0"/>
              <w:rPr>
                <w:sz w:val="20"/>
                <w:szCs w:val="20"/>
                <w:color w:val="auto"/>
              </w:rPr>
            </w:pPr>
            <w:r>
              <w:rPr>
                <w:rFonts w:ascii="Arial" w:cs="Arial" w:eastAsia="Arial" w:hAnsi="Arial"/>
                <w:sz w:val="18"/>
                <w:szCs w:val="18"/>
                <w:i w:val="1"/>
                <w:iCs w:val="1"/>
                <w:color w:val="auto"/>
                <w:w w:val="95"/>
              </w:rPr>
              <w:t>data; taxable equivalent)</w:t>
            </w:r>
          </w:p>
        </w:tc>
        <w:tc>
          <w:tcPr>
            <w:tcW w:w="10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8"/>
              </w:rPr>
              <w:t>Quarter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Quarter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Quarter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02"/>
        </w:trPr>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97,481</w:t>
            </w:r>
          </w:p>
        </w:tc>
        <w:tc>
          <w:tcPr>
            <w:tcW w:w="2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101,181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102,737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103,562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108,434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112,510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116,984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129,041</w:t>
            </w: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33,552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38,177</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41,855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46,150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56,561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53,719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62,754</w:t>
            </w:r>
          </w:p>
        </w:tc>
        <w:tc>
          <w:tcPr>
            <w:tcW w:w="0" w:type="dxa"/>
            <w:vAlign w:val="bottom"/>
          </w:tcPr>
          <w:p>
            <w:pPr>
              <w:spacing w:after="0"/>
              <w:rPr>
                <w:sz w:val="1"/>
                <w:szCs w:val="1"/>
                <w:color w:val="auto"/>
              </w:rPr>
            </w:pPr>
          </w:p>
        </w:tc>
      </w:tr>
      <w:tr>
        <w:trPr>
          <w:trHeight w:val="202"/>
        </w:trPr>
        <w:tc>
          <w:tcPr>
            <w:tcW w:w="19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interest revenue</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63,929</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63,004</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60,882</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57,412</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51,873</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58,791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61,753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66,287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w w:val="96"/>
              </w:rPr>
              <w:t>Provision for loan losses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76,000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line="230" w:lineRule="exact"/>
              <w:rPr>
                <w:sz w:val="20"/>
                <w:szCs w:val="20"/>
                <w:color w:val="auto"/>
              </w:rPr>
            </w:pPr>
            <w:r>
              <w:rPr>
                <w:rFonts w:ascii="Arial" w:cs="Arial" w:eastAsia="Arial" w:hAnsi="Arial"/>
                <w:sz w:val="18"/>
                <w:szCs w:val="18"/>
                <w:color w:val="auto"/>
                <w:w w:val="91"/>
              </w:rPr>
              <w:t xml:space="preserve">Operating fee revenue </w:t>
            </w:r>
            <w:r>
              <w:rPr>
                <w:rFonts w:ascii="Arial" w:cs="Arial" w:eastAsia="Arial" w:hAnsi="Arial"/>
                <w:sz w:val="25"/>
                <w:szCs w:val="25"/>
                <w:color w:val="auto"/>
                <w:w w:val="91"/>
                <w:vertAlign w:val="superscript"/>
              </w:rPr>
              <w:t>(1)</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17,221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15,671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13,050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12,846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10,718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13,121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15,105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198"/>
        </w:trPr>
        <w:tc>
          <w:tcPr>
            <w:tcW w:w="190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Total operating</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gridSpan w:val="2"/>
          </w:tcPr>
          <w:p>
            <w:pPr>
              <w:spacing w:after="0" w:line="220" w:lineRule="exact"/>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(8,850)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(16,325)</w:t>
            </w: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13,932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(22,409)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61,358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72,984</w:t>
            </w: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(2)</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62,532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53,606</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55,348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52,569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52,439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56,970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49,761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47,529</w:t>
            </w:r>
          </w:p>
        </w:tc>
        <w:tc>
          <w:tcPr>
            <w:tcW w:w="0" w:type="dxa"/>
            <w:vAlign w:val="bottom"/>
          </w:tcPr>
          <w:p>
            <w:pPr>
              <w:spacing w:after="0"/>
              <w:rPr>
                <w:sz w:val="1"/>
                <w:szCs w:val="1"/>
                <w:color w:val="auto"/>
              </w:rPr>
            </w:pPr>
          </w:p>
        </w:tc>
      </w:tr>
      <w:tr>
        <w:trPr>
          <w:trHeight w:val="202"/>
        </w:trPr>
        <w:tc>
          <w:tcPr>
            <w:tcW w:w="19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Operating loss before</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(71,382)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(69,931)</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(41,416)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(47,311)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(74,848)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(61,058)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25,455</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Operating income tax</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(benefit) expense</w:t>
            </w: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(31,547)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(26,213)</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(18,353)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(15,335)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(28,101)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(21,184)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198"/>
        </w:trPr>
        <w:tc>
          <w:tcPr>
            <w:tcW w:w="190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Net operating (loss)</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gridSpan w:val="2"/>
          </w:tcPr>
          <w:p>
            <w:pPr>
              <w:ind w:left="340"/>
              <w:spacing w:after="0" w:line="220" w:lineRule="exact"/>
              <w:rPr>
                <w:sz w:val="20"/>
                <w:szCs w:val="20"/>
                <w:color w:val="auto"/>
              </w:rPr>
            </w:pPr>
            <w:r>
              <w:rPr>
                <w:rFonts w:ascii="Arial" w:cs="Arial" w:eastAsia="Arial" w:hAnsi="Arial"/>
                <w:sz w:val="18"/>
                <w:szCs w:val="18"/>
                <w:b w:val="1"/>
                <w:bCs w:val="1"/>
                <w:color w:val="auto"/>
              </w:rPr>
              <w:t xml:space="preserve">income </w:t>
            </w:r>
            <w:r>
              <w:rPr>
                <w:rFonts w:ascii="Arial" w:cs="Arial" w:eastAsia="Arial" w:hAnsi="Arial"/>
                <w:sz w:val="25"/>
                <w:szCs w:val="25"/>
                <w:color w:val="auto"/>
                <w:vertAlign w:val="superscript"/>
              </w:rPr>
              <w:t>(1)(2)</w:t>
            </w: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(39,835)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(43,718)</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(23,063)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(31,976)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(46,747)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(39,874)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net of tax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Noncash goodwill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w w:val="99"/>
              </w:rPr>
              <w:t>Severance costs, net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00" w:type="dxa"/>
            <w:vAlign w:val="bottom"/>
            <w:gridSpan w:val="2"/>
          </w:tcPr>
          <w:p>
            <w:pPr>
              <w:ind w:left="180"/>
              <w:spacing w:after="0" w:line="201" w:lineRule="exact"/>
              <w:rPr>
                <w:sz w:val="20"/>
                <w:szCs w:val="20"/>
                <w:color w:val="auto"/>
              </w:rPr>
            </w:pPr>
            <w:r>
              <w:rPr>
                <w:rFonts w:ascii="Arial" w:cs="Arial" w:eastAsia="Arial" w:hAnsi="Arial"/>
                <w:sz w:val="18"/>
                <w:szCs w:val="18"/>
                <w:b w:val="1"/>
                <w:bCs w:val="1"/>
                <w:color w:val="auto"/>
              </w:rPr>
              <w:t>Net (loss) income</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(39,835)</w:t>
            </w:r>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(68,718)</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(16,001)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(103,773)</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(46,747)</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(39,874)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7,093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w w:val="98"/>
              </w:rPr>
              <w:t>Preferred dividends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discount accretion</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2,554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8"/>
        </w:trPr>
        <w:tc>
          <w:tcPr>
            <w:tcW w:w="1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(loss) income</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available to</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(42,402)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(71,280)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(18,560)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(106,327)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(47,459)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(39,878)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16,074</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MEASURES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00"/>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Diluted operating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(loss) income </w:t>
            </w:r>
            <w:r>
              <w:rPr>
                <w:rFonts w:ascii="Arial" w:cs="Arial" w:eastAsia="Arial" w:hAnsi="Arial"/>
                <w:sz w:val="25"/>
                <w:szCs w:val="25"/>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Diluted (loss) income</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declared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Stock dividends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declared </w:t>
            </w:r>
            <w:r>
              <w:rPr>
                <w:rFonts w:ascii="Arial" w:cs="Arial" w:eastAsia="Arial" w:hAnsi="Arial"/>
                <w:sz w:val="25"/>
                <w:szCs w:val="25"/>
                <w:color w:val="auto"/>
                <w:vertAlign w:val="superscript"/>
              </w:rPr>
              <w:t>(6)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 for 130</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 for 130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 for 130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 for 130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 for 130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Tangible book value</w:t>
            </w:r>
          </w:p>
        </w:tc>
        <w:tc>
          <w:tcPr>
            <w:tcW w:w="10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1900" w:type="dxa"/>
            <w:vAlign w:val="bottom"/>
            <w:gridSpan w:val="2"/>
          </w:tcPr>
          <w:p>
            <w:pPr>
              <w:ind w:left="100"/>
              <w:spacing w:after="0"/>
              <w:rPr>
                <w:sz w:val="20"/>
                <w:szCs w:val="20"/>
                <w:color w:val="auto"/>
              </w:rPr>
            </w:pPr>
            <w:r>
              <w:rPr>
                <w:rFonts w:ascii="Arial" w:cs="Arial" w:eastAsia="Arial" w:hAnsi="Arial"/>
                <w:sz w:val="18"/>
                <w:szCs w:val="18"/>
                <w:color w:val="auto"/>
              </w:rPr>
              <w:t>Key performance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ratios: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line="216" w:lineRule="exact"/>
              <w:rPr>
                <w:sz w:val="20"/>
                <w:szCs w:val="20"/>
                <w:color w:val="auto"/>
              </w:rPr>
            </w:pPr>
            <w:r>
              <w:rPr>
                <w:rFonts w:ascii="Arial" w:cs="Arial" w:eastAsia="Arial" w:hAnsi="Arial"/>
                <w:sz w:val="18"/>
                <w:szCs w:val="18"/>
                <w:color w:val="auto"/>
                <w:w w:val="95"/>
              </w:rPr>
              <w:t xml:space="preserve">Return on equity </w:t>
            </w:r>
            <w:r>
              <w:rPr>
                <w:rFonts w:ascii="Arial" w:cs="Arial" w:eastAsia="Arial" w:hAnsi="Arial"/>
                <w:sz w:val="25"/>
                <w:szCs w:val="25"/>
                <w:color w:val="auto"/>
                <w:w w:val="95"/>
                <w:vertAlign w:val="superscript"/>
              </w:rPr>
              <w:t>(3)(5)</w:t>
            </w: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(22.08)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(45.52) %</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(11.42)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(58.28)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(23.83)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(19.07)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(5)</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line="216" w:lineRule="exact"/>
              <w:rPr>
                <w:sz w:val="20"/>
                <w:szCs w:val="20"/>
                <w:color w:val="auto"/>
              </w:rPr>
            </w:pPr>
            <w:r>
              <w:rPr>
                <w:rFonts w:ascii="Arial" w:cs="Arial" w:eastAsia="Arial" w:hAnsi="Arial"/>
                <w:sz w:val="18"/>
                <w:szCs w:val="18"/>
                <w:color w:val="auto"/>
                <w:w w:val="95"/>
              </w:rPr>
              <w:t xml:space="preserve">Net interest margin </w:t>
            </w:r>
            <w:r>
              <w:rPr>
                <w:rFonts w:ascii="Arial" w:cs="Arial" w:eastAsia="Arial" w:hAnsi="Arial"/>
                <w:sz w:val="25"/>
                <w:szCs w:val="25"/>
                <w:color w:val="auto"/>
                <w:w w:val="95"/>
                <w:vertAlign w:val="superscript"/>
              </w:rPr>
              <w:t>(5)</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Operating efficiency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line="216" w:lineRule="exact"/>
              <w:rPr>
                <w:sz w:val="20"/>
                <w:szCs w:val="20"/>
                <w:color w:val="auto"/>
              </w:rPr>
            </w:pPr>
            <w:r>
              <w:rPr>
                <w:rFonts w:ascii="Arial" w:cs="Arial" w:eastAsia="Arial" w:hAnsi="Arial"/>
                <w:sz w:val="25"/>
                <w:szCs w:val="25"/>
                <w:color w:val="auto"/>
                <w:vertAlign w:val="subscript"/>
              </w:rPr>
              <w:t>ratio</w:t>
            </w:r>
            <w:r>
              <w:rPr>
                <w:rFonts w:ascii="Arial" w:cs="Arial" w:eastAsia="Arial" w:hAnsi="Arial"/>
                <w:sz w:val="11"/>
                <w:szCs w:val="11"/>
                <w:color w:val="auto"/>
              </w:rPr>
              <w:t xml:space="preserve"> (1)(2)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69.15</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81.34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79.35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Tangible equity to</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5"/>
                <w:szCs w:val="25"/>
                <w:color w:val="auto"/>
                <w:vertAlign w:val="superscript"/>
              </w:rPr>
              <w:t>(4)</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Tangible common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equity to assets </w:t>
            </w:r>
            <w:r>
              <w:rPr>
                <w:rFonts w:ascii="Arial" w:cs="Arial" w:eastAsia="Arial" w:hAnsi="Arial"/>
                <w:sz w:val="25"/>
                <w:szCs w:val="25"/>
                <w:color w:val="auto"/>
                <w:vertAlign w:val="superscript"/>
              </w:rPr>
              <w:t>(4)</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Tangible common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equity to</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80"/>
              <w:spacing w:after="0"/>
              <w:rPr>
                <w:sz w:val="20"/>
                <w:szCs w:val="20"/>
                <w:color w:val="auto"/>
              </w:rPr>
            </w:pPr>
            <w:r>
              <w:rPr>
                <w:rFonts w:ascii="Arial" w:cs="Arial" w:eastAsia="Arial" w:hAnsi="Arial"/>
                <w:sz w:val="18"/>
                <w:szCs w:val="18"/>
                <w:color w:val="auto"/>
                <w:w w:val="98"/>
              </w:rPr>
              <w:t>risk-weighted assets</w:t>
            </w: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ASSET QUALITY *</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00"/>
              <w:spacing w:after="0"/>
              <w:rPr>
                <w:sz w:val="20"/>
                <w:szCs w:val="20"/>
                <w:color w:val="auto"/>
              </w:rPr>
            </w:pPr>
            <w:r>
              <w:rPr>
                <w:rFonts w:ascii="Arial" w:cs="Arial" w:eastAsia="Arial" w:hAnsi="Arial"/>
                <w:sz w:val="18"/>
                <w:szCs w:val="18"/>
                <w:color w:val="auto"/>
              </w:rPr>
              <w:t>Non-performing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264,092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304,381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287,848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259,155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190,723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139,266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123,786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67,728</w:t>
            </w:r>
          </w:p>
        </w:tc>
        <w:tc>
          <w:tcPr>
            <w:tcW w:w="0" w:type="dxa"/>
            <w:vAlign w:val="bottom"/>
          </w:tcPr>
          <w:p>
            <w:pPr>
              <w:spacing w:after="0"/>
              <w:rPr>
                <w:sz w:val="1"/>
                <w:szCs w:val="1"/>
                <w:color w:val="auto"/>
              </w:rPr>
            </w:pPr>
          </w:p>
        </w:tc>
      </w:tr>
      <w:tr>
        <w:trPr>
          <w:trHeight w:val="237"/>
        </w:trPr>
        <w:tc>
          <w:tcPr>
            <w:tcW w:w="1900" w:type="dxa"/>
            <w:vAlign w:val="bottom"/>
            <w:gridSpan w:val="2"/>
          </w:tcPr>
          <w:p>
            <w:pPr>
              <w:ind w:left="10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120,770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110,610</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104,754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75,383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59,768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38,438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28,378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02"/>
        </w:trPr>
        <w:tc>
          <w:tcPr>
            <w:tcW w:w="19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Total non-performing</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340"/>
              <w:spacing w:after="0"/>
              <w:rPr>
                <w:sz w:val="20"/>
                <w:szCs w:val="20"/>
                <w:color w:val="auto"/>
              </w:rPr>
            </w:pPr>
            <w:r>
              <w:rPr>
                <w:rFonts w:ascii="Arial" w:cs="Arial" w:eastAsia="Arial" w:hAnsi="Arial"/>
                <w:sz w:val="18"/>
                <w:szCs w:val="18"/>
                <w:color w:val="auto"/>
              </w:rPr>
              <w:t>assets (NPAs)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384,862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414,991</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392,602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334,538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250,491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177,704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152,164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89,864</w:t>
            </w:r>
          </w:p>
        </w:tc>
        <w:tc>
          <w:tcPr>
            <w:tcW w:w="0" w:type="dxa"/>
            <w:vAlign w:val="bottom"/>
          </w:tcPr>
          <w:p>
            <w:pPr>
              <w:spacing w:after="0"/>
              <w:rPr>
                <w:sz w:val="1"/>
                <w:szCs w:val="1"/>
                <w:color w:val="auto"/>
              </w:rPr>
            </w:pPr>
          </w:p>
        </w:tc>
      </w:tr>
      <w:tr>
        <w:trPr>
          <w:trHeight w:val="216"/>
        </w:trPr>
        <w:tc>
          <w:tcPr>
            <w:tcW w:w="1900" w:type="dxa"/>
            <w:vAlign w:val="bottom"/>
            <w:gridSpan w:val="2"/>
          </w:tcPr>
          <w:p>
            <w:pPr>
              <w:ind w:left="80"/>
              <w:spacing w:after="0"/>
              <w:rPr>
                <w:sz w:val="20"/>
                <w:szCs w:val="20"/>
                <w:color w:val="auto"/>
              </w:rPr>
            </w:pPr>
            <w:r>
              <w:rPr>
                <w:rFonts w:ascii="Arial" w:cs="Arial" w:eastAsia="Arial" w:hAnsi="Arial"/>
                <w:sz w:val="18"/>
                <w:szCs w:val="18"/>
                <w:color w:val="auto"/>
              </w:rPr>
              <w:t>Allowance for loan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155,602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150,187</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145,678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143,990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122,271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111,299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91,035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30"/>
        </w:trPr>
        <w:tc>
          <w:tcPr>
            <w:tcW w:w="1900" w:type="dxa"/>
            <w:vAlign w:val="bottom"/>
            <w:gridSpan w:val="2"/>
          </w:tcPr>
          <w:p>
            <w:pPr>
              <w:ind w:left="10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84,585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90,491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58,312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43,281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74,028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55,736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14,313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bl>
    <w:p>
      <w:pPr>
        <w:sectPr>
          <w:pgSz w:w="11900" w:h="16838" w:orient="portrait"/>
          <w:cols w:equalWidth="0" w:num="1">
            <w:col w:w="11400"/>
          </w:cols>
          <w:pgMar w:left="240" w:top="513" w:right="25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ind w:left="80"/>
              <w:spacing w:after="0"/>
              <w:rPr>
                <w:sz w:val="20"/>
                <w:szCs w:val="20"/>
                <w:color w:val="auto"/>
              </w:rPr>
            </w:pPr>
            <w:r>
              <w:rPr>
                <w:rFonts w:ascii="Arial" w:cs="Arial" w:eastAsia="Arial" w:hAnsi="Arial"/>
                <w:sz w:val="18"/>
                <w:szCs w:val="18"/>
                <w:color w:val="auto"/>
              </w:rPr>
              <w:t>Allowance for loan</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losses to loans</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Net charge-offs to</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average loans </w:t>
            </w:r>
            <w:r>
              <w:rPr>
                <w:rFonts w:ascii="Arial" w:cs="Arial" w:eastAsia="Arial" w:hAnsi="Arial"/>
                <w:sz w:val="25"/>
                <w:szCs w:val="25"/>
                <w:color w:val="auto"/>
                <w:vertAlign w:val="superscript"/>
              </w:rPr>
              <w:t>(5)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6.37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6.57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4.18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3.09</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NPAs to loans and</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w w:val="97"/>
              </w:rPr>
              <w:t>foreclosed properties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7.30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7.58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6.99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5.86</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4.35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1840" w:type="dxa"/>
            <w:vAlign w:val="bottom"/>
          </w:tcPr>
          <w:p>
            <w:pPr>
              <w:ind w:left="100"/>
              <w:spacing w:after="0"/>
              <w:rPr>
                <w:sz w:val="20"/>
                <w:szCs w:val="20"/>
                <w:color w:val="auto"/>
              </w:rPr>
            </w:pPr>
            <w:r>
              <w:rPr>
                <w:rFonts w:ascii="Arial" w:cs="Arial" w:eastAsia="Arial" w:hAnsi="Arial"/>
                <w:sz w:val="18"/>
                <w:szCs w:val="18"/>
                <w:color w:val="auto"/>
              </w:rPr>
              <w:t>NPAs to total assets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4.81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4.91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4.63</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4.09</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1.07</w:t>
            </w:r>
          </w:p>
        </w:tc>
      </w:tr>
      <w:tr>
        <w:trPr>
          <w:trHeight w:val="414"/>
        </w:trPr>
        <w:tc>
          <w:tcPr>
            <w:tcW w:w="1840" w:type="dxa"/>
            <w:vAlign w:val="bottom"/>
          </w:tcPr>
          <w:p>
            <w:pPr>
              <w:spacing w:after="0"/>
              <w:rPr>
                <w:sz w:val="20"/>
                <w:szCs w:val="20"/>
                <w:color w:val="auto"/>
              </w:rPr>
            </w:pPr>
            <w:r>
              <w:rPr>
                <w:rFonts w:ascii="Arial" w:cs="Arial" w:eastAsia="Arial" w:hAnsi="Arial"/>
                <w:sz w:val="18"/>
                <w:szCs w:val="18"/>
                <w:b w:val="1"/>
                <w:bCs w:val="1"/>
                <w:color w:val="auto"/>
              </w:rPr>
              <w:t>AVERAGE</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BALANCES</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Loans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6"/>
              </w:rPr>
              <w:t>$ 5,357,150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$ 5,565,498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8"/>
              </w:rPr>
              <w:t>$ 5,597,259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$ 5,675,054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$ 5,784,139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$ 5,889,168</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$ 5,933,143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w w:val="96"/>
              </w:rPr>
              <w:t>$ 5,958,296</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1,528,805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1,615,499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1,771,482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1,712,654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1,508,808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1,454,740</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1,507,240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1,485,515</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Earning assets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7,486,790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7,400,539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7,442,178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7,530,230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7,662,536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7,384,287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7,478,018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7,491,480</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8,286,544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8,208,199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8,212,140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8,372,281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8,487,017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8,164,694</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8,298,517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8,326,428</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6,835,052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6,689,948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6,544,537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6,780,531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6,982,229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6,597,339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6,461,361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6,051,069</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989,279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843,130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879,210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967,505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851,956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837,487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856,727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855,659</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w w:val="90"/>
              </w:rPr>
              <w:t>Common shares - basic</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94,219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49,771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48,794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48,324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47,844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47,417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47,158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47,052</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Common shares -</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94,219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49,771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48,794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48,324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47,844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47,417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47,249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47,272</w:t>
            </w:r>
          </w:p>
        </w:tc>
      </w:tr>
      <w:tr>
        <w:trPr>
          <w:trHeight w:val="418"/>
        </w:trPr>
        <w:tc>
          <w:tcPr>
            <w:tcW w:w="1840" w:type="dxa"/>
            <w:vAlign w:val="bottom"/>
          </w:tcPr>
          <w:p>
            <w:pPr>
              <w:spacing w:after="0"/>
              <w:rPr>
                <w:sz w:val="20"/>
                <w:szCs w:val="20"/>
                <w:color w:val="auto"/>
              </w:rPr>
            </w:pPr>
            <w:r>
              <w:rPr>
                <w:rFonts w:ascii="Arial" w:cs="Arial" w:eastAsia="Arial" w:hAnsi="Arial"/>
                <w:sz w:val="18"/>
                <w:szCs w:val="18"/>
                <w:b w:val="1"/>
                <w:bCs w:val="1"/>
                <w:color w:val="auto"/>
              </w:rPr>
              <w:t>AT PERIOD END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Loans *</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6"/>
              </w:rPr>
              <w:t>$ 5,151,476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$ 5,362,689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8"/>
              </w:rPr>
              <w:t>$ 5,513,087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$ 5,632,705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$ 5,704,861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$ 5,829,937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$ 5,933,141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w w:val="96"/>
              </w:rPr>
              <w:t>$ 5,967,839</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1,530,047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1,532,514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1,816,787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1,719,033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1,617,187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1,400,827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1,430,588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1,508,402</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7,999,914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8,443,617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8,477,355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8,171,663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8,591,933</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8,113,961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8,276,165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8,390,546</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6,627,834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6,821,306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6,848,760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6,616,488</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7,003,624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6,689,335</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6,696,456</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6,175,769</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962,321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1,006,638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855,272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888,853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989,382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816,880</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837,890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871,452</w:t>
            </w:r>
          </w:p>
        </w:tc>
      </w:tr>
      <w:tr>
        <w:trPr>
          <w:trHeight w:val="216"/>
        </w:trPr>
        <w:tc>
          <w:tcPr>
            <w:tcW w:w="1840" w:type="dxa"/>
            <w:vAlign w:val="bottom"/>
          </w:tcPr>
          <w:p>
            <w:pPr>
              <w:ind w:left="100"/>
              <w:spacing w:after="0"/>
              <w:rPr>
                <w:sz w:val="20"/>
                <w:szCs w:val="20"/>
                <w:color w:val="auto"/>
              </w:rPr>
            </w:pPr>
            <w:r>
              <w:rPr>
                <w:rFonts w:ascii="Arial" w:cs="Arial" w:eastAsia="Arial" w:hAnsi="Arial"/>
                <w:sz w:val="18"/>
                <w:szCs w:val="18"/>
                <w:color w:val="auto"/>
              </w:rPr>
              <w:t>Common shares</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outstanding</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94,046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93,901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48,933</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48,487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48,009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47,596</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47,096</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47,004</w:t>
            </w:r>
          </w:p>
        </w:tc>
      </w:tr>
    </w:tbl>
    <w:p>
      <w:pPr>
        <w:spacing w:after="0" w:line="229" w:lineRule="exact"/>
        <w:rPr>
          <w:sz w:val="20"/>
          <w:szCs w:val="20"/>
          <w:color w:val="auto"/>
        </w:rPr>
      </w:pPr>
    </w:p>
    <w:p>
      <w:pPr>
        <w:ind w:right="80" w:firstLine="8"/>
        <w:spacing w:after="0" w:line="276" w:lineRule="auto"/>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Excludes the gain from acquisition of $11.4 million, net of income tax expense of $4.3 million in the second quarter of 2009. (2) Excludes the goodwill impairment charges of $25 million and $70 million in the third and first quarters of 2009, respectively, and severance costs of $2.9 million, net of income tax benefit of $1.1 million in the first quarter of 2009. (3) Net (loss) income available to common shareholders, which is net of preferred stock dividends, divided by average realized common equity, which excludes accumulated other comprehensive income (loss). (4) Excludes effect of acquisition related intangibles and associated amortization. (5) Annualized. (6) Number of new shares issued for shares currently held.</w:t>
      </w:r>
    </w:p>
    <w:p>
      <w:pPr>
        <w:spacing w:after="0" w:line="173" w:lineRule="exact"/>
        <w:rPr>
          <w:sz w:val="20"/>
          <w:szCs w:val="20"/>
          <w:color w:val="auto"/>
        </w:rPr>
      </w:pPr>
    </w:p>
    <w:p>
      <w:pPr>
        <w:ind w:left="5620" w:right="4580" w:hanging="5612"/>
        <w:spacing w:after="0" w:line="731" w:lineRule="auto"/>
        <w:tabs>
          <w:tab w:leader="none" w:pos="1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and operating loss per diluted share are non-GAAP performance measures. United’s management believes that operating performance is useful in analyzing the company’s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28.</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mid-2007, and continuing through 2009, the financial markets and economic conditions generally were materially and adversely affected by significant declines in the values of nearly all asset classes and by a serious lack of liquidity. This was initially triggered by declines in home prices and the values of subprime mortgages, but spread to all residential construction, and residential mortgages as property prices declined rapidly and to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During this period, interbank lending and commercial paper borrowing fell sharply, precipitating a credit freeze for both institutional and individual borrowers. Unemployment has also increased significantly.</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events created serious concerns about the safety and soundness of the entire financial services industry. The recently enacted Emergency Economic Stabilization Act of 2008 was signed into law in response to the financial crisis affecting the banking system, financial markets and economic conditions generally. Pursuant to EESA, Treasury has the authority under the Troubled Asset Relief Program to purchase up to $700 billion of mortgages, mortgage-backed securities and certain other financial instruments from financial institutions for the purpose of stabilizing and providing liquidity to the U.S. financial markets. Treasury announced the Capital Purchase Program under TARP pursuant to which it has purchased and will continue to purchase senior preferred stock in participating financial institutions. The EESA followed, and has been followed by, numerous actions by the Board of Governors of the Federal Reserve System, the U.S. Congress, Treasury, the Federal Deposit Insurance Corporation, the SEC and others to address the current crisis, including the American Recovery and Reinvestment Act of 2009.</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United’s markets have been severely disrupted by the weak housing market which resulted in the buildup of surplus housing and finished lot inventory, particularly within the Atlanta, Georgia MSA and north and coastal Georgia, which has put considerable stress on the residential construction portion of United’s loan portfolio. The weak economic conditions spread beyond the housing market, pushing unemployment to levels not seen in decades. As a result, United reported a net loss of $228.3 million in 2009, which included non-cash charges of $95 million for goodwill impairment, a $2.9 million charge for a reduction in workforce, and a gain of $11.4 million for the acquisition of Southern Community Bank (“SCB”). This compared to a net loss of $63.5 million in 2008. United’s net operating loss for 2009 was $138.6 million, which excludes the gain on acquisition, goodwill impairment and severance costs, compared to a net operating loss of $63.5 million for the twelve months ended December 31, 2008. Diluted operating loss per common share was $2.47 for the year ended December 31, 2009, compared with a diluted operating loss per common share of $1.35 for 2008. The gain on acquisition, goodwill impairment and severance costs represented $0.12 per share, $1.57 per share and $0.03 per share, respectively, for the year, bringing the net loss per common share to $3.95. The increased loss from 2008 reflected higher credit losses and the goodwill impairment charges, offset by net interest margin improvement resulting from lower deposit pricing, wider credit spreads in loan pricing and the elimination of much of the excess liquidity built up at the end of 2008.</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approach to managing through the challenging economic cycle has been to aggressively deal with its credit problems and dispose of troubled assets quickly, taking losses as necessary. As a result, United’s provision for loan losses was $310 million in 2009 compared with $184 million in 2008. Net charge-offs for 2009 were $276.7 million compared with $151.2 million in 2008. At the end of 2009, United’s allowance for loan losses of $155.6 million was 3.02% of loans compared with $122.3 million or 2.14% of loans at the end of 2008, and total non-performing assets were $384.9 million compared with $250.5 million at the end of 2008.</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Taxable equivalent net interest revenue was $245.2 million for 2009, up $6.5 million from 2008. The increase in net interest revenue was the result of the 11 basis point improvement in the net interest margin which increased from 3.18% in 2008 to 3.29% in 2009.</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weak economic conditions of 2009 were reflected in other components of United’s earnings; however some areas began to show improvement from the prior year. Operating fee revenue of $58.8 million was up $5.6 million or 11% from 2008. Mortgage and related fees increased due to a significant rise in refinancing activity, as mortgage rates fell to historical lows. Consulting fees increased due to the demand for regulatory compliance assistance services. Brokerage fees dropped as uncertainty in the financial markets continued. In 2009, United also recognized a gain of $11.4 million related to the FDIC assisted acquisition of SCB which is not included in operating fee revenue. The gain resulted from the bargain purchase since the purchase price was less than the value of the net assets and liabilities received.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6"/>
          <w:szCs w:val="16"/>
          <w:color w:val="auto"/>
        </w:rPr>
        <w:t>United continued to control expenses in 2009, through a 10% reduction in headcount and further lowering of discretionary spending such as advertising and public relations expense and postage, printing and supplies expense. Operating expenses for 2009 were $224.1 million, an increase of $17.4 million, or 8% from 2008. Higher foreclosed property expense and FDIC insurance expense accounted for $13.3 million and $10.0 million, respectively, of the increase in operating expenses. In addition, United recorded $95.0 million in goodwill impairment charges in 2009 which is not reported in operating expenses.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end of 2009, United held $129.7 million in commercial paper as short-term investments and $100 million in other short-term funds as part of its continued emphasis on liquidity. Loans at December 31, 2009 were $5.2 billion, down $553.4 million from the end of 2008, due to United’s efforts to reduce exposure to residential construction loans. Totaling $1.1 billion, residential construction loans at December 31, 2009 represented 20% of outstanding loans, down from 26% at the end of 2008, a decrease of $428.6 million. Deposits were down $375.8 million to $6.6 billion, as United focused on reducing interest expense, allowing runoff of CD’s from a previous promotion. At the same time, United’s focus was to increase low cost core transaction deposits which grew $210 million in 2009. At the end of 2009, total equity capital was $962.3 million, down $27.1 million from December 31, 2008 reflecting the net loss of 2009, offset by the sale of $211.1 million in common stock at the end of the third quarter of 2009. The 2009 loss includes non-cash charges of $95 million for goodwill impairment, which reduced shareholders’ equity but had no impact on regulatory capital. The additional capital leaves all of United’s regulatory capital ratios significantly above well capitalized levels.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accounting and reporting policies of United and its subsidiaries are in accordance with accounting principles generally accepted in the United States and conform to general practices within the banking industry.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 Management considers the accounting policies related to the allowance for loan losses, fair value measurements, intangible assets and income taxes to be critical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allowance for loan losses consists of an allocated component and an unallocated component. The components of the allowance for loan losses represent an estimate. The allocated component of the allowance for loan losses reflects expected losses resulting from analyses developed through specific credit allocations for individual loans and historical loss experience for each loan category. The specific credit allocations are based on regular analyses of all non– accrual loans over $500,000, which are considered impaired loans. These analyses involve judgment in estimating the amount of loss associated with specific loans, including estimating the amount and timing of future cash flows and collateral values. The historical loss element is determined using the average of actual losses incurred over the prior two years for each type of loan.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annually. The allocated component of the allowance for loan losses also includes consideration of concentrations of credit and changes in portfolio mix.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color w:val="auto"/>
        </w:rPr>
        <w:t>The unallocated portion of the allowance reflects management’s estimate of probable inherent but undetectable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in recent years.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unrealized losses inherent in the portfolio.</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factors affecting the allowance for loan losses; some are quantitative while others require qualitative judgment. Although management believes its processes for determining the allowance adequately consider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impaired loans and foreclosed assets may be measured and carried at “fair value”, the determination of which requires management to make assumptions, estimates and judgments. At December 31, 2009, the percentage of total assets measured at fair value was 22%. See Note 21 “Fair Value” in the consolidated financial statements herein for additional disclosures regarding the fair value of our assets and liabilities.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a loan is considered impaired, a specific valuation allowance is allocated, if necessary, so that the loan is reported net, at the present value of estimated future cash flows using the loan’s existing rate or at the fair value of collateral if repayment is expected solely from the collateral. In addition, foreclosed assets are carried at the lower of cost or “fair value”,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factors and allow United to arrive at a fair value, the processes require management judgment and assumptions and the value of such assets at the time they are revalued or divested may be significantly different from management’s determination of fair value. In addition, because of this increased subjectivity in fair value determinations, there is greater than usual grounds for differences in opinions, which may result in increased disagreements between management and the Bank’s regulators, disagreements which could impair the relationship between the Bank and its regulators.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United’s intangible assets consist principally of goodwill, representing the excess of cost over the fair value of net assets of acquired businesses, and core deposit intangibles. United’s goodwill is tested for impairment annually, or more often if events or circumstances indicate impairment may exist. Adverse changes in the economic environment, declining operations of acquired business units, or other factors could result in a decline of the implied fair value of goodwill. If the implied fair value is less than the carrying amount, a loss would be recognized to reduce the carrying amount of goodwill. These changes or factors, if they occur, could be material to United’s operating results for any particular reporting period; the potential effect cannot be reasonably estimated.</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first quarter of 2009, United updated its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of 2009 consolidated statement of income. Although conditions in the second quarter did not lead management to believe that further impairment existed, due to further weakness in United’s loan portfolio and management’s expectation for higher credit losses, goodwill was tested for impairment again in the third quarter of 2009. Goodwill was found to have additional impairment resulting in a charge of $25 million. United performed its annual goodwill impairment analysis as of December 31, 2009 and no further impairment was identified.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ind w:right="260"/>
        <w:spacing w:after="0" w:line="257" w:lineRule="auto"/>
        <w:rPr>
          <w:sz w:val="20"/>
          <w:szCs w:val="20"/>
          <w:color w:val="auto"/>
        </w:rPr>
      </w:pPr>
      <w:r>
        <w:rPr>
          <w:rFonts w:ascii="Arial" w:cs="Arial" w:eastAsia="Arial" w:hAnsi="Arial"/>
          <w:sz w:val="18"/>
          <w:szCs w:val="18"/>
          <w:color w:val="auto"/>
        </w:rPr>
        <w:t>Other identifiable intangible assets, primarily core deposit intangibles, are reviewed at least annually for events or circumstances which could affect the recoverability of the intangible asset, such as loss of core deposits, increased competition or adverse changes in the economy. To the extent an “other identifiable intangible asset” is deemed unrecoverable, an impairment loss would be recorded to reduce the carrying amount of the intangible assets. These events or circumstances, if they occur, could be material to United’s operating results for any particular reporting period; the potential effect cannot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liabilities or assets are established for the amount of taxes payable or refundable for the current year.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federal and state taxing authorities, will not differ from management’s current assessment, the impact of which could be significant to the consolidated results of operations and reported earnings. United believes its tax assets and liabilities are properly recorded for the respective periods in the consolidated financial statements.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At December 31, 2009, United had net deferred tax assets of $69.2 million, including a valuation allowance of $3.9 million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2009, United’s management believes that it is more likely than not that, with the exception of those state tax credits that are expected to expire unused due to a relatively short carryforward period of three years, it will be able to realize its deferred tax benefits through its ability to carry losses forward to future profitable years. Despite recent losses and the challenging economic environment, United has a history of strong earnings, is well-capitalized, and has cautiously optimistic expectations regarding future taxable income. The deferred tax assets are analyzed quarterly for changes affecting their ability to be realized, and there can be no guarantee that a valuation allowance will not be necessary in future periods.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risk-based capital rules limit the amount of deferred tax assets that a bank or bank holding company can include in Tier I capital. Generally, deferred tax assets that are dependent upon future taxable income are limited to the lesser of: (i) the amount of such deferred tax assets that the bank expects to realize within one year of the calendar quarter-end date, based on its projected future taxable income for that year or (ii) 10% of the amount of the bank’s Tier 1 capital. At December 31, 2009, United had fully utilized its ability to carry losses back to open tax years. Therefore United’s realization of its deferred tax assets is dependent upon future taxable income. Accordingly, United has excluded the entire balance of its net deferred tax asset from Tier I capital in calculating its risk-based capital ratios.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of 2009, the American Recovery and Reinvestment Act amended the Internal Revenue Code to allow eligible small businesses to carry back 2008 net operating losses (“NOL’s”) for a period of three, four or five years, instead of the usual two-year limit. In November of 2009, the Worker, Homeownership, and Business Assistance Act expanded this treatment to include NOL’s incurred in 2009 and allowed all businesses, not just eligible small businesses, to make the election. However the election is not available to participants in the U.S. Treasury’s Capital Purchase Program, therefore United is not able to utilize this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selectively engages in the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 As part of this strategy, United completed one federally assisted acquisition in 2009 and one bank merger in 2007. United will continue to evaluate potential transactions as they are presented, including acquisitions of failed banks to the extent we are permitted to bid on them.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On June 19, 2009, United Community Bank (“UCB”) purchased substantially all the assets and assumed substantially all the liabilities of Southern Community Bank (“SCB”) from the Federal Deposit Insurance Corporation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on June 19, 2009. The transaction resulted in a cash payment of $31 million from the FDIC to UCB. Further, UCB and the FDIC entered into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exceeding $109 million. The term for loss sharing on 1 to 4 family loans is ten years, while the term for loss sharing on all other loans is five years.</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1, 2007, United completed the acquisition of Gwinnett Commercial Group, Inc. (“Gwinnett”), a bank holding company headquartered in Lawrenceville, Georgia, and its wholly-owned subsidiary First Bank of the South. On June 1, 2007, Gwinnett had assets totaling $809 million, including purchase accounting related intangibles. United exchanged 5,691,948 shares of its common stock valued at $191.4 million and $31.5 million in cash for all of the outstanding shares. First Bank of the South was merged into the Bank and operates as a separate community bank, United Community Bank – Gwinnett.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10-K contains non-GAAP financial measures determined by methods other than in accordance with generally accepted accounting principles (“GAAP”). Such non-GAAP financial measures include, among others, the following: operating revenue, operating expense, operating (loss) income, operating earnings (loss) per share and operating earnings (loss) per diluted share. Management uses these non-GAAP financial measures because it believes it is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28 and 29.</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2009, United recorded non-cash goodwill impairment charges of $25 million and $70 million during the third and first quarters, respectively. In addition, United recorded severance costs of $2.9 million during the first quarter of 2009 and a gain on the acquisition of SCB in the amount of $11.4 million during the second quarter of 2009.</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2007, the North Carolina Attorney General appointed a receiver to take custody of the assets of the developers of two failed real estate developments near Spruce Pine, North Carolina, citing possible fraud on the part of the developers. United had loans to 83 individual borrowers totaling $23.6 million secured by undeveloped lots in these developments. United was one of twelve banks that had loaned money to borrowers to finance the purchase of lots. The loans were made to appropriately qualified borrowers in accordance with our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documents, but were financed by the developer and that the developer agreed to service the borrowers’ debts. We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United recognized a provision for fraud-related loan losses of $18 million in 2007 related to these loans and charged-off an equal amount of loans. The special provision reduced net income by $11 million and reduced diluted earnings per share by $0.24 in 2007.</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operating income (loss) excludes the effect of the goodwill impairment charges of $95 million, the $11.4 million gain on acquisition, and the $2.9 million in severance costs in 2009, and the special $18 million fraud-related provision for loan losses in 2007, because management believes that the circumstances leading to the provision and such charges and gains were isolated, non-recurring events and do not reflect overall trends in United’s earnings and financial performance. Management believes this non-GAAP net operating income (loss) provides users of United’s financial information with a meaningful measure for assessing United’s financial results and credit trends, as well as comparison to financial results for prior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pages contain a reconciliation of net operating income to GAAP net income.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Operating Earnings to GAAP Earnings Reconciliation - Annual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 taxable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i w:val="1"/>
                <w:iCs w:val="1"/>
                <w:color w:val="auto"/>
              </w:rPr>
              <w:t>equivalent)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revenue reconciliation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revenue - taxable equivalent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404,961</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466,969</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550,917</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446,695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324,225</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402,829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interest revenue - taxable equivalent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245,227</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238,704</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274,483</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237,880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196,799</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 losses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provision for loan losses</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310,000</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184,000</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37,600</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14,600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Special fraud-related provision for loan losses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Provision for loan losses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Fee revenue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fee revenue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58,788</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53,141</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62,651</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49,095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46,148</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Fee revenue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(5,985)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107,845</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299,534</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272,375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230,847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Special fraud-related provision for loan losses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270,507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expense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224,055</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206,699</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190,061</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162,070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140,808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Operating expense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206,699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162,070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(Loss) income before taxes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(loss) income before taxes</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(230,040)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(98,854)</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109,473</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110,305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90,039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Special fraud-related provision for loan losses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(Loss) income before taxes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(318,680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(101,115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income tax (benefit) expense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(91,448)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(35,404)</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40,482</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41,490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from acquisition, tax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Severance costs, tax benefit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Special fraud-related provision for loan losses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(7,002)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Income tax (benefit) expense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w w:val="93"/>
              </w:rPr>
              <w:t>(Loss) earnings per common share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(loss) earnings per common share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Special fraud-related provision for loan losses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(Loss) earnings per common share (GAAP)</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Book value reconciliation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Tangible book value</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6.02</w:t>
            </w:r>
          </w:p>
        </w:tc>
        <w:tc>
          <w:tcPr>
            <w:tcW w:w="34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10.94</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10.57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Book value (GAAP)</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Efficiency ratio reconciliation</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efficiency ratio</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Severance costs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Efficiency ratio (GAAP)</w:t>
            </w: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Tangible common equity to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tcPr>
          <w:p>
            <w:pPr>
              <w:ind w:left="180"/>
              <w:spacing w:after="0" w:line="201" w:lineRule="exact"/>
              <w:rPr>
                <w:sz w:val="20"/>
                <w:szCs w:val="20"/>
                <w:color w:val="auto"/>
              </w:rPr>
            </w:pPr>
            <w:r>
              <w:rPr>
                <w:rFonts w:ascii="Arial" w:cs="Arial" w:eastAsia="Arial" w:hAnsi="Arial"/>
                <w:sz w:val="18"/>
                <w:szCs w:val="18"/>
                <w:color w:val="auto"/>
              </w:rPr>
              <w:t>Tangible equity to assets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00"/>
          </w:cols>
          <w:pgMar w:left="240" w:top="513" w:right="25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Equity to assets (GAAP)</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w w:val="95"/>
              </w:rPr>
              <w:t>Actual tangible common equity to risk-weighted</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tcPr>
          <w:p>
            <w:pPr>
              <w:ind w:left="180"/>
              <w:spacing w:after="0"/>
              <w:rPr>
                <w:sz w:val="20"/>
                <w:szCs w:val="20"/>
                <w:color w:val="auto"/>
              </w:rPr>
            </w:pPr>
            <w:r>
              <w:rPr>
                <w:rFonts w:ascii="Arial" w:cs="Arial" w:eastAsia="Arial" w:hAnsi="Arial"/>
                <w:sz w:val="18"/>
                <w:szCs w:val="18"/>
                <w:b w:val="1"/>
                <w:bCs w:val="1"/>
                <w:color w:val="auto"/>
              </w:rPr>
              <w:t>assets reconciliation</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Effect of other comprehensive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Tier I capital ratio (Regulatory)</w:t>
            </w: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reconciliation</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net charge-offs</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276,669</w:t>
            </w:r>
          </w:p>
        </w:tc>
        <w:tc>
          <w:tcPr>
            <w:tcW w:w="300" w:type="dxa"/>
            <w:vAlign w:val="bottom"/>
          </w:tcPr>
          <w:p>
            <w:pPr>
              <w:spacing w:after="0"/>
              <w:rPr>
                <w:sz w:val="18"/>
                <w:szCs w:val="18"/>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151,152</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21,834</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5,524</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Fraud related charge-offs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Net charge-offs (GAAP)</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151,152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w w:val="97"/>
              </w:rPr>
              <w:t>Net charge-offs to average loans reconciliation</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net charge-offs to average loans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Effect of fraud related charge offs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Net charge-offs to average loans (GAAP)</w:t>
            </w: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59" w:lineRule="exact"/>
        <w:rPr>
          <w:sz w:val="20"/>
          <w:szCs w:val="20"/>
          <w:color w:val="auto"/>
        </w:rPr>
      </w:pPr>
    </w:p>
    <w:p>
      <w:pPr>
        <w:ind w:right="4540"/>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 Quarterly Selected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60" w:type="dxa"/>
            <w:vAlign w:val="bottom"/>
          </w:tcPr>
          <w:p>
            <w:pPr>
              <w:spacing w:after="0"/>
              <w:rPr>
                <w:sz w:val="17"/>
                <w:szCs w:val="17"/>
                <w:color w:val="auto"/>
              </w:rPr>
            </w:pPr>
          </w:p>
        </w:tc>
        <w:tc>
          <w:tcPr>
            <w:tcW w:w="110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2"/>
              </w:rPr>
              <w:t>Second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7"/>
                <w:szCs w:val="17"/>
                <w:color w:val="auto"/>
              </w:rPr>
            </w:pPr>
          </w:p>
        </w:tc>
        <w:tc>
          <w:tcPr>
            <w:tcW w:w="8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82"/>
              </w:rPr>
              <w:t>Second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First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418"/>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6"/>
              </w:rPr>
              <w:t>Interest revenue - taxable equivalent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97,481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101,181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102,737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103,562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108,434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112,510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116,984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129,041</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100,601</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107,881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111,939</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116,378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w w:val="95"/>
              </w:rPr>
              <w:t>Net interest revenue reconciliation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interest revenue - taxable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equivalent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63,929</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60,882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57,412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51,873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58,791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61,753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66,287</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62,424</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58,220</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Fee revenue reconciliation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fee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17,221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15,671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13,050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12,846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10,718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Fee revenue (GAAP)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(8,850)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(16,325)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13,932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(22,409)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61,358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72,984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62,532</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55,348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52,569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52,439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49,761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47,529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Noncash goodwill impairment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charge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Operating expense (GAAP)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56,970</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(Loss) income before taxes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5"/>
              </w:rPr>
              <w:t>Operating (loss) income before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(71,382)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(69,931)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(41,416)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(47,311)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(74,848)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11,597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25,455</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Noncash goodwill impairment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charge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rPr>
              <w:t>(Loss) income before taxes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(GAAP)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(95,511)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(30,489)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(120,697)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(75,401)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10,991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24,924</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income tax (benefit)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(28,101)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4,504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Gain from acquisition, tax expense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Severance costs, tax benefit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rPr>
              <w:t>Income tax (benefit) expense</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40"/>
              <w:spacing w:after="0"/>
              <w:rPr>
                <w:sz w:val="20"/>
                <w:szCs w:val="20"/>
                <w:color w:val="auto"/>
              </w:rPr>
            </w:pPr>
            <w:r>
              <w:rPr>
                <w:rFonts w:ascii="Arial" w:cs="Arial" w:eastAsia="Arial" w:hAnsi="Arial"/>
                <w:sz w:val="18"/>
                <w:szCs w:val="18"/>
                <w:color w:val="auto"/>
              </w:rPr>
              <w:t>(GAAP)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(32,148)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(16,924)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(28,654)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(21,755)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3,898</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w w:val="93"/>
              </w:rPr>
              <w:t>(Loss)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(loss) earnings per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Noncash goodwill impairment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charge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w w:val="94"/>
              </w:rPr>
              <w:t>(Loss) earnings per common share</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(GAAP)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Book value reconciliation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Tangible book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Effect of goodwill and 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320"/>
          </w:cols>
          <w:pgMar w:left="240" w:top="364" w:right="3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ind w:left="140"/>
              <w:spacing w:after="0"/>
              <w:rPr>
                <w:sz w:val="20"/>
                <w:szCs w:val="20"/>
                <w:color w:val="auto"/>
              </w:rPr>
            </w:pPr>
            <w:r>
              <w:rPr>
                <w:rFonts w:ascii="Arial" w:cs="Arial" w:eastAsia="Arial" w:hAnsi="Arial"/>
                <w:sz w:val="18"/>
                <w:szCs w:val="18"/>
                <w:color w:val="auto"/>
              </w:rPr>
              <w:t>Book value (GAAP)</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13.87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14.70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16.95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Efficiency ratio reconciliation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efficiency ratio</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75.15%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81.34%</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65.05%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Gain from acquisition</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Noncash goodwill impairment</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charge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100.06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Severance costs</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180"/>
              <w:spacing w:after="0"/>
              <w:rPr>
                <w:sz w:val="20"/>
                <w:szCs w:val="20"/>
                <w:color w:val="auto"/>
              </w:rPr>
            </w:pPr>
            <w:r>
              <w:rPr>
                <w:rFonts w:ascii="Arial" w:cs="Arial" w:eastAsia="Arial" w:hAnsi="Arial"/>
                <w:sz w:val="18"/>
                <w:szCs w:val="18"/>
                <w:color w:val="auto"/>
              </w:rPr>
              <w:t>Efficiency ratio (GAAP)</w:t>
            </w:r>
          </w:p>
        </w:tc>
        <w:tc>
          <w:tcPr>
            <w:tcW w:w="3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64.33</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179.35</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81.34</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79.35</w:t>
            </w: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65.05</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59.03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Tangible common equity to assets</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rPr>
              <w:t>Tangible equity to assets</w:t>
            </w: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7.55</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6.56</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6.64</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Effect of goodwill and other</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intangibles</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0"/>
                <w:szCs w:val="20"/>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180"/>
              <w:spacing w:after="0"/>
              <w:rPr>
                <w:sz w:val="20"/>
                <w:szCs w:val="20"/>
                <w:color w:val="auto"/>
              </w:rPr>
            </w:pPr>
            <w:r>
              <w:rPr>
                <w:rFonts w:ascii="Arial" w:cs="Arial" w:eastAsia="Arial" w:hAnsi="Arial"/>
                <w:sz w:val="18"/>
                <w:szCs w:val="18"/>
                <w:color w:val="auto"/>
              </w:rPr>
              <w:t>Equity to assets (GAAP)</w:t>
            </w:r>
          </w:p>
        </w:tc>
        <w:tc>
          <w:tcPr>
            <w:tcW w:w="3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10.71</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10.04</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20" w:type="dxa"/>
            <w:vAlign w:val="bottom"/>
            <w:gridSpan w:val="8"/>
          </w:tcPr>
          <w:p>
            <w:pPr>
              <w:spacing w:after="0"/>
              <w:rPr>
                <w:sz w:val="20"/>
                <w:szCs w:val="20"/>
                <w:color w:val="auto"/>
              </w:rPr>
            </w:pPr>
            <w:r>
              <w:rPr>
                <w:rFonts w:ascii="Arial" w:cs="Arial" w:eastAsia="Arial" w:hAnsi="Arial"/>
                <w:sz w:val="18"/>
                <w:szCs w:val="18"/>
                <w:b w:val="1"/>
                <w:bCs w:val="1"/>
                <w:color w:val="auto"/>
                <w:w w:val="92"/>
              </w:rPr>
              <w:t>Actual tangible common equity to risk-weighted assets reconciliation</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Tangible common equity to risk-</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weighted assets</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Effect of other comprehensive</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income</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180"/>
              <w:spacing w:after="0"/>
              <w:rPr>
                <w:sz w:val="20"/>
                <w:szCs w:val="20"/>
                <w:color w:val="auto"/>
              </w:rPr>
            </w:pPr>
            <w:r>
              <w:rPr>
                <w:rFonts w:ascii="Arial" w:cs="Arial" w:eastAsia="Arial" w:hAnsi="Arial"/>
                <w:sz w:val="18"/>
                <w:szCs w:val="18"/>
                <w:color w:val="auto"/>
              </w:rPr>
              <w:t>Tier I capital ratio (Regulatory)</w:t>
            </w:r>
          </w:p>
        </w:tc>
        <w:tc>
          <w:tcPr>
            <w:tcW w:w="3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10.44</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50"/>
              <w:spacing w:after="0"/>
              <w:rPr>
                <w:sz w:val="20"/>
                <w:szCs w:val="20"/>
                <w:color w:val="auto"/>
              </w:rPr>
            </w:pPr>
            <w:r>
              <w:rPr>
                <w:rFonts w:ascii="Arial" w:cs="Arial" w:eastAsia="Arial" w:hAnsi="Arial"/>
                <w:sz w:val="18"/>
                <w:szCs w:val="18"/>
                <w:color w:val="auto"/>
                <w:w w:val="79"/>
              </w:rPr>
              <w:t>29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remainder of this financial discussion focuses on operating earnings, which exclude the goodwill impairment charges, gain on acquisition and severance costs in 2009, and the fraud-related provision in 2007, except for the discussion of income taxes. Operating and GAAP earnings were the same in 2008, 2006, and 2005. For additional information on operating earnings measures, refer to the preceding section on “Non-GAAP Financial Measures.”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an optimal level of revenue while balancing interest rate, credit, and liquidity risks. Net interest revenue totaled $245.2 million in 2009, an increase of $6.5 million, or 3%, from the level recorded in 2008. Net interest revenue for 2008 decreased $35.8 million, or 13%, from the 2007 level.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net interest revenue for 2009 was due primarily to improvement in the net interest margin resulting from management’s focus on improving earnings performance. The margin had been on a downward trend throughout 2008 as a result of many factors including the decrease in the prime interest rate, intensely competitive deposit pricing, efforts to build liquidity and a higher level of non-performing assets. Deposit pricing competition began to ease late in the fourth quarter of 2008, and United intensified its focus on loan pricing to ensure that it was being adequately compensated for the credit risk it was taking. Much of the improvement in loan pricing was due to United’s ability to negotiate floors (minimum interest rates) into its floating rate loans. The combined effect of easing deposit pricing and widening credit spreads in United’s loan portfolio led to the 11 basis point increase in the net interest margin from 2008 to 2009.</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average yield on loans decreased 74 basis points reflecting the falling prime lending rate on United’s predominantly prime-based loan portfolio and the higher level of non-performing loans. Average loans decreased $343 million in 2009, or 6%, from 2008. Loan volume slowed substantially in 2007 and 2008 and continued into 2009 reflecting weakness in the housing market, particularly in the Atlanta, Georgia MSA.</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interest-earning assets for the year decreased $39.5 million, or less than 1%, from 2008. The decrease reflects the shrinking loan portfolio resulting from weak demand brought on by the recession and high unemployment. The decrease in interest-earning assets was more than offset by a $135.9 million decrease in interest-bearing liabilities from 2008 due to the rolling off of high-cost deposits as funding needs softened. The average yield on interest-earning assets for 2009 was 5.43% down from 6.22% in 2008, reflecting the effect of lower short-term interest rates on United’s prime-based loans and increased levels of non-performing loans.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the interest rate spread and the net interest margin. The interest rate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investments, and is defined as net interest revenue as a percentage of total average interest earning assets which includes the positive effect of funding a portion of interest earning assets with customers’ non-interest bearing deposits and with stockholders’ equity.</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2009, 2008 and 2007, United’s net interest spread was 3.00%, 2.81%, and 3.34%, respectively, while the net interest margin was 3.29%, 3.18%, and 3.88%, respectively. Both the net interest margin and net interest spread expanded in 2009 after falling in 2008 due to the aggressive competitive pricing for deposits, the effect of the Federal Reserve’s action in lowering short-term rates in 2008 on United’s asset-sensitive balance sheet, actions taken to build-up liquidity with more expensive deposits, and due to the higher level of non-performing assets. During most of 2008, there was aggressive competition for retail certificates of deposit (“CDs”), as banks competed for additional liquidity. This competition kept retail CD rates relatively high while the prime rate was falling. Competition for liquidity sources eased in the fourth quarter of 2008 allowing United the ability to reduce deposit pricing while maintaining sufficient liquidity. The combined effect of lower deposit pricing and wider credit spreads and floors on loans resulted in an improving net interest margin and net interest spread throughout 2009.</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average rate on interest-bearing liabilities for 2009 was 2.43%, down from 3.41% in 2008, reflecting the effect of falling rates on United’s floating rate liabilities and United’s ability to reduce deposit pricing throughout the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tcPr>
          <w:p>
            <w:pPr>
              <w:jc w:val="right"/>
              <w:ind w:right="148"/>
              <w:spacing w:after="0" w:line="126" w:lineRule="exact"/>
              <w:rPr>
                <w:sz w:val="20"/>
                <w:szCs w:val="20"/>
                <w:color w:val="auto"/>
              </w:rPr>
            </w:pPr>
            <w:r>
              <w:rPr>
                <w:rFonts w:ascii="Arial" w:cs="Arial" w:eastAsia="Arial" w:hAnsi="Arial"/>
                <w:sz w:val="14"/>
                <w:szCs w:val="14"/>
                <w:b w:val="1"/>
                <w:bCs w:val="1"/>
                <w:color w:val="auto"/>
              </w:rPr>
              <w:t>Avg.</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Interest</w:t>
            </w:r>
          </w:p>
        </w:tc>
        <w:tc>
          <w:tcPr>
            <w:tcW w:w="76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Avg.</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Interest</w:t>
            </w:r>
          </w:p>
        </w:tc>
        <w:tc>
          <w:tcPr>
            <w:tcW w:w="76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30"/>
        </w:trPr>
        <w:tc>
          <w:tcPr>
            <w:tcW w:w="262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Interest-earning assets: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0"/>
                <w:szCs w:val="10"/>
                <w:color w:val="auto"/>
              </w:rPr>
              <w:t>(1)(2)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5,547,915</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322,284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5,890,889</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386,132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5,734,608</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481,590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49"/>
        </w:trPr>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Taxable securities </w:t>
            </w: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1,626,032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76,048</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4.68</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1,455,206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74,405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1,236,595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64,377</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Tax-exempt securities </w:t>
            </w:r>
            <w:r>
              <w:rPr>
                <w:rFonts w:ascii="Arial" w:cs="Arial" w:eastAsia="Arial" w:hAnsi="Arial"/>
                <w:sz w:val="10"/>
                <w:szCs w:val="10"/>
                <w:color w:val="auto"/>
              </w:rPr>
              <w:t>(1)(3)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30,460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2,164</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33,830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41,340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2,826</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Federal funds sold and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tcPr>
          <w:p>
            <w:pPr>
              <w:ind w:left="260"/>
              <w:spacing w:after="0"/>
              <w:rPr>
                <w:sz w:val="20"/>
                <w:szCs w:val="20"/>
                <w:color w:val="auto"/>
              </w:rPr>
            </w:pPr>
            <w:r>
              <w:rPr>
                <w:rFonts w:ascii="Arial" w:cs="Arial" w:eastAsia="Arial" w:hAnsi="Arial"/>
                <w:sz w:val="14"/>
                <w:szCs w:val="14"/>
                <w:color w:val="auto"/>
              </w:rPr>
              <w:t>interest-earning assets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260,232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4,465</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124,261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4,026</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58,357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2,124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56"/>
        </w:trPr>
        <w:tc>
          <w:tcPr>
            <w:tcW w:w="26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7,464,639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404,961</w:t>
            </w:r>
          </w:p>
        </w:tc>
        <w:tc>
          <w:tcPr>
            <w:tcW w:w="22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5.43</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7,504,186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466,969</w:t>
            </w:r>
          </w:p>
        </w:tc>
        <w:tc>
          <w:tcPr>
            <w:tcW w:w="240" w:type="dxa"/>
            <w:vAlign w:val="bottom"/>
          </w:tcPr>
          <w:p>
            <w:pPr>
              <w:spacing w:after="0"/>
              <w:rPr>
                <w:sz w:val="13"/>
                <w:szCs w:val="13"/>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6.22</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7,070,900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550,917</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rPr>
              <w:t>Non-interest-earning assets: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(97,385)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(81,378)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Cash and due from banks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105,127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131,778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Premises and equipment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180,381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180,857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164,153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tcPr>
          <w:p>
            <w:pPr>
              <w:ind w:left="16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10"/>
                <w:szCs w:val="10"/>
                <w:color w:val="auto"/>
              </w:rPr>
              <w:t>(3)</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665,775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579,894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441,834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8,269,387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8,299,330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7,730,530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80"/>
              <w:spacing w:after="0" w:line="149" w:lineRule="exact"/>
              <w:rPr>
                <w:sz w:val="20"/>
                <w:szCs w:val="20"/>
                <w:color w:val="auto"/>
              </w:rPr>
            </w:pPr>
            <w:r>
              <w:rPr>
                <w:rFonts w:ascii="Arial" w:cs="Arial" w:eastAsia="Arial" w:hAnsi="Arial"/>
                <w:sz w:val="14"/>
                <w:szCs w:val="14"/>
                <w:color w:val="auto"/>
              </w:rPr>
              <w:t>Interest-bearing deposits: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NOW</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1,297,139</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11,023</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1,491,419</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28,626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1,406,655</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45,142</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Money market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589,389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9,545</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426,988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10,643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2.49</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399,838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15,396</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Savings deposits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177,410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182,067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188,560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1,653</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Time deposits less than $100,000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1,891,774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56,811</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1,724,036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71,844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4.17</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1,619,332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79,317</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Time deposits greater than $100,000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1,306,302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42,518</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3.25</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1,457,397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62,888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1,377,915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71,467</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4"/>
        </w:trPr>
        <w:tc>
          <w:tcPr>
            <w:tcW w:w="2620" w:type="dxa"/>
            <w:vAlign w:val="bottom"/>
          </w:tcPr>
          <w:p>
            <w:pPr>
              <w:ind w:left="160"/>
              <w:spacing w:after="0"/>
              <w:rPr>
                <w:sz w:val="20"/>
                <w:szCs w:val="20"/>
                <w:color w:val="auto"/>
              </w:rPr>
            </w:pPr>
            <w:r>
              <w:rPr>
                <w:rFonts w:ascii="Arial" w:cs="Arial" w:eastAsia="Arial" w:hAnsi="Arial"/>
                <w:sz w:val="14"/>
                <w:szCs w:val="14"/>
                <w:color w:val="auto"/>
              </w:rPr>
              <w:t>Brokered deposits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756,122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20,997</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565,111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23,536</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337,323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16,616</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56"/>
        </w:trPr>
        <w:tc>
          <w:tcPr>
            <w:tcW w:w="2620" w:type="dxa"/>
            <w:vAlign w:val="bottom"/>
          </w:tcPr>
          <w:p>
            <w:pPr>
              <w:ind w:left="260"/>
              <w:spacing w:after="0" w:line="149" w:lineRule="exact"/>
              <w:rPr>
                <w:sz w:val="20"/>
                <w:szCs w:val="20"/>
                <w:color w:val="auto"/>
              </w:rPr>
            </w:pPr>
            <w:r>
              <w:rPr>
                <w:rFonts w:ascii="Arial" w:cs="Arial" w:eastAsia="Arial" w:hAnsi="Arial"/>
                <w:sz w:val="14"/>
                <w:szCs w:val="14"/>
                <w:color w:val="auto"/>
              </w:rPr>
              <w:t>Total interest-bearing deposits</w:t>
            </w: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6,018,136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141,377</w:t>
            </w:r>
          </w:p>
        </w:tc>
        <w:tc>
          <w:tcPr>
            <w:tcW w:w="22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5,847,018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198,301</w:t>
            </w:r>
          </w:p>
        </w:tc>
        <w:tc>
          <w:tcPr>
            <w:tcW w:w="240" w:type="dxa"/>
            <w:vAlign w:val="bottom"/>
          </w:tcPr>
          <w:p>
            <w:pPr>
              <w:spacing w:after="0"/>
              <w:rPr>
                <w:sz w:val="13"/>
                <w:szCs w:val="13"/>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3.39</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5,329,623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229,591</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rPr>
              <w:t>Federal funds purchased,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repurchase agreeements,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&amp; other short-term borrowings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177,589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2,842</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324,634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2.37</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308,372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16,236</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Federal Home Loan Bank advances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220,468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4,622</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410,605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13,026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455,620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22,013</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150,604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10,893</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120,442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9,239</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122,555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8,594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56"/>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Total borrowed funds</w:t>
            </w: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548,661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18,357</w:t>
            </w:r>
          </w:p>
        </w:tc>
        <w:tc>
          <w:tcPr>
            <w:tcW w:w="22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3.35</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855,681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29,964</w:t>
            </w:r>
          </w:p>
        </w:tc>
        <w:tc>
          <w:tcPr>
            <w:tcW w:w="240" w:type="dxa"/>
            <w:vAlign w:val="bottom"/>
          </w:tcPr>
          <w:p>
            <w:pPr>
              <w:spacing w:after="0"/>
              <w:rPr>
                <w:sz w:val="13"/>
                <w:szCs w:val="13"/>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3.50</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886,547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46,843</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56"/>
        </w:trPr>
        <w:tc>
          <w:tcPr>
            <w:tcW w:w="26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Total interest-bearing liabilities</w:t>
            </w:r>
          </w:p>
        </w:tc>
        <w:tc>
          <w:tcPr>
            <w:tcW w:w="10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6,566,797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159,734</w:t>
            </w:r>
          </w:p>
        </w:tc>
        <w:tc>
          <w:tcPr>
            <w:tcW w:w="22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2.43</w:t>
            </w:r>
          </w:p>
        </w:tc>
        <w:tc>
          <w:tcPr>
            <w:tcW w:w="1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6,702,699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228,265</w:t>
            </w:r>
          </w:p>
        </w:tc>
        <w:tc>
          <w:tcPr>
            <w:tcW w:w="240" w:type="dxa"/>
            <w:vAlign w:val="bottom"/>
          </w:tcPr>
          <w:p>
            <w:pPr>
              <w:spacing w:after="0"/>
              <w:rPr>
                <w:sz w:val="13"/>
                <w:szCs w:val="13"/>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6,216,170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276,434</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rPr>
              <w:t>Non-interest-bearing liabilities: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80"/>
              <w:spacing w:after="0" w:line="149" w:lineRule="exact"/>
              <w:rPr>
                <w:sz w:val="20"/>
                <w:szCs w:val="20"/>
                <w:color w:val="auto"/>
              </w:rPr>
            </w:pPr>
            <w:r>
              <w:rPr>
                <w:rFonts w:ascii="Arial" w:cs="Arial" w:eastAsia="Arial" w:hAnsi="Arial"/>
                <w:sz w:val="14"/>
                <w:szCs w:val="14"/>
                <w:color w:val="auto"/>
              </w:rPr>
              <w:t>Non-interest-bearing deposits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694,469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677,439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699,002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tcPr>
          <w:p>
            <w:pPr>
              <w:ind w:left="8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88,490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68,766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72,587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20" w:type="dxa"/>
            <w:vAlign w:val="bottom"/>
          </w:tcPr>
          <w:p>
            <w:pPr>
              <w:ind w:left="180"/>
              <w:spacing w:after="0" w:line="130" w:lineRule="exact"/>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9"/>
              </w:rPr>
              <w:t>7,349,756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7,448,904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6,987,759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919,631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850,426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742,771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20" w:type="dxa"/>
            <w:vAlign w:val="bottom"/>
          </w:tcPr>
          <w:p>
            <w:pPr>
              <w:ind w:left="180"/>
              <w:spacing w:after="0" w:line="126"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300"/>
              <w:spacing w:after="0"/>
              <w:rPr>
                <w:sz w:val="20"/>
                <w:szCs w:val="20"/>
                <w:color w:val="auto"/>
              </w:rPr>
            </w:pPr>
            <w:r>
              <w:rPr>
                <w:rFonts w:ascii="Arial" w:cs="Arial" w:eastAsia="Arial" w:hAnsi="Arial"/>
                <w:sz w:val="14"/>
                <w:szCs w:val="14"/>
                <w:b w:val="1"/>
                <w:bCs w:val="1"/>
                <w:color w:val="auto"/>
              </w:rPr>
              <w:t>and shareholders’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8,269,387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8,299,330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7,730,530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20" w:type="dxa"/>
            <w:vAlign w:val="bottom"/>
            <w:vMerge w:val="restart"/>
          </w:tcPr>
          <w:p>
            <w:pPr>
              <w:ind w:left="80"/>
              <w:spacing w:after="0"/>
              <w:rPr>
                <w:sz w:val="20"/>
                <w:szCs w:val="20"/>
                <w:color w:val="auto"/>
              </w:rPr>
            </w:pPr>
            <w:r>
              <w:rPr>
                <w:rFonts w:ascii="Arial" w:cs="Arial" w:eastAsia="Arial" w:hAnsi="Arial"/>
                <w:sz w:val="14"/>
                <w:szCs w:val="14"/>
                <w:color w:val="auto"/>
              </w:rPr>
              <w:t>Net interest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245,227</w:t>
            </w: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238,704</w:t>
            </w: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274,483</w:t>
            </w: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620" w:type="dxa"/>
            <w:vAlign w:val="bottom"/>
            <w:vMerge w:val="restart"/>
          </w:tcPr>
          <w:p>
            <w:pPr>
              <w:ind w:left="80"/>
              <w:spacing w:after="0"/>
              <w:rPr>
                <w:sz w:val="20"/>
                <w:szCs w:val="20"/>
                <w:color w:val="auto"/>
              </w:rPr>
            </w:pPr>
            <w:r>
              <w:rPr>
                <w:rFonts w:ascii="Arial" w:cs="Arial" w:eastAsia="Arial" w:hAnsi="Arial"/>
                <w:sz w:val="14"/>
                <w:szCs w:val="14"/>
                <w:color w:val="auto"/>
              </w:rPr>
              <w:t>Net interest-rate spread</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620" w:type="dxa"/>
            <w:vAlign w:val="bottom"/>
            <w:vMerge w:val="restart"/>
          </w:tcPr>
          <w:p>
            <w:pPr>
              <w:ind w:left="8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0"/>
                <w:szCs w:val="10"/>
                <w:color w:val="auto"/>
              </w:rPr>
              <w:t>(4)</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3.18%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20" w:right="900" w:hanging="312"/>
        <w:spacing w:after="0" w:line="258"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9" w:lineRule="exact"/>
        <w:rPr>
          <w:rFonts w:ascii="Arial" w:cs="Arial" w:eastAsia="Arial" w:hAnsi="Arial"/>
          <w:sz w:val="18"/>
          <w:szCs w:val="18"/>
          <w:color w:val="auto"/>
        </w:rPr>
      </w:pPr>
    </w:p>
    <w:p>
      <w:pPr>
        <w:ind w:left="280" w:right="480" w:hanging="272"/>
        <w:spacing w:after="0" w:line="250" w:lineRule="auto"/>
        <w:tabs>
          <w:tab w:leader="none" w:pos="3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$15.3 million and $3.3 million in 2009 and 2008, resepectively and pretax unrealized losses of $8.1 million in 2007 are included in other assets for purpose</w:t>
      </w: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9"/>
          </w:tcPr>
          <w:p>
            <w:pPr>
              <w:jc w:val="center"/>
              <w:ind w:left="450"/>
              <w:spacing w:after="0"/>
              <w:rPr>
                <w:sz w:val="20"/>
                <w:szCs w:val="20"/>
                <w:color w:val="auto"/>
              </w:rPr>
            </w:pPr>
            <w:r>
              <w:rPr>
                <w:rFonts w:ascii="Arial" w:cs="Arial" w:eastAsia="Arial" w:hAnsi="Arial"/>
                <w:sz w:val="18"/>
                <w:szCs w:val="18"/>
                <w:b w:val="1"/>
                <w:bCs w:val="1"/>
                <w:color w:val="auto"/>
                <w:w w:val="90"/>
              </w:rPr>
              <w:t>2009 Compared to 2008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2008 Compared to 2007</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86"/>
              </w:rPr>
              <w:t>Increase (decrease)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due to changes in</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due to changes in</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9"/>
              </w:rPr>
              <w:t>Volume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35"/>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9"/>
                <w:szCs w:val="19"/>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(21,615)</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(42,233)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(63,848)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12,806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(108,264)</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(95,458)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Taxable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10,028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5"/>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Federal funds sold and other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1,902</w:t>
            </w: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8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(62,008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(109,579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(83,948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48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(17,603)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(19,094)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(16,516)</w:t>
            </w: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Money Market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(4,753)</w:t>
            </w: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Time deposits less than $100,000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(21,519)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(12,370)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(7,473)</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(6,045)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(14,325)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(12,524)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(8,579)</w:t>
            </w: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Brokered deposits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(9,159)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(2,889)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6,920</w:t>
            </w:r>
          </w:p>
        </w:tc>
      </w:tr>
      <w:tr>
        <w:trPr>
          <w:trHeight w:val="223"/>
        </w:trPr>
        <w:tc>
          <w:tcPr>
            <w:tcW w:w="482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(63,941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(56,924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(53,450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(31,290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Federal funds purchased, repurchase agreements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&amp; other short-term borrowings</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(2,827)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(8,537)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5"/>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(8,987)</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7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8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(11,607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320" w:type="dxa"/>
            <w:vAlign w:val="bottom"/>
          </w:tcPr>
          <w:p>
            <w:pPr>
              <w:jc w:val="right"/>
              <w:ind w:right="175"/>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(16,879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(68,531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20,817</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(48,169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Increase in net 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(12,140)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18,663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35"/>
              <w:spacing w:after="0"/>
              <w:rPr>
                <w:sz w:val="20"/>
                <w:szCs w:val="20"/>
                <w:color w:val="auto"/>
              </w:rPr>
            </w:pPr>
            <w:r>
              <w:rPr>
                <w:rFonts w:ascii="Arial" w:cs="Arial" w:eastAsia="Arial" w:hAnsi="Arial"/>
                <w:sz w:val="18"/>
                <w:szCs w:val="18"/>
                <w:color w:val="auto"/>
              </w:rPr>
              <w:t>4,814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(40,593)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(35,779)</w:t>
            </w:r>
          </w:p>
        </w:tc>
      </w:tr>
      <w:tr>
        <w:trPr>
          <w:trHeight w:val="21"/>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$310 million in 2009, compared with $184 million in 2008, and $37.6 million in 2007, which excludes the $18 million special provision for fraud-related loan losses. As an annualized percentage of average outstanding loans, the provision was 5.64%, 3.12% and .66%, respectively, in 2009, 2008 and 2007. The amount of provision recorded in 2009 was the amount required such that the total allowance for loan losses reflected, in the estimation of management, the appropriate balance, and is appropriate to cover inherent losses in the loan portfolio. The increases in the provision and the allowance for loan losses over the last two years were due to an increase in substandard loans, deterioration in the collateral values leading to an expectation of higher charge-offs upon default, further weakening of the residential construction and housing markets, and the recessionary economic environment. The ratio of net loan charge-offs to average outstanding loans for 2009 was 5.03%, compared with 2.57% for 2008, and .38% for 2007, excluding the $18 million in fraud-related charge-offs.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the residential construction and housing markets have struggled, most notably in the Atlanta MSA, it has been difficult for many builders and developers to obtain cash flow from selling lots and houses needed to service debt. This deterioration of the residential construction and housing market was the primary factor that resulted in higher credit losses and an increase in non-performing assets. Although a majority of the loan charge-offs have been within the residential construction and development portion of the portfolio in the Atlanta, Georgia MSA, credit quality deterioration has migrated to other markets and loan categories. Additional discussion on credit quality and the allowance for loan losses is included in the Asset Quality and Critical Accounting Polices sections of this report, as well as Note 1 to the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2009 was $70.2 million, compared with $53.1 million in 2008 and $62.7 million in 2007. Fee revenue for 2009 includes an $11.4 million gain on the acquisition of SCB. Excluding the gain on acquisition, operating fee revenue was $58.8 million for 2009, an increase of $5.6, or 11%, from 2008. The following table presents the components of fee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Table 4 - Fee Revenue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For the Years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98"/>
        </w:trPr>
        <w:tc>
          <w:tcPr>
            <w:tcW w:w="7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2008</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2009-2008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Service charges and fees</w:t>
            </w:r>
          </w:p>
        </w:tc>
        <w:tc>
          <w:tcPr>
            <w:tcW w:w="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30,986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31,683</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31,433</w:t>
            </w:r>
          </w:p>
        </w:tc>
        <w:tc>
          <w:tcPr>
            <w:tcW w:w="32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8,537</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Consulting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8,946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4,095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3,182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Losses on prepayment of borrowings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(2,714)</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(2,242)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8,700</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20"/>
              <w:spacing w:after="0" w:line="201" w:lineRule="exact"/>
              <w:rPr>
                <w:sz w:val="20"/>
                <w:szCs w:val="20"/>
                <w:color w:val="auto"/>
              </w:rPr>
            </w:pPr>
            <w:r>
              <w:rPr>
                <w:rFonts w:ascii="Arial" w:cs="Arial" w:eastAsia="Arial" w:hAnsi="Arial"/>
                <w:sz w:val="18"/>
                <w:szCs w:val="18"/>
                <w:color w:val="auto"/>
              </w:rPr>
              <w:t>Total fee revenue before gain from acquisition</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58,788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53,141</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62,651</w:t>
            </w:r>
          </w:p>
        </w:tc>
        <w:tc>
          <w:tcPr>
            <w:tcW w:w="320" w:type="dxa"/>
            <w:vAlign w:val="bottom"/>
          </w:tcPr>
          <w:p>
            <w:pPr>
              <w:spacing w:after="0"/>
              <w:rPr>
                <w:sz w:val="17"/>
                <w:szCs w:val="17"/>
                <w:color w:val="auto"/>
              </w:rPr>
            </w:pP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Gain from acquisition</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11,390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Total fee revenue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70,178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53,141</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62,651</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Comparability between current and prior years is affected by the acquisitions completed over the last 36 months. Earnings for acquired companies are included in consolidated earnings after their respective acquisition dates.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 charges and fees of $31 million were down $697,000, or 2%, from 2008, primarily due to lower overdraft fees. Overdraft and non-sufficient funds charges decreased $2 million from 2008. This decrease was partially offset by an increase in ATM and debit card fees of $1.1 million from 2008.</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 and related fees of $9 million were up $1.9 million, or 26%, from 2008. The increase was due to a significant increase in the level of refinancing activity as mortgage rates fell to historical lows. In 2009, United closed 3,166 mortgage loans totaling $524 million compared with 2,165 loans totaling $374 million in 2008. Substantially all these originated residential mortgages were sold into the secondary market, including the right to service the loans.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Consulting fees of $7.8 million increased $776,000, or 11%, from 2008. The increase was primarily due to strengthening demand for regulatory consulting services as banks sought assistance in complying with regulatory sanctions. During the last half of 2008 and the first quarter of 2009, several consultants were engaged in an internal project to improve United’s financial performance by assisting management in identifying revenue enhancement and cost savings opportunities. This project allowed Brintech to maintain the consultants’ productivity during a period of weak demand while providing a valuable service to United; however, these services did not result in the recognition of consolidated consulting fee revenue for financial reporting purposes since the services were performed by a wholly-owned subsidiary.</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Brokerage fees decreased $1.4 million, or 40%, from 2008. The decrease in brokerage fees was due to weak market conditions. Additionally, a portion of United’s brokerage fee revenue is derived from the value of assets under management which declined with the overall decline in the market, further contributing to the drop in transaction activity and revenue.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incurred net securities gains of $2.8 million and $1.3 million during 2009 and 2008, respectively, which resulted from balance sheet management activities. The gains in 2008 were offset by losses from the prepayment of FHLB borrowings of $2.7 million. The 2009 net gains included $1.2 million in impairment charges on equity and trust preferred securities investments in banks that failed during the year. In 2009, United sold mortgage-backed securities in an effort to reposition the securities portfolio in anticipation of rising interest rates. The proceeds from the sales were reinvested in U.S. Government Agency bonds to avoid extension risk when interest rates rise.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Other fee revenue of $6.2 million increased $929,000, or 18%, from 2008. The increase was due to higher earnings on deferred compensation plan assets. The decrease of $3.4 million from 2007 to 2008 was due to lower earnings on Bank Owned Life Insurance (“BOLI”) investments, lower earnings on deferred compensation plan assets and a lower earnings credit on float associated with official checks. The decrease in BOLI earnings was due to poor performance in the underlying securities in which the cash surrender value had been invested. The value of the underlying securities, which was comprised of a portfolio of mortgage-backed securities, had depreciated significantly since their original purchase as demand for mortgage-backed securities fell in the wake of the mortgage crisis. Early in the fourth quarter, United informed the carrier of its intent to surrender the policies, incurring a tax charge which is further described in the section titled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on page 35 of this report. In the second quarter of 2009, prior to the completion of the surrender transaction, United was able to negotiate acceptable terms with the insurance carrier and canceled the surrender transaction.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The $11.4 million gain from the SCB acquisition in 2009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$378.2 million and liabilities with an estimated fair value of $366.8 million. The difference between the fair values of the assets received and liabilities assumed of $11.4 million was recorded as a gain from the acquisition. The fair values are preliminary and are subject to refinement for up to one year after the closing date as information relative to closing date fair values becomes available. Changes to the closing date fair values will result in future adjustments to the gain from the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excluding non-operating items were $224.1 million in 2009 as compared to $206.7 million in 2008 and $190.1 million in 2007. Non-recurring charges in 2009 include $95 million for goodwill impairment and $2.9 million in severance costs. Including those non-recurring charges, operating expenses for 2009 were $322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The following table presents the components of operating expenses.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060" w:type="dxa"/>
            <w:vAlign w:val="bottom"/>
          </w:tcPr>
          <w:p>
            <w:pPr>
              <w:spacing w:after="0"/>
              <w:rPr>
                <w:sz w:val="20"/>
                <w:szCs w:val="20"/>
                <w:color w:val="auto"/>
              </w:rPr>
            </w:pPr>
            <w:r>
              <w:rPr>
                <w:rFonts w:ascii="Arial" w:cs="Arial" w:eastAsia="Arial" w:hAnsi="Arial"/>
                <w:sz w:val="18"/>
                <w:szCs w:val="18"/>
                <w:b w:val="1"/>
                <w:bCs w:val="1"/>
                <w:color w:val="auto"/>
              </w:rPr>
              <w:t>Table 5 - Operating Expenses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For the Years Ended December 31,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2009-2008</w:t>
            </w:r>
          </w:p>
        </w:tc>
        <w:tc>
          <w:tcPr>
            <w:tcW w:w="0" w:type="dxa"/>
            <w:vAlign w:val="bottom"/>
          </w:tcPr>
          <w:p>
            <w:pPr>
              <w:spacing w:after="0"/>
              <w:rPr>
                <w:sz w:val="1"/>
                <w:szCs w:val="1"/>
                <w:color w:val="auto"/>
              </w:rPr>
            </w:pPr>
          </w:p>
        </w:tc>
      </w:tr>
      <w:tr>
        <w:trPr>
          <w:trHeight w:val="27"/>
        </w:trPr>
        <w:tc>
          <w:tcPr>
            <w:tcW w:w="7060" w:type="dxa"/>
            <w:vAlign w:val="bottom"/>
            <w:vMerge w:val="restart"/>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vMerge w:val="restart"/>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0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108,967</w:t>
            </w:r>
          </w:p>
        </w:tc>
        <w:tc>
          <w:tcPr>
            <w:tcW w:w="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Pr>
          <w:p>
            <w:pPr>
              <w:ind w:left="80"/>
              <w:spacing w:after="0" w:line="201" w:lineRule="exact"/>
              <w:rPr>
                <w:sz w:val="20"/>
                <w:szCs w:val="20"/>
                <w:color w:val="auto"/>
              </w:rPr>
            </w:pPr>
            <w:r>
              <w:rPr>
                <w:rFonts w:ascii="Arial" w:cs="Arial" w:eastAsia="Arial" w:hAnsi="Arial"/>
                <w:sz w:val="18"/>
                <w:szCs w:val="18"/>
                <w:color w:val="auto"/>
                <w:w w:val="82"/>
              </w:rPr>
              <w:t>110,574</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115,153</w:t>
            </w:r>
          </w:p>
        </w:tc>
        <w:tc>
          <w:tcPr>
            <w:tcW w:w="320" w:type="dxa"/>
            <w:vAlign w:val="bottom"/>
            <w:vMerge w:val="continue"/>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15,490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15,483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Occupancy</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15,796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14,988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13,613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6,117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7,524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6,365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7,218</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Foreclosed property</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4,980</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16,004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2,780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2,739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17,586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14,206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7060" w:type="dxa"/>
            <w:vAlign w:val="bottom"/>
          </w:tcPr>
          <w:p>
            <w:pPr>
              <w:ind w:left="180"/>
              <w:spacing w:after="0" w:line="201" w:lineRule="exact"/>
              <w:rPr>
                <w:sz w:val="20"/>
                <w:szCs w:val="20"/>
                <w:color w:val="auto"/>
              </w:rPr>
            </w:pPr>
            <w:r>
              <w:rPr>
                <w:rFonts w:ascii="Arial" w:cs="Arial" w:eastAsia="Arial" w:hAnsi="Arial"/>
                <w:sz w:val="18"/>
                <w:szCs w:val="18"/>
                <w:color w:val="auto"/>
              </w:rPr>
              <w:t>Operating expenses, before nonrecurring items</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w w:val="95"/>
              </w:rPr>
              <w:t>224,055</w:t>
            </w: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6"/>
              </w:rPr>
              <w:t>206,699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190,061</w:t>
            </w:r>
          </w:p>
        </w:tc>
        <w:tc>
          <w:tcPr>
            <w:tcW w:w="32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Severance cost</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321,953</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206,699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190,061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affect expense comparisons between periods since the operating expenses of acquired companies prior to the acquisition date are not included in United’s consolidated financial statements. This affects year-over-year expense comparisons in the year an acquisition is completed and the year immediately following the acquisition.</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employee benefits expense for 2009 was $109 million, a decrease of $1.6 million, or 1%, from 2008. As a result of United’s reduction in workforce, employee salaries decreased approximately $2.6 million from 2008. The decrease in employee salaries is after adding 37 employees through the acquisition of SCB in June of 2009. A decrease in group medical insurance costs resulting from the lower headcount and plan modifications contributed approximately $1.6 million to the decrease. Through the reduction in workforce, United reduced headcount from 1,994 employees at December 31, 2008 to 1,821 at December 31, 2009, which excludes 37 employees added through the second quarter of 2009 acquisition of SCB. Offsetting the reduction in salaries expense and medical benefits expense was an increase of $2.2 million in deferred compensation expense resulting from appreciation in the value of the underlying deferred compensation plan assets. Changes in the value of deferred compensation plan assets are offset in other fee revenue or other expense.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Communication and equipment expense for 2009 was $15 million, which was down $452,000, or 3%, from 2008. United was able to keep expenses flat despite the additional expenses associated with the acquisition of SCB due to upgrades in technology in previous years.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Occupancy expense for 2009 was $15.8 million, an increase of $808,000, or 5%, from 2008. The majority of this increase was the result of higher insurance, utilities and maintenance charges and higher property taxes related to new banking facilities placed in service over the last 24 months.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and public relations expense for 2009 was $4.2 million, a decrease of $1.9 million, or 31%, from 2008 due to efforts to control discretionary spending and the discontinuance of United’s “refer a friend” program in early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Postage, printing and supplies expense for 2009 was $5.1 million, a decrease of $1.2 million, or 20%, from 2008. Much of the decrease is due to lower postage charges resulting from concentrated efforts to have customers change to electronic statements and the discontinuance of a direct mail marketing campaign that had been in effect. Courier expense was also down from 2008 due to the use of remote deposit capture technology in branch locations to eliminate the need to courier items to be processed between branch locations and item processing centers.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were $9.9 million for 2009, an increase of $2.4 million, or 32%, from 2008 primarily due to higher legal costs associated with loan workouts and foreclosures.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expense for 2009 was $32.4 million, an increase of $13.3 million from 2008. Foreclosed property expenses have remained elevated throughout the weak economic cycle. This expense category includes legal fees, property taxes, marketing costs, utility services, maintenance and repair charges, as well as realized losses and write-downs associated with foreclosed properties. Realized losses and write-downs were $18.1 million for the year ended December 31, 2009, compared to $12.4 million for 2008. Expenses related to foreclosed properties have risen with the increase in the number of foreclosed properties.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FDIC assessments and other regulatory charges expense for 2009 was $16 million, an increase of $10 million from 2008, reflecting an increase in FDIC insurance premiums as well as a $3.8 million provision for the special assessment charged to all depository institutions in 2009. In January of 2007, the FDIC began assessing deposit insurance premiums to re-capitalize the deposit insurance fund. The FDIC allowed credits to those banks that had paid deposit insurance previously, which significantly reduced the amount of United’s 2007 assessment. For 2007 and 2008, the deposit insurance assessment rates for banks in the lowest risk category ranged from 5 basis points to 7 basis points on deposit balances. During 2008, United’s assessment was at the upper end of the range and beginning in the first quarter of 2009, the FDIC increased the rate by 7 basis points. In the fourth quarter of 2009, the FDIC announced that banks will be required to prepay deposit insurance premiums for the years 2010 through 2012. While this resulted in a $37.8 million premium cash outlay in the fourth quarter, the expense will be recognized ratably over the next three years in the consolidated statement of income.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expenses were $13.6 million for 2009, a decrease of $4 million, or 23%, from 2008. The decrease from 2008 was due the accrual of a $2.4 million in the fourth quarter of 2008 for a disputed charge from the transfer of BOLI investments which was reversed in the second quarter of 2009 upon a settlement in United’s favor.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was $90.4 million in 2009, compared to income tax benefit of $37.7 million in 2008 and income tax expense of $31.6 million in 2007. The effective tax rates (as a percentage of pre-tax net income) were 28.4%, 37.2%, and 35.3% for 2009, 2008 and 2007,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for 2009 also reflects a decision made by management to reinstate certain BOLI policies which United had surrendered in the third quarter of 2008. United notified the carrier of its intent to surrender the policies in the fourth quarter of 2008 due to a dispute with the carrier. The policies required a six-month waiting period before the surrender became effective. Prior to the expiration of the six-month waiting period, United and the carrier were able to reach an acceptable settlement of the dispute and the surrender transaction was terminated. The tax charge recorded in 2008 was reversed during the second quarter of 2009.</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tax rate for 2009 also reflects the tax treatment of the $95 million goodwill impairment charge for the year. The majority of United’s goodwill originated from acquisitions that were treated as tax-free exchanges, and therefore no tax deduction is allowed for a majority of the impairment charges. The 2009 effective tax rate reflects a valuation allowance established for deferred tax assets. Management determined that it is more likely than not that approximately $3.9 million, net of Federal benefit, of state low income housing and business tax credits will expire unused due to a relatively short three and five year carry forward periods, respectively. In the fourth quarter of 2009, United resolved a tax dispute with a state taxing authority relative to an issue identified during a routine audit. United had fully reserved for the issue as an uncertain tax position. The resolution resulted in the release of the reserve which increased the fourth quarter 2009 tax benefit by approximately $3 million. Absent the goodwill impairment charges, the BOLI transactions, the settlement of the uncertain tax position and the valuation allowance on deferred tax assets, United’s effective tax rate for the year ended December 31, 2009, would have been approximately 38%.</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At December 31, 2009, United had net deferred tax assets of $69.2 million, including a valuation allowance of $3.9 million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2009, United’s management believes that it is more likely than not that, with the exception of the state tax credits that are expected to expire unused due to a relatively short carry forward periods of three to five years, it will be able to realize its deferred tax benefits through its ability to carry losses forward to future profitable years. Despite recent losses and the challenging economic environment, United has a history of strong earnings, is well capitalized, and has cautiously optimistic expectations regarding future taxable income. The deferred tax assets are analyzed quarterly for changes affecting realizabilty, and there can be no guarantee that a valuation allowance will not be necessary in future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14 to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Discussion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Taxable equivalent net interest revenue for the fourth quarter of 2009 increased $12.1 million, or 23%, to $63.9 million from the same period a year ago primarily due to lower deposit costs and wider credit spreads and floors in loans. Loans were down $427.0 million during the fourth quarter of 2009 compared to 2008. The net interest margin increased 70 basis points from the fourth quarter of 2008 to 3.40% for the fourth quarter of 2009. Several factors led to the margin improvement including the easing of competitive pricing pressures on deposits and United’s intensified focus on loan pricing to ensure adequate compensation for risk.</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fourth quarter of 2009 provision for loan losses was $90.0 million. Non-performing assets totaled $385 million, up $134.4 million from a year ago. Non-performing assets as a percentage of total assets were 4.81% at December 31, 2009, compared with 2.92% at December 31, 2008.</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2009, fee revenue of $17.2 million increased $6.5 million, or 61%, from $10.7 million for the fourth quarter of 2008. Service charges and fees on deposit accounts increased $515,000, or 6%, to $8.3 million, primarily due to higher ATM fees. Mortgage fees increased $123,000, or 8%, to $1.7 million due to an increase in refinancing activity as mortgage rates remained at historic lows. United closed $86 million in mortgage loans in the fourth quarter of 2009, compared to $78 million in the fourth quarter of 2008. Consulting fees increased $1.5 million from a year ago to $2.8 million, reflecting an increased demand for regulatory compliance assistance. Consulting fees were low in the fourth quarter of 2008 due to the use of Brintech consultants on internal projects that did not result in the recognition of revenue. United recognized securities gains of $2.0 million in the fourth quarter of 2009, up $1.2 million from the fourth quarter of 2008. The securities gains in 2008 were offset by losses of $2.7 million from the prepayment of Federal Home Loan Bank advances.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Operating expenses increased $10.1 million to $62.5 million, a 19% increase from the fourth quarter of 2008. Salaries and employee benefit costs of $26.2 million increased $1.7 million, or 7%, from the fourth quarter of 2008. This increase was due to adjustments of $3 million to reduce bonus expense and $736,000 to reduce deferred compensation expense in 2008. Excluding the 2008 adjustments, salaries and benefits expense for the fourth quarter of 2009 was</w:t>
      </w:r>
    </w:p>
    <w:p>
      <w:pPr>
        <w:jc w:val="both"/>
        <w:spacing w:after="0" w:line="267" w:lineRule="auto"/>
        <w:rPr>
          <w:sz w:val="20"/>
          <w:szCs w:val="20"/>
          <w:color w:val="auto"/>
        </w:rPr>
      </w:pPr>
      <w:r>
        <w:rPr>
          <w:rFonts w:ascii="Arial" w:cs="Arial" w:eastAsia="Arial" w:hAnsi="Arial"/>
          <w:sz w:val="17"/>
          <w:szCs w:val="17"/>
          <w:color w:val="auto"/>
        </w:rPr>
        <w:t>down $2 million from the fourth quarter of 2008 due to the staff reduction. Communications and equipment expenses remained flat at $3.9 million. Occupancy expense increased $375,000 to $4.0 million due to higher depreciation and property taxes resulting from new locations. Professional fees increased $258,000 to $2.6 million reflecting higher legal expenses associated with loan workouts and foreclosures. Postage, printing and supplies expense decreased $448,000 to $1.3 million due to increased use of electronic statements and branch capture devices that reduced the need for couriers. For the fourth quarter of 2009, advertising and public relations expense decreased $325,000, or 24%, reflecting a continued focus on controlling discretionary expenses. Foreclosed property expense of $14.4 million increased $9.2 million compared to $5.2 million for the fourth quarter of 2008, due to additional losses on sales and write-downs taken to accelerate the disposition of properties and higher expenses due to the increase in the number of properties. FDIC insurance premiums increased from $2.0 million during the fourth quarter of 2008 to $3.7 million for the same period in 2009, due to an increase in the FDIC insurance assessment rate. Other operating expense decreased $2.5 million to $4.5 million primarily due to a $2.0 million disputed charge from the transfer of BOLI assets that was recorded in the fourth quarter of 2008. This accrual was reversed during the second quarter of 2009, as the charge was settled in United’s favor.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at December 31, 2009 were $8.0 billion, a decrease of $592 million, or 7%, from December 31, 2008. On an average basis, total assets decreased $29.9 million, or less than 1%, from 2008 to 2009. Average interest earning assets for 2009 and 2008 were $7.5 billion for each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loans averaged $5.5 billion in 2009, compared with $5.9 billion in 2008, a decrease of 6%. The decrease results from weak loan demand within United’s market and management’s efforts to reduce United’s residential construction concentration. At December 31, 2009, total loans were $5.2 billion, a decrease of $553 million, or 10%, from December 31, 2008. The rate of loan growth began to decline in the first quarter of 2007, and, except for commercial loans (secured by real estate), the balances have continued to decline through 2008 and 2009. The decrease in the loan portfolio was primarily due to deterioration in the residential construction and housing markets and management’s focus to reduce exposures in both residential and commercial construction loans. This deterioration resulted in part in an oversupply of lot inventory, houses and land within United’s markets, which further slowed construction activities and acquisition and development projects. To date, the decline in the housing market has been most severe in the Atlanta, Georgia MSA, although there has been migration of deterioration into United’s other markets.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r>
              <w:rPr>
                <w:rFonts w:ascii="Arial" w:cs="Arial" w:eastAsia="Arial" w:hAnsi="Arial"/>
                <w:sz w:val="18"/>
                <w:szCs w:val="18"/>
                <w:b w:val="1"/>
                <w:bCs w:val="1"/>
                <w:color w:val="auto"/>
              </w:rPr>
              <w:t>Loans by Category</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Commercial (secured by real estate)</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$ 1,779,398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$ 1,626,966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$ 1,475,930</w:t>
            </w:r>
          </w:p>
        </w:tc>
        <w:tc>
          <w:tcPr>
            <w:tcW w:w="34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$ 1,229,910</w:t>
            </w:r>
          </w:p>
        </w:tc>
        <w:tc>
          <w:tcPr>
            <w:tcW w:w="3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$ 1,055,191</w:t>
            </w:r>
          </w:p>
        </w:tc>
        <w:tc>
          <w:tcPr>
            <w:tcW w:w="20" w:type="dxa"/>
            <w:vAlign w:val="bottom"/>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390,520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410,529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417,715</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295,698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236,882</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362,566</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499,663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527,123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469,432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359,450</w:t>
            </w:r>
          </w:p>
        </w:tc>
      </w:tr>
      <w:tr>
        <w:trPr>
          <w:trHeight w:val="202"/>
        </w:trPr>
        <w:tc>
          <w:tcPr>
            <w:tcW w:w="5820" w:type="dxa"/>
            <w:vAlign w:val="bottom"/>
          </w:tcPr>
          <w:p>
            <w:pPr>
              <w:ind w:left="140"/>
              <w:spacing w:after="0" w:line="201" w:lineRule="exact"/>
              <w:rPr>
                <w:sz w:val="20"/>
                <w:szCs w:val="20"/>
                <w:color w:val="auto"/>
              </w:rPr>
            </w:pPr>
            <w:r>
              <w:rPr>
                <w:rFonts w:ascii="Arial" w:cs="Arial" w:eastAsia="Arial" w:hAnsi="Arial"/>
                <w:sz w:val="18"/>
                <w:szCs w:val="18"/>
                <w:color w:val="auto"/>
              </w:rPr>
              <w:t>Total commercial</w:t>
            </w:r>
          </w:p>
        </w:tc>
        <w:tc>
          <w:tcPr>
            <w:tcW w:w="8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2,532,484</w:t>
            </w:r>
          </w:p>
        </w:tc>
        <w:tc>
          <w:tcPr>
            <w:tcW w:w="3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2,537,158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2,420,768</w:t>
            </w:r>
          </w:p>
        </w:tc>
        <w:tc>
          <w:tcPr>
            <w:tcW w:w="34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1,995,040</w:t>
            </w:r>
          </w:p>
        </w:tc>
        <w:tc>
          <w:tcPr>
            <w:tcW w:w="3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1,651,523</w:t>
            </w:r>
          </w:p>
        </w:tc>
        <w:tc>
          <w:tcPr>
            <w:tcW w:w="20" w:type="dxa"/>
            <w:vAlign w:val="bottom"/>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1,050,065</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1,478,679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1,829,506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1,864,153</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1,379,540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Residential mortgage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1,427,198</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1,526,388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1,501,916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1,337,728</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1,205,685</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Installment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141,729</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162,636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177,073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179,617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161,538</w:t>
            </w: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$ 5,151,476</w:t>
            </w:r>
          </w:p>
        </w:tc>
        <w:tc>
          <w:tcPr>
            <w:tcW w:w="3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$ 5,704,861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$ 5,929,263</w:t>
            </w:r>
          </w:p>
        </w:tc>
        <w:tc>
          <w:tcPr>
            <w:tcW w:w="3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$ 5,376,538</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$ 4,398,286</w:t>
            </w:r>
          </w:p>
        </w:tc>
        <w:tc>
          <w:tcPr>
            <w:tcW w:w="2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r>
              <w:rPr>
                <w:rFonts w:ascii="Arial" w:cs="Arial" w:eastAsia="Arial" w:hAnsi="Arial"/>
                <w:sz w:val="18"/>
                <w:szCs w:val="18"/>
                <w:b w:val="1"/>
                <w:bCs w:val="1"/>
                <w:color w:val="auto"/>
              </w:rPr>
              <w:t>Loans by Market</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Atlanta MSA</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$ 1,435,223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$ 1,705,561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$ 2,002,089</w:t>
            </w:r>
          </w:p>
        </w:tc>
        <w:tc>
          <w:tcPr>
            <w:tcW w:w="34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$ 1,651,465</w:t>
            </w:r>
          </w:p>
        </w:tc>
        <w:tc>
          <w:tcPr>
            <w:tcW w:w="3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$ 1,207,177</w:t>
            </w:r>
          </w:p>
        </w:tc>
        <w:tc>
          <w:tcPr>
            <w:tcW w:w="20" w:type="dxa"/>
            <w:vAlign w:val="bottom"/>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Gainesville MSA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389,766</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420,169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399,560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353,559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248,618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North Georgia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1,883,880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2,040,082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2,060,224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2,033,553</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1,789,757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North Carolina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771,709</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809,863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805,999</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773,301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668,560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East Tennessee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265,209</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265,544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245,769</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207,001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177,728</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Coastal Georgia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405,689</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463,642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415,622</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357,659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306,446</w:t>
            </w: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$ 5,151,476</w:t>
            </w:r>
          </w:p>
        </w:tc>
        <w:tc>
          <w:tcPr>
            <w:tcW w:w="3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$ 5,704,861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$ 5,929,263</w:t>
            </w:r>
          </w:p>
        </w:tc>
        <w:tc>
          <w:tcPr>
            <w:tcW w:w="3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$ 5,376,538</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$ 4,398,286</w:t>
            </w:r>
          </w:p>
        </w:tc>
        <w:tc>
          <w:tcPr>
            <w:tcW w:w="2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loans are to customers (including customers who have a seasonal residence in United’s market areas) located in Georgia, North Carolina and Tennessee, the immediate market areas of United, and 90% of the loans are secured by real estate.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2009, United’s 25 largest credit relationships consisted of loans and loan commitments ranging from $12.4 million to $38.5 million, with an aggregate total credit exposure of $441.2 million, including $35.5 million in unfunded commitments, and $405.7 million in balances outstanding, excluding participations sold. United had only five lending relationships whose total credit exposure exceeded $21 million.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80"/>
              <w:spacing w:after="0"/>
              <w:rPr>
                <w:sz w:val="20"/>
                <w:szCs w:val="20"/>
                <w:color w:val="auto"/>
              </w:rPr>
            </w:pPr>
            <w:r>
              <w:rPr>
                <w:rFonts w:ascii="Arial" w:cs="Arial" w:eastAsia="Arial" w:hAnsi="Arial"/>
                <w:sz w:val="18"/>
                <w:szCs w:val="18"/>
                <w:color w:val="auto"/>
              </w:rPr>
              <w:t>Rate Structure for Loans</w:t>
            </w:r>
          </w:p>
        </w:tc>
      </w:tr>
      <w:tr>
        <w:trPr>
          <w:trHeight w:val="237"/>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Maturity</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60"/>
              <w:spacing w:after="0"/>
              <w:rPr>
                <w:sz w:val="20"/>
                <w:szCs w:val="20"/>
                <w:color w:val="auto"/>
              </w:rPr>
            </w:pPr>
            <w:r>
              <w:rPr>
                <w:rFonts w:ascii="Arial" w:cs="Arial" w:eastAsia="Arial" w:hAnsi="Arial"/>
                <w:sz w:val="18"/>
                <w:szCs w:val="18"/>
                <w:color w:val="auto"/>
              </w:rPr>
              <w:t>Maturing Over One Year</w:t>
            </w:r>
          </w:p>
        </w:tc>
      </w:tr>
      <w:tr>
        <w:trPr>
          <w:trHeight w:val="202"/>
        </w:trPr>
        <w:tc>
          <w:tcPr>
            <w:tcW w:w="3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88"/>
              </w:rPr>
              <w:t>One Year</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One through</w:t>
            </w: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w w:val="92"/>
              </w:rPr>
              <w:t>Over Five</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Fixed</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3"/>
              </w:rPr>
              <w:t>Floating</w:t>
            </w:r>
          </w:p>
        </w:tc>
        <w:tc>
          <w:tcPr>
            <w:tcW w:w="2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or Less</w:t>
            </w:r>
          </w:p>
        </w:tc>
        <w:tc>
          <w:tcPr>
            <w:tcW w:w="2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Five Years</w:t>
            </w:r>
          </w:p>
        </w:tc>
        <w:tc>
          <w:tcPr>
            <w:tcW w:w="8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Years</w:t>
            </w:r>
          </w:p>
        </w:tc>
        <w:tc>
          <w:tcPr>
            <w:tcW w:w="1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Rate</w:t>
            </w:r>
          </w:p>
        </w:tc>
        <w:tc>
          <w:tcPr>
            <w:tcW w:w="12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Rate</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Commercial (commercial and industrial)</w:t>
            </w: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211,785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w w:val="86"/>
              </w:rPr>
              <w:t>116,101</w:t>
            </w:r>
          </w:p>
        </w:tc>
        <w:tc>
          <w:tcPr>
            <w:tcW w:w="4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62,634</w:t>
            </w:r>
          </w:p>
        </w:tc>
        <w:tc>
          <w:tcPr>
            <w:tcW w:w="44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390,520</w:t>
            </w:r>
          </w:p>
        </w:tc>
        <w:tc>
          <w:tcPr>
            <w:tcW w:w="44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116,901</w:t>
            </w:r>
          </w:p>
        </w:tc>
        <w:tc>
          <w:tcPr>
            <w:tcW w:w="44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61,834</w:t>
            </w:r>
          </w:p>
        </w:tc>
        <w:tc>
          <w:tcPr>
            <w:tcW w:w="2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Construction (commercial and residential)</w:t>
            </w: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1,070,499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233,698</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108,434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1,412,631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172,714</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169,418</w:t>
            </w: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1,282,284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349,799</w:t>
            </w: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171,068</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1,803,151</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289,615</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231,252</w:t>
            </w:r>
          </w:p>
        </w:tc>
        <w:tc>
          <w:tcPr>
            <w:tcW w:w="20" w:type="dxa"/>
            <w:vAlign w:val="bottom"/>
          </w:tcPr>
          <w:p>
            <w:pPr>
              <w:spacing w:after="0"/>
              <w:rPr>
                <w:sz w:val="18"/>
                <w:szCs w:val="18"/>
                <w:color w:val="auto"/>
              </w:rPr>
            </w:pPr>
          </w:p>
        </w:tc>
      </w:tr>
      <w:tr>
        <w:trPr>
          <w:trHeight w:val="21"/>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among all of the Community Banks. Additional information on United’s loan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that jeopardizes repayment by the borrower and there is a distinct possibility that United could sustain some loss if the deficiency is not corrected.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4"/>
          </w:tcPr>
          <w:p>
            <w:pPr>
              <w:ind w:left="1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June 30,</w:t>
            </w:r>
          </w:p>
        </w:tc>
        <w:tc>
          <w:tcPr>
            <w:tcW w:w="1100" w:type="dxa"/>
            <w:vAlign w:val="bottom"/>
            <w:gridSpan w:val="4"/>
          </w:tcPr>
          <w:p>
            <w:pPr>
              <w:ind w:left="16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4"/>
          </w:tcPr>
          <w:p>
            <w:pPr>
              <w:ind w:lef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Commercial (sec. by RE)</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123,738</w:t>
            </w:r>
          </w:p>
        </w:tc>
        <w:tc>
          <w:tcPr>
            <w:tcW w:w="16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93,454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69,657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65,211</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43,228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50,888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31,733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15,552</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33,976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34,491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11,814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14,931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20,694</w:t>
            </w: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209,410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178,833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6"/>
              </w:rPr>
              <w:t>117,787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111,875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79,474</w:t>
            </w:r>
          </w:p>
        </w:tc>
        <w:tc>
          <w:tcPr>
            <w:tcW w:w="20" w:type="dxa"/>
            <w:vAlign w:val="bottom"/>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196,909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207,711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148,094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138,353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159,963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83,504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71,959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62,374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51,291</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3,052</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341,306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315,824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293,780</w:t>
            </w:r>
          </w:p>
        </w:tc>
        <w:tc>
          <w:tcPr>
            <w:tcW w:w="20" w:type="dxa"/>
            <w:vAlign w:val="bottom"/>
          </w:tcPr>
          <w:p>
            <w:pPr>
              <w:spacing w:after="0"/>
              <w:rPr>
                <w:sz w:val="18"/>
                <w:szCs w:val="18"/>
                <w:color w:val="auto"/>
              </w:rPr>
            </w:pPr>
          </w:p>
        </w:tc>
      </w:tr>
      <w:tr>
        <w:trPr>
          <w:trHeight w:val="21"/>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2009, performing substandard loans totaled $489 million and increased $196 million from December 31, 2008. Residential construction loans, particularly in Atlanta, have represented the largest proportion of both performing substandard and nonperforming loans. The increase in substandard residential mortgages is primarily related to rising unemployment rates. The increase in substandard commercial loans reflects the recessionary economic environment.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and are designed to identify risk migration and potential charges to the allowance for loan losses. These reviews are performed by the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to complement the efforts of United’s internal loan review and to enhance the independence of the loan review process.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for each of the past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Allocation of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2005</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7"/>
              </w:rPr>
              <w:t>Amount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Amount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gridSpan w:val="4"/>
          </w:tcPr>
          <w:p>
            <w:pPr>
              <w:ind w:left="20"/>
              <w:spacing w:after="0"/>
              <w:rPr>
                <w:sz w:val="20"/>
                <w:szCs w:val="20"/>
                <w:color w:val="auto"/>
              </w:rPr>
            </w:pPr>
            <w:r>
              <w:rPr>
                <w:rFonts w:ascii="Arial" w:cs="Arial" w:eastAsia="Arial" w:hAnsi="Arial"/>
                <w:sz w:val="18"/>
                <w:szCs w:val="18"/>
                <w:b w:val="1"/>
                <w:bCs w:val="1"/>
                <w:color w:val="auto"/>
              </w:rPr>
              <w:t>Amount</w:t>
            </w: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Commercial (commercial and</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8,512</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7,902</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4,492</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(secured by real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8,948</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9,520</w:t>
            </w:r>
          </w:p>
        </w:tc>
        <w:tc>
          <w:tcPr>
            <w:tcW w:w="1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14,716</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12,401</w:t>
            </w:r>
          </w:p>
        </w:tc>
        <w:tc>
          <w:tcPr>
            <w:tcW w:w="1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02"/>
        </w:trPr>
        <w:tc>
          <w:tcPr>
            <w:tcW w:w="2420" w:type="dxa"/>
            <w:vAlign w:val="bottom"/>
          </w:tcPr>
          <w:p>
            <w:pPr>
              <w:ind w:left="140"/>
              <w:spacing w:after="0" w:line="201"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26,100</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17,460</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17,422</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20,474</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16,893</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71,573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38,183</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25,181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20,787</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18,364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19,611</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11,323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3,756</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3,823</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11,118</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10,384</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6,343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4,778</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Total allowance for loan</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155,602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122,271</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89,423</w:t>
            </w:r>
          </w:p>
        </w:tc>
        <w:tc>
          <w:tcPr>
            <w:tcW w:w="1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66,566</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53,595</w:t>
            </w:r>
          </w:p>
        </w:tc>
        <w:tc>
          <w:tcPr>
            <w:tcW w:w="1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Loan balance in each category, expressed as a percentage of total loans.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presents a summary of changes in the allowance for loan losses for each of the past five years.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Table 10 - Allowance for Loan Losses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60"/>
              <w:spacing w:after="0" w:line="201" w:lineRule="exact"/>
              <w:rPr>
                <w:sz w:val="20"/>
                <w:szCs w:val="20"/>
                <w:color w:val="auto"/>
              </w:rPr>
            </w:pPr>
            <w:r>
              <w:rPr>
                <w:rFonts w:ascii="Arial" w:cs="Arial" w:eastAsia="Arial" w:hAnsi="Arial"/>
                <w:sz w:val="18"/>
                <w:szCs w:val="18"/>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122,271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66,566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53,595</w:t>
            </w:r>
          </w:p>
        </w:tc>
        <w:tc>
          <w:tcPr>
            <w:tcW w:w="3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47,196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Allowance for loan losses acquired from</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subsidiaries at merger date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219,168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123,771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5620" w:type="dxa"/>
            <w:vAlign w:val="bottom"/>
          </w:tcPr>
          <w:p>
            <w:pPr>
              <w:ind w:left="240"/>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23"/>
        </w:trPr>
        <w:tc>
          <w:tcPr>
            <w:tcW w:w="562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60"/>
              <w:spacing w:after="0" w:line="201" w:lineRule="exact"/>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5620" w:type="dxa"/>
            <w:vAlign w:val="bottom"/>
          </w:tcPr>
          <w:p>
            <w:pPr>
              <w:ind w:left="240"/>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562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20"/>
              <w:spacing w:after="0"/>
              <w:rPr>
                <w:sz w:val="20"/>
                <w:szCs w:val="20"/>
                <w:color w:val="auto"/>
              </w:rPr>
            </w:pPr>
            <w:r>
              <w:rPr>
                <w:rFonts w:ascii="Arial" w:cs="Arial" w:eastAsia="Arial" w:hAnsi="Arial"/>
                <w:sz w:val="18"/>
                <w:szCs w:val="18"/>
                <w:color w:val="auto"/>
              </w:rPr>
              <w:t>Net charge-offs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66,566</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Total loans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At year-end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5,151,476</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5,704,861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5,929,263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5,376,538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4,398,286</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5,501,165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5,890,889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5,734,608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4,800,981</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4,061,091</w:t>
            </w:r>
          </w:p>
        </w:tc>
        <w:tc>
          <w:tcPr>
            <w:tcW w:w="0" w:type="dxa"/>
            <w:vAlign w:val="bottom"/>
          </w:tcPr>
          <w:p>
            <w:pPr>
              <w:spacing w:after="0"/>
              <w:rPr>
                <w:sz w:val="1"/>
                <w:szCs w:val="1"/>
                <w:color w:val="auto"/>
              </w:rPr>
            </w:pPr>
          </w:p>
        </w:tc>
      </w:tr>
      <w:tr>
        <w:trPr>
          <w:trHeight w:val="418"/>
        </w:trPr>
        <w:tc>
          <w:tcPr>
            <w:tcW w:w="5620" w:type="dxa"/>
            <w:vAlign w:val="bottom"/>
          </w:tcPr>
          <w:p>
            <w:pPr>
              <w:ind w:left="40"/>
              <w:spacing w:after="0"/>
              <w:rPr>
                <w:sz w:val="20"/>
                <w:szCs w:val="20"/>
                <w:color w:val="auto"/>
              </w:rPr>
            </w:pPr>
            <w:r>
              <w:rPr>
                <w:rFonts w:ascii="Arial" w:cs="Arial" w:eastAsia="Arial" w:hAnsi="Arial"/>
                <w:sz w:val="18"/>
                <w:szCs w:val="18"/>
                <w:color w:val="auto"/>
              </w:rPr>
              <w:t>Allowance as a percentage of year-</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end loans</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18"/>
        </w:trPr>
        <w:tc>
          <w:tcPr>
            <w:tcW w:w="5620" w:type="dxa"/>
            <w:vAlign w:val="bottom"/>
          </w:tcPr>
          <w:p>
            <w:pPr>
              <w:ind w:left="40"/>
              <w:spacing w:after="0"/>
              <w:rPr>
                <w:sz w:val="20"/>
                <w:szCs w:val="20"/>
                <w:color w:val="auto"/>
              </w:rPr>
            </w:pPr>
            <w:r>
              <w:rPr>
                <w:rFonts w:ascii="Arial" w:cs="Arial" w:eastAsia="Arial" w:hAnsi="Arial"/>
                <w:sz w:val="18"/>
                <w:szCs w:val="18"/>
                <w:color w:val="auto"/>
              </w:rPr>
              <w:t>As a percentage of average loans: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8"/>
        </w:trPr>
        <w:tc>
          <w:tcPr>
            <w:tcW w:w="5620" w:type="dxa"/>
            <w:vAlign w:val="bottom"/>
          </w:tcPr>
          <w:p>
            <w:pPr>
              <w:ind w:left="40"/>
              <w:spacing w:after="0"/>
              <w:rPr>
                <w:sz w:val="20"/>
                <w:szCs w:val="20"/>
                <w:color w:val="auto"/>
              </w:rPr>
            </w:pPr>
            <w:r>
              <w:rPr>
                <w:rFonts w:ascii="Arial" w:cs="Arial" w:eastAsia="Arial" w:hAnsi="Arial"/>
                <w:sz w:val="18"/>
                <w:szCs w:val="18"/>
                <w:color w:val="auto"/>
              </w:rPr>
              <w:t>Allowance as a percentage of</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non-performing loans</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0" w:right="1080" w:hanging="7"/>
        <w:spacing w:after="0" w:line="342" w:lineRule="auto"/>
        <w:tabs>
          <w:tab w:leader="none" w:pos="1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Excluding impaired loans with no allocated reserve, the coverage ratio was 190% and 125% at December 31, 2009 and 2008, respectively. ** - Excludes loans acquired through the FDIC assisted acquisition of Southern Community Bank that are covered by loss sharing agreements.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for loan losses at a level appropriate to absorb losses inherent in the loan portfolio at the balance sheet date. The amount each year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increases in the provision and the allowance for loan losses compared to a year ago were due to increasing trends in substandard loans, deterioration in the collateral values leading to an expectation of higher charge-offs upon default, further weakening of the residential construction and housing markets, and the recessionary economic environment.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loan losses at December 31, 2009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Non-performing loans, which include non-accrual loans and accruing loans past due over 90 days, totaled $264.1 million at December 31 2009, compared with $190.7 million at December 31, 2008. At December 31, 2009 and 2008, the ratio of non-performing loans to total loans was 5.13% and 3.34%, respectively. Non-performing assets, which include non-performing loans and foreclosed property, totaled $384.9 million at December 31, 2009, compared with $250.5 million at December 31, 2008. United’s position throughout the recession has been to actively and aggressively work to dispose of problem assets quickly.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both well secured and in the process of collection. When a loan is placed on non-accrual status, interest previously accrued but not collected is reversed against current interest revenue. Interest payments received on non-accrual loans are applied as a reduction of principal.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commitments to lend additional funds to customers whose loans were on non-accrual status at December 31, 2009, although in certain isolated cases, United executed forbearance agreements whereby United will continue to fund construction loans to completion as long as the borrower meets the conditions of the forbearance agreement. The table below summarizes non-performing assets at year-end for the last five years. It excludes assets acquired in 2009 that are covered by the loss-sharing agreement with the FDIC. These assets have been excluded from the review of non-performing assets, as the loss-sharing agreement with the FDIC and purchase price adjustments to reflect credit losses, effectively eliminate the likelihood of recognizing any losses on the covered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2005</w:t>
            </w:r>
          </w:p>
        </w:tc>
        <w:tc>
          <w:tcPr>
            <w:tcW w:w="140" w:type="dxa"/>
            <w:vAlign w:val="bottom"/>
          </w:tcPr>
          <w:p>
            <w:pPr>
              <w:spacing w:after="0"/>
              <w:rPr>
                <w:sz w:val="20"/>
                <w:szCs w:val="20"/>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Non-accrual loans (NPLs)</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264,092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190,723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28,219</w:t>
            </w:r>
          </w:p>
        </w:tc>
        <w:tc>
          <w:tcPr>
            <w:tcW w:w="3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12,458</w:t>
            </w:r>
          </w:p>
        </w:tc>
        <w:tc>
          <w:tcPr>
            <w:tcW w:w="3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11,997</w:t>
            </w:r>
          </w:p>
        </w:tc>
        <w:tc>
          <w:tcPr>
            <w:tcW w:w="14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820" w:type="dxa"/>
            <w:vAlign w:val="bottom"/>
          </w:tcPr>
          <w:p>
            <w:pPr>
              <w:ind w:left="180"/>
              <w:spacing w:after="0" w:line="201" w:lineRule="exact"/>
              <w:rPr>
                <w:sz w:val="20"/>
                <w:szCs w:val="20"/>
                <w:color w:val="auto"/>
              </w:rPr>
            </w:pPr>
            <w:r>
              <w:rPr>
                <w:rFonts w:ascii="Arial" w:cs="Arial" w:eastAsia="Arial" w:hAnsi="Arial"/>
                <w:sz w:val="18"/>
                <w:szCs w:val="18"/>
                <w:color w:val="auto"/>
              </w:rPr>
              <w:t>Total non-performing loans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w w:val="95"/>
              </w:rPr>
              <w:t>264,092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190,723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28,219</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12,458</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11,997</w:t>
            </w:r>
          </w:p>
        </w:tc>
        <w:tc>
          <w:tcPr>
            <w:tcW w:w="14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Foreclosed property</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120,770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59,768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18,039</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Total non-performing assets (NPAs)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384,862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250,491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12,995</w:t>
            </w:r>
          </w:p>
        </w:tc>
        <w:tc>
          <w:tcPr>
            <w:tcW w:w="14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5820" w:type="dxa"/>
            <w:vAlign w:val="bottom"/>
          </w:tcPr>
          <w:p>
            <w:pPr>
              <w:spacing w:after="0"/>
              <w:rPr>
                <w:sz w:val="20"/>
                <w:szCs w:val="20"/>
                <w:color w:val="auto"/>
              </w:rPr>
            </w:pPr>
            <w:r>
              <w:rPr>
                <w:rFonts w:ascii="Arial" w:cs="Arial" w:eastAsia="Arial" w:hAnsi="Arial"/>
                <w:sz w:val="18"/>
                <w:szCs w:val="18"/>
                <w:color w:val="auto"/>
              </w:rPr>
              <w:t>NPLs as a percentage of total loans</w:t>
            </w:r>
          </w:p>
        </w:tc>
        <w:tc>
          <w:tcPr>
            <w:tcW w:w="16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NPAs as a percentage of loans and foreclosed properties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NPAs as a percentage of total assets</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Excluded from the table above at December 31, 2009 were $60.4 million in loans with terms that have been modified in a troubled debt restructuring (“TDR”). All of the TDRs are performing in accordance with their modified terms and are therefore not considered to be non-performing assets. There were no TDRs reported for any of the prior reporting periods presented above.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At December 31, 2009 and 2008, there were $198.3 million and $142.3 million, respectively, of loans classified as impaired under the definition outlined in the Accounting Standards Codification. Included in impaired loans at December 31, 2009 and 2008 were $182.2 million and $92.6 million, respectively, that did not require specific reserves or had previously been charged down to net realizable value. The balance of impaired loans at December 31, 2009 of $16.1 million had specific reserves that totaled $3.0 million and the balance of impaired loans at December 31, 2008 of $49.7 million had specific reserves that totaled $15.7 million. The average recorded investment in impaired loans for the years ended December 31, 2009 and 2008 was $229.1 million and $97.1 million, respectively. During 2009 and 2008, there was no interest revenue recognized on loans while they were impaired. United’s policy is to discontinue the recognition of interest revenue for loans classified as impaired under ASC Topic 310-10-35,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when the loan meets the criteria for nonaccrual status.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by quarter. Assets covered by the loss-sharing agreement with the FDIC related to the acquisition of SCB are not included in this table.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12 - Nonperforming Assets by Quarter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1"/>
                <w:szCs w:val="11"/>
                <w:b w:val="1"/>
                <w:bCs w:val="1"/>
                <w:color w:val="auto"/>
              </w:rPr>
              <w:t xml:space="preserve">December 31, 2009 </w:t>
            </w:r>
            <w:r>
              <w:rPr>
                <w:rFonts w:ascii="Arial" w:cs="Arial" w:eastAsia="Arial" w:hAnsi="Arial"/>
                <w:sz w:val="15"/>
                <w:szCs w:val="15"/>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7"/>
          </w:tcPr>
          <w:p>
            <w:pPr>
              <w:jc w:val="right"/>
              <w:ind w:right="33"/>
              <w:spacing w:after="0"/>
              <w:rPr>
                <w:sz w:val="20"/>
                <w:szCs w:val="20"/>
                <w:color w:val="auto"/>
              </w:rPr>
            </w:pPr>
            <w:r>
              <w:rPr>
                <w:rFonts w:ascii="Arial" w:cs="Arial" w:eastAsia="Arial" w:hAnsi="Arial"/>
                <w:sz w:val="11"/>
                <w:szCs w:val="11"/>
                <w:b w:val="1"/>
                <w:bCs w:val="1"/>
                <w:color w:val="auto"/>
              </w:rPr>
              <w:t xml:space="preserve">September 30, 2009 </w:t>
            </w:r>
            <w:r>
              <w:rPr>
                <w:rFonts w:ascii="Arial" w:cs="Arial" w:eastAsia="Arial" w:hAnsi="Arial"/>
                <w:sz w:val="15"/>
                <w:szCs w:val="15"/>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89"/>
              </w:rPr>
              <w:t xml:space="preserve">June 30, 2009 </w:t>
            </w:r>
            <w:r>
              <w:rPr>
                <w:rFonts w:ascii="Arial" w:cs="Arial" w:eastAsia="Arial" w:hAnsi="Arial"/>
                <w:sz w:val="15"/>
                <w:szCs w:val="15"/>
                <w:color w:val="auto"/>
                <w:w w:val="89"/>
                <w:vertAlign w:val="superscript"/>
              </w:rPr>
              <w:t>(1)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March 31, 2009</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ind w:left="440"/>
              <w:spacing w:after="0"/>
              <w:rPr>
                <w:sz w:val="20"/>
                <w:szCs w:val="20"/>
                <w:color w:val="auto"/>
              </w:rPr>
            </w:pPr>
            <w:r>
              <w:rPr>
                <w:rFonts w:ascii="Arial" w:cs="Arial" w:eastAsia="Arial" w:hAnsi="Arial"/>
                <w:sz w:val="11"/>
                <w:szCs w:val="11"/>
                <w:b w:val="1"/>
                <w:bCs w:val="1"/>
                <w:color w:val="auto"/>
                <w:w w:val="92"/>
              </w:rPr>
              <w:t>December 31, 2008</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83"/>
              </w:rPr>
              <w:t>Nonaccrual</w:t>
            </w:r>
          </w:p>
        </w:tc>
        <w:tc>
          <w:tcPr>
            <w:tcW w:w="180" w:type="dxa"/>
            <w:vAlign w:val="bottom"/>
          </w:tcPr>
          <w:p>
            <w:pPr>
              <w:spacing w:after="0"/>
              <w:rPr>
                <w:sz w:val="9"/>
                <w:szCs w:val="9"/>
                <w:color w:val="auto"/>
              </w:rPr>
            </w:pPr>
          </w:p>
        </w:tc>
        <w:tc>
          <w:tcPr>
            <w:tcW w:w="60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w w:val="98"/>
              </w:rPr>
              <w:t>Foreclosed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40"/>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w w:val="83"/>
              </w:rPr>
              <w:t>Nonaccrual</w:t>
            </w:r>
          </w:p>
        </w:tc>
        <w:tc>
          <w:tcPr>
            <w:tcW w:w="200" w:type="dxa"/>
            <w:vAlign w:val="bottom"/>
          </w:tcPr>
          <w:p>
            <w:pPr>
              <w:spacing w:after="0"/>
              <w:rPr>
                <w:sz w:val="9"/>
                <w:szCs w:val="9"/>
                <w:color w:val="auto"/>
              </w:rPr>
            </w:pPr>
          </w:p>
        </w:tc>
        <w:tc>
          <w:tcPr>
            <w:tcW w:w="58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w w:val="95"/>
              </w:rPr>
              <w:t>Foreclosed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86"/>
              </w:rPr>
              <w:t>Nonaccrual</w:t>
            </w:r>
          </w:p>
        </w:tc>
        <w:tc>
          <w:tcPr>
            <w:tcW w:w="200" w:type="dxa"/>
            <w:vAlign w:val="bottom"/>
          </w:tcPr>
          <w:p>
            <w:pPr>
              <w:spacing w:after="0"/>
              <w:rPr>
                <w:sz w:val="9"/>
                <w:szCs w:val="9"/>
                <w:color w:val="auto"/>
              </w:rPr>
            </w:pPr>
          </w:p>
        </w:tc>
        <w:tc>
          <w:tcPr>
            <w:tcW w:w="62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rPr>
              <w:t>Foreclosed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spacing w:after="0" w:line="108" w:lineRule="exact"/>
              <w:rPr>
                <w:sz w:val="20"/>
                <w:szCs w:val="20"/>
                <w:color w:val="auto"/>
              </w:rPr>
            </w:pPr>
            <w:r>
              <w:rPr>
                <w:rFonts w:ascii="Arial" w:cs="Arial" w:eastAsia="Arial" w:hAnsi="Arial"/>
                <w:sz w:val="11"/>
                <w:szCs w:val="11"/>
                <w:b w:val="1"/>
                <w:bCs w:val="1"/>
                <w:color w:val="auto"/>
                <w:w w:val="86"/>
              </w:rPr>
              <w:t>Nonaccrual</w:t>
            </w:r>
          </w:p>
        </w:tc>
        <w:tc>
          <w:tcPr>
            <w:tcW w:w="900" w:type="dxa"/>
            <w:vAlign w:val="bottom"/>
            <w:gridSpan w:val="4"/>
          </w:tcPr>
          <w:p>
            <w:pPr>
              <w:ind w:left="200"/>
              <w:spacing w:after="0" w:line="108" w:lineRule="exact"/>
              <w:rPr>
                <w:sz w:val="20"/>
                <w:szCs w:val="20"/>
                <w:color w:val="auto"/>
              </w:rPr>
            </w:pPr>
            <w:r>
              <w:rPr>
                <w:rFonts w:ascii="Arial" w:cs="Arial" w:eastAsia="Arial" w:hAnsi="Arial"/>
                <w:sz w:val="11"/>
                <w:szCs w:val="11"/>
                <w:b w:val="1"/>
                <w:bCs w:val="1"/>
                <w:color w:val="auto"/>
              </w:rPr>
              <w:t>Foreclosed</w:t>
            </w:r>
          </w:p>
        </w:tc>
        <w:tc>
          <w:tcPr>
            <w:tcW w:w="80" w:type="dxa"/>
            <w:vAlign w:val="bottom"/>
          </w:tcPr>
          <w:p>
            <w:pPr>
              <w:spacing w:after="0"/>
              <w:rPr>
                <w:sz w:val="9"/>
                <w:szCs w:val="9"/>
                <w:color w:val="auto"/>
              </w:rPr>
            </w:pPr>
          </w:p>
        </w:tc>
        <w:tc>
          <w:tcPr>
            <w:tcW w:w="38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1"/>
              </w:rPr>
              <w:t>Total</w:t>
            </w:r>
          </w:p>
        </w:tc>
        <w:tc>
          <w:tcPr>
            <w:tcW w:w="220" w:type="dxa"/>
            <w:vAlign w:val="bottom"/>
          </w:tcPr>
          <w:p>
            <w:pPr>
              <w:spacing w:after="0"/>
              <w:rPr>
                <w:sz w:val="9"/>
                <w:szCs w:val="9"/>
                <w:color w:val="auto"/>
              </w:rPr>
            </w:pPr>
          </w:p>
        </w:tc>
        <w:tc>
          <w:tcPr>
            <w:tcW w:w="6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Nonaccrual</w:t>
            </w:r>
          </w:p>
        </w:tc>
        <w:tc>
          <w:tcPr>
            <w:tcW w:w="820" w:type="dxa"/>
            <w:vAlign w:val="bottom"/>
            <w:gridSpan w:val="4"/>
          </w:tcPr>
          <w:p>
            <w:pPr>
              <w:ind w:left="120"/>
              <w:spacing w:after="0" w:line="108" w:lineRule="exact"/>
              <w:rPr>
                <w:sz w:val="20"/>
                <w:szCs w:val="20"/>
                <w:color w:val="auto"/>
              </w:rPr>
            </w:pPr>
            <w:r>
              <w:rPr>
                <w:rFonts w:ascii="Arial" w:cs="Arial" w:eastAsia="Arial" w:hAnsi="Arial"/>
                <w:sz w:val="11"/>
                <w:szCs w:val="11"/>
                <w:b w:val="1"/>
                <w:bCs w:val="1"/>
                <w:color w:val="auto"/>
              </w:rPr>
              <w:t>Foreclosed</w:t>
            </w:r>
          </w:p>
        </w:tc>
        <w:tc>
          <w:tcPr>
            <w:tcW w:w="80" w:type="dxa"/>
            <w:vAlign w:val="bottom"/>
          </w:tcPr>
          <w:p>
            <w:pPr>
              <w:spacing w:after="0"/>
              <w:rPr>
                <w:sz w:val="9"/>
                <w:szCs w:val="9"/>
                <w:color w:val="auto"/>
              </w:rPr>
            </w:pPr>
          </w:p>
        </w:tc>
        <w:tc>
          <w:tcPr>
            <w:tcW w:w="38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w w:val="92"/>
              </w:rPr>
              <w:t>Loans</w:t>
            </w:r>
          </w:p>
        </w:tc>
        <w:tc>
          <w:tcPr>
            <w:tcW w:w="1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NPAs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Loans</w:t>
            </w:r>
          </w:p>
        </w:tc>
        <w:tc>
          <w:tcPr>
            <w:tcW w:w="20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NPAs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Loans</w:t>
            </w:r>
          </w:p>
        </w:tc>
        <w:tc>
          <w:tcPr>
            <w:tcW w:w="20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8"/>
              </w:rPr>
              <w:t>NPAs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auto"/>
                <w:w w:val="92"/>
              </w:rPr>
              <w:t>Loans</w:t>
            </w:r>
          </w:p>
        </w:tc>
        <w:tc>
          <w:tcPr>
            <w:tcW w:w="200" w:type="dxa"/>
            <w:vAlign w:val="bottom"/>
          </w:tcPr>
          <w:p>
            <w:pPr>
              <w:spacing w:after="0"/>
              <w:rPr>
                <w:sz w:val="12"/>
                <w:szCs w:val="12"/>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8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b w:val="1"/>
                <w:bCs w:val="1"/>
                <w:color w:val="auto"/>
                <w:w w:val="88"/>
              </w:rPr>
              <w:t>NPAs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Loans</w:t>
            </w:r>
          </w:p>
        </w:tc>
        <w:tc>
          <w:tcPr>
            <w:tcW w:w="120" w:type="dxa"/>
            <w:vAlign w:val="bottom"/>
          </w:tcPr>
          <w:p>
            <w:pPr>
              <w:spacing w:after="0"/>
              <w:rPr>
                <w:sz w:val="12"/>
                <w:szCs w:val="12"/>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Properties</w:t>
            </w:r>
          </w:p>
        </w:tc>
        <w:tc>
          <w:tcPr>
            <w:tcW w:w="80" w:type="dxa"/>
            <w:vAlign w:val="bottom"/>
          </w:tcPr>
          <w:p>
            <w:pPr>
              <w:spacing w:after="0"/>
              <w:rPr>
                <w:sz w:val="12"/>
                <w:szCs w:val="12"/>
                <w:color w:val="auto"/>
              </w:rPr>
            </w:pP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rPr>
              <w:t>NPAs</w:t>
            </w:r>
          </w:p>
        </w:tc>
        <w:tc>
          <w:tcPr>
            <w:tcW w:w="0" w:type="dxa"/>
            <w:vAlign w:val="bottom"/>
          </w:tcPr>
          <w:p>
            <w:pPr>
              <w:spacing w:after="0"/>
              <w:rPr>
                <w:sz w:val="1"/>
                <w:szCs w:val="1"/>
                <w:color w:val="auto"/>
              </w:rPr>
            </w:pPr>
          </w:p>
        </w:tc>
      </w:tr>
      <w:tr>
        <w:trPr>
          <w:trHeight w:val="112"/>
        </w:trPr>
        <w:tc>
          <w:tcPr>
            <w:tcW w:w="1120" w:type="dxa"/>
            <w:vAlign w:val="bottom"/>
          </w:tcPr>
          <w:p>
            <w:pPr>
              <w:spacing w:after="0" w:line="112" w:lineRule="exact"/>
              <w:rPr>
                <w:sz w:val="20"/>
                <w:szCs w:val="20"/>
                <w:color w:val="auto"/>
              </w:rPr>
            </w:pPr>
            <w:r>
              <w:rPr>
                <w:rFonts w:ascii="Arial" w:cs="Arial" w:eastAsia="Arial" w:hAnsi="Arial"/>
                <w:sz w:val="11"/>
                <w:szCs w:val="11"/>
                <w:b w:val="1"/>
                <w:bCs w:val="1"/>
                <w:color w:val="auto"/>
              </w:rPr>
              <w:t>BY CATEGORY</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Commercial (sec. by</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RE)</w:t>
            </w:r>
          </w:p>
        </w:tc>
        <w:tc>
          <w:tcPr>
            <w:tcW w:w="80" w:type="dxa"/>
            <w:vAlign w:val="bottom"/>
            <w:gridSpan w:val="2"/>
          </w:tcPr>
          <w:p>
            <w:pPr>
              <w:spacing w:after="0" w:line="122" w:lineRule="exact"/>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37,040</w:t>
            </w:r>
          </w:p>
        </w:tc>
        <w:tc>
          <w:tcPr>
            <w:tcW w:w="28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15,842</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52,882</w:t>
            </w:r>
          </w:p>
        </w:tc>
        <w:tc>
          <w:tcPr>
            <w:tcW w:w="1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38,379</w:t>
            </w: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12,566</w:t>
            </w:r>
          </w:p>
        </w:tc>
        <w:tc>
          <w:tcPr>
            <w:tcW w:w="18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50,945</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37,755</w:t>
            </w:r>
          </w:p>
        </w:tc>
        <w:tc>
          <w:tcPr>
            <w:tcW w:w="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5,395</w:t>
            </w: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43,150</w:t>
            </w:r>
          </w:p>
        </w:tc>
        <w:tc>
          <w:tcPr>
            <w:tcW w:w="18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18,188</w:t>
            </w: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3,811</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21,999</w:t>
            </w:r>
          </w:p>
        </w:tc>
        <w:tc>
          <w:tcPr>
            <w:tcW w:w="3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15,188</w:t>
            </w:r>
          </w:p>
        </w:tc>
        <w:tc>
          <w:tcPr>
            <w:tcW w:w="240" w:type="dxa"/>
            <w:vAlign w:val="bottom"/>
            <w:gridSpan w:val="2"/>
          </w:tcPr>
          <w:p>
            <w:pPr>
              <w:jc w:val="right"/>
              <w:ind w:right="44"/>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2,427</w:t>
            </w:r>
          </w:p>
        </w:tc>
        <w:tc>
          <w:tcPr>
            <w:tcW w:w="22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17,615</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Commercial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19,976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9,761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29,737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38,505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5,543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44,048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15,717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5,847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21,564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6,449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2,948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9,397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2,333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3,846</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Commercial &amp;</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20" w:type="dxa"/>
            <w:vAlign w:val="bottom"/>
          </w:tcPr>
          <w:p>
            <w:pPr>
              <w:spacing w:after="0"/>
              <w:rPr>
                <w:sz w:val="20"/>
                <w:szCs w:val="20"/>
                <w:color w:val="auto"/>
              </w:rPr>
            </w:pPr>
            <w:r>
              <w:rPr>
                <w:rFonts w:ascii="Arial" w:cs="Arial" w:eastAsia="Arial" w:hAnsi="Arial"/>
                <w:sz w:val="11"/>
                <w:szCs w:val="11"/>
                <w:color w:val="auto"/>
              </w:rPr>
              <w:t>industrial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3,946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3,794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11,378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11,378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12,066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12,066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1,920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1,920</w:t>
            </w:r>
          </w:p>
        </w:tc>
        <w:tc>
          <w:tcPr>
            <w:tcW w:w="0" w:type="dxa"/>
            <w:vAlign w:val="bottom"/>
          </w:tcPr>
          <w:p>
            <w:pPr>
              <w:spacing w:after="0"/>
              <w:rPr>
                <w:sz w:val="1"/>
                <w:szCs w:val="1"/>
                <w:color w:val="auto"/>
              </w:rPr>
            </w:pPr>
          </w:p>
        </w:tc>
      </w:tr>
      <w:tr>
        <w:trPr>
          <w:trHeight w:val="112"/>
        </w:trPr>
        <w:tc>
          <w:tcPr>
            <w:tcW w:w="1120" w:type="dxa"/>
            <w:vAlign w:val="bottom"/>
          </w:tcPr>
          <w:p>
            <w:pPr>
              <w:ind w:left="140"/>
              <w:spacing w:after="0" w:line="112" w:lineRule="exact"/>
              <w:rPr>
                <w:sz w:val="20"/>
                <w:szCs w:val="20"/>
                <w:color w:val="auto"/>
              </w:rPr>
            </w:pPr>
            <w:r>
              <w:rPr>
                <w:rFonts w:ascii="Arial" w:cs="Arial" w:eastAsia="Arial" w:hAnsi="Arial"/>
                <w:sz w:val="11"/>
                <w:szCs w:val="11"/>
                <w:color w:val="auto"/>
              </w:rPr>
              <w:t>Total commercial</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60,962</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25,603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86,565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80,678</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18,109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98,787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64,850</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11,242</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76,092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36,703</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6,759</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43,462</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18,621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4,760</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23,381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Residential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142,332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76,519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218,851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171,027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79,045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0"/>
              </w:rPr>
              <w:t>250,072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176,400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81,648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258,048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187,656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58,327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w w:val="90"/>
              </w:rPr>
              <w:t>245,983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144,836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48,572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90"/>
              </w:rPr>
              <w:t>193,408</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Residential mortgage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58,767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18,648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77,415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50,626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13,456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64,082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44,256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11,864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56,120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33,148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10,297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43,445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25,574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6,436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32,010</w:t>
            </w:r>
          </w:p>
        </w:tc>
        <w:tc>
          <w:tcPr>
            <w:tcW w:w="0" w:type="dxa"/>
            <w:vAlign w:val="bottom"/>
          </w:tcPr>
          <w:p>
            <w:pPr>
              <w:spacing w:after="0"/>
              <w:rPr>
                <w:sz w:val="1"/>
                <w:szCs w:val="1"/>
                <w:color w:val="auto"/>
              </w:rPr>
            </w:pPr>
          </w:p>
        </w:tc>
      </w:tr>
      <w:tr>
        <w:trPr>
          <w:trHeight w:val="138"/>
        </w:trPr>
        <w:tc>
          <w:tcPr>
            <w:tcW w:w="1120" w:type="dxa"/>
            <w:vAlign w:val="bottom"/>
          </w:tcPr>
          <w:p>
            <w:pPr>
              <w:spacing w:after="0"/>
              <w:rPr>
                <w:sz w:val="20"/>
                <w:szCs w:val="20"/>
                <w:color w:val="auto"/>
              </w:rPr>
            </w:pPr>
            <w:r>
              <w:rPr>
                <w:rFonts w:ascii="Arial" w:cs="Arial" w:eastAsia="Arial" w:hAnsi="Arial"/>
                <w:sz w:val="11"/>
                <w:szCs w:val="11"/>
                <w:color w:val="auto"/>
                <w:w w:val="97"/>
              </w:rPr>
              <w:t>Consumer / installment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2,031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2,050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2,342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1,648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1,692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1,692</w:t>
            </w:r>
          </w:p>
        </w:tc>
        <w:tc>
          <w:tcPr>
            <w:tcW w:w="0" w:type="dxa"/>
            <w:vAlign w:val="bottom"/>
          </w:tcPr>
          <w:p>
            <w:pPr>
              <w:spacing w:after="0"/>
              <w:rPr>
                <w:sz w:val="1"/>
                <w:szCs w:val="1"/>
                <w:color w:val="auto"/>
              </w:rPr>
            </w:pPr>
          </w:p>
        </w:tc>
      </w:tr>
      <w:tr>
        <w:trPr>
          <w:trHeight w:val="122"/>
        </w:trPr>
        <w:tc>
          <w:tcPr>
            <w:tcW w:w="11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Total NPAs</w:t>
            </w: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264,092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5"/>
              </w:rPr>
              <w:t>120,770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384,862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304,381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110,610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414,991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287,848</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5"/>
              </w:rPr>
              <w:t>104,754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392,602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259,155</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75,383</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334,538</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190,723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59,768</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250,491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20" w:type="dxa"/>
            <w:vAlign w:val="bottom"/>
            <w:vMerge w:val="restart"/>
          </w:tcPr>
          <w:p>
            <w:pPr>
              <w:spacing w:after="0"/>
              <w:rPr>
                <w:sz w:val="20"/>
                <w:szCs w:val="20"/>
                <w:color w:val="auto"/>
              </w:rPr>
            </w:pPr>
            <w:r>
              <w:rPr>
                <w:rFonts w:ascii="Arial" w:cs="Arial" w:eastAsia="Arial" w:hAnsi="Arial"/>
                <w:sz w:val="11"/>
                <w:szCs w:val="11"/>
                <w:b w:val="1"/>
                <w:bCs w:val="1"/>
                <w:color w:val="auto"/>
              </w:rPr>
              <w:t>BY MARKET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Atlanta MSA</w:t>
            </w:r>
          </w:p>
        </w:tc>
        <w:tc>
          <w:tcPr>
            <w:tcW w:w="80" w:type="dxa"/>
            <w:vAlign w:val="bottom"/>
            <w:gridSpan w:val="2"/>
          </w:tcPr>
          <w:p>
            <w:pPr>
              <w:spacing w:after="0" w:line="122" w:lineRule="exact"/>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106,536</w:t>
            </w:r>
          </w:p>
        </w:tc>
        <w:tc>
          <w:tcPr>
            <w:tcW w:w="28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41,125</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147,661</w:t>
            </w:r>
          </w:p>
        </w:tc>
        <w:tc>
          <w:tcPr>
            <w:tcW w:w="1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120,599</w:t>
            </w: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54,670</w:t>
            </w:r>
          </w:p>
        </w:tc>
        <w:tc>
          <w:tcPr>
            <w:tcW w:w="18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0"/>
              </w:rPr>
              <w:t>175,269</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148,155</w:t>
            </w:r>
          </w:p>
        </w:tc>
        <w:tc>
          <w:tcPr>
            <w:tcW w:w="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50,450</w:t>
            </w: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198,605</w:t>
            </w:r>
          </w:p>
        </w:tc>
        <w:tc>
          <w:tcPr>
            <w:tcW w:w="18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131,020</w:t>
            </w: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48,574</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w w:val="90"/>
              </w:rPr>
              <w:t>179,594</w:t>
            </w:r>
          </w:p>
        </w:tc>
        <w:tc>
          <w:tcPr>
            <w:tcW w:w="300" w:type="dxa"/>
            <w:vAlign w:val="bottom"/>
            <w:gridSpan w:val="2"/>
          </w:tcPr>
          <w:p>
            <w:pPr>
              <w:jc w:val="right"/>
              <w:ind w:right="4"/>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105,476</w:t>
            </w:r>
          </w:p>
        </w:tc>
        <w:tc>
          <w:tcPr>
            <w:tcW w:w="240" w:type="dxa"/>
            <w:vAlign w:val="bottom"/>
            <w:gridSpan w:val="2"/>
          </w:tcPr>
          <w:p>
            <w:pPr>
              <w:jc w:val="right"/>
              <w:ind w:right="44"/>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42,336</w:t>
            </w:r>
          </w:p>
        </w:tc>
        <w:tc>
          <w:tcPr>
            <w:tcW w:w="22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90"/>
              </w:rPr>
              <w:t>147,812</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Gainesville MSA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5,074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12,916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8,429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21,345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9,745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3,511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13,256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17,448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694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18,142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16,208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1,110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17,318</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North Georgia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87,598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53,072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140,670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96,373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36,718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0"/>
              </w:rPr>
              <w:t>133,091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72,174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37,454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109,628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66,875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20,811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87,686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31,631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12,785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44,416</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Western North</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Carolina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29,610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34,706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25,775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31,693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21,814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7,245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29,059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21,240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3,067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24,307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18,509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2,986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21,495</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Arial" w:cs="Arial" w:eastAsia="Arial" w:hAnsi="Arial"/>
                <w:sz w:val="11"/>
                <w:szCs w:val="11"/>
                <w:color w:val="auto"/>
              </w:rPr>
              <w:t>Coastal Georgia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26,871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17,150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44,021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38,414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3,045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41,459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30,311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3,904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34,215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15,699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1,286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16,985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11,863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138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12,001</w:t>
            </w:r>
          </w:p>
        </w:tc>
        <w:tc>
          <w:tcPr>
            <w:tcW w:w="0" w:type="dxa"/>
            <w:vAlign w:val="bottom"/>
          </w:tcPr>
          <w:p>
            <w:pPr>
              <w:spacing w:after="0"/>
              <w:rPr>
                <w:sz w:val="1"/>
                <w:szCs w:val="1"/>
                <w:color w:val="auto"/>
              </w:rPr>
            </w:pPr>
          </w:p>
        </w:tc>
      </w:tr>
      <w:tr>
        <w:trPr>
          <w:trHeight w:val="138"/>
        </w:trPr>
        <w:tc>
          <w:tcPr>
            <w:tcW w:w="1120" w:type="dxa"/>
            <w:vAlign w:val="bottom"/>
          </w:tcPr>
          <w:p>
            <w:pPr>
              <w:spacing w:after="0"/>
              <w:rPr>
                <w:sz w:val="20"/>
                <w:szCs w:val="20"/>
                <w:color w:val="auto"/>
              </w:rPr>
            </w:pPr>
            <w:r>
              <w:rPr>
                <w:rFonts w:ascii="Arial" w:cs="Arial" w:eastAsia="Arial" w:hAnsi="Arial"/>
                <w:sz w:val="11"/>
                <w:szCs w:val="11"/>
                <w:color w:val="auto"/>
              </w:rPr>
              <w:t>East Tennessee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8,403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1,713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10,116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10,304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1,830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12,134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5,649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2,190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7,839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6,873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7,036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7,449</w:t>
            </w:r>
          </w:p>
        </w:tc>
        <w:tc>
          <w:tcPr>
            <w:tcW w:w="0" w:type="dxa"/>
            <w:vAlign w:val="bottom"/>
          </w:tcPr>
          <w:p>
            <w:pPr>
              <w:spacing w:after="0"/>
              <w:rPr>
                <w:sz w:val="1"/>
                <w:szCs w:val="1"/>
                <w:color w:val="auto"/>
              </w:rPr>
            </w:pPr>
          </w:p>
        </w:tc>
      </w:tr>
      <w:tr>
        <w:trPr>
          <w:trHeight w:val="122"/>
        </w:trPr>
        <w:tc>
          <w:tcPr>
            <w:tcW w:w="11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Total NPAs</w:t>
            </w: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264,092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5"/>
              </w:rPr>
              <w:t>120,770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384,862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304,381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110,610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414,991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287,848</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5"/>
              </w:rPr>
              <w:t>104,754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392,602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259,155</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75,383</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334,538</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190,723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59,768</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250,491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Excludes non-performing loans and foreclosed properties covered by the loss-sharing agreement with the FDIC, related to the acquisition of Southern Community Bank.</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Non-performing assets in the residential construction category were $218.9 million at December 31, 2009, compared to $193.4 million at December 31, 2008, an increase of $ 25.5 million, or 13%. Other categories of non-performing assets have also increased significantly, with commercial non-performing assets of $86.6 million, up $63.2 million from the prior year, and residential non-performing assets of $77.4 million, up $45.4 million from December 31, 2008. As previously described, the majority of the increase in non-performing assets has been in the Atlanta MSA, where non-performing assets of $147.7 million are down $151,000 from December 31, 2008. United’s North Georgia market has also seen a significant increase in non-performing assets. Non-performing assets in the North Georgia market at December 31, 2009 were $140.7 million, compared to $44.4 million at December 31, 2008.</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activity in nonperforming assets by quarter. Assets covered by the loss-sharing agreement with the FDIC related to the acquisition of SCB are not included in this table.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13 - Activity in Nonperforming Assets by Quarter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left="326"/>
              <w:spacing w:after="0"/>
              <w:rPr>
                <w:sz w:val="20"/>
                <w:szCs w:val="20"/>
                <w:color w:val="auto"/>
              </w:rPr>
            </w:pPr>
            <w:r>
              <w:rPr>
                <w:rFonts w:ascii="Arial" w:cs="Arial" w:eastAsia="Arial" w:hAnsi="Arial"/>
                <w:sz w:val="11"/>
                <w:szCs w:val="11"/>
                <w:b w:val="1"/>
                <w:bCs w:val="1"/>
                <w:color w:val="auto"/>
                <w:w w:val="89"/>
              </w:rPr>
              <w:t xml:space="preserve">Fourth Quarter 2009 </w:t>
            </w:r>
            <w:r>
              <w:rPr>
                <w:rFonts w:ascii="Arial" w:cs="Arial" w:eastAsia="Arial" w:hAnsi="Arial"/>
                <w:sz w:val="15"/>
                <w:szCs w:val="15"/>
                <w:b w:val="1"/>
                <w:bCs w:val="1"/>
                <w:color w:val="auto"/>
                <w:w w:val="89"/>
                <w:vertAlign w:val="superscript"/>
              </w:rPr>
              <w:t>(1)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 xml:space="preserve">Third Quarter 2009 </w:t>
            </w:r>
            <w:r>
              <w:rPr>
                <w:rFonts w:ascii="Arial" w:cs="Arial" w:eastAsia="Arial" w:hAnsi="Arial"/>
                <w:sz w:val="15"/>
                <w:szCs w:val="15"/>
                <w:b w:val="1"/>
                <w:bCs w:val="1"/>
                <w:color w:val="auto"/>
                <w:w w:val="90"/>
                <w:vertAlign w:val="superscript"/>
              </w:rPr>
              <w:t>(1)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8"/>
          </w:tcPr>
          <w:p>
            <w:pPr>
              <w:jc w:val="right"/>
              <w:ind w:right="11"/>
              <w:spacing w:after="0"/>
              <w:rPr>
                <w:sz w:val="20"/>
                <w:szCs w:val="20"/>
                <w:color w:val="auto"/>
              </w:rPr>
            </w:pPr>
            <w:r>
              <w:rPr>
                <w:rFonts w:ascii="Arial" w:cs="Arial" w:eastAsia="Arial" w:hAnsi="Arial"/>
                <w:sz w:val="11"/>
                <w:szCs w:val="11"/>
                <w:b w:val="1"/>
                <w:bCs w:val="1"/>
                <w:color w:val="auto"/>
              </w:rPr>
              <w:t xml:space="preserve">Second Quarter 2009 </w:t>
            </w:r>
            <w:r>
              <w:rPr>
                <w:rFonts w:ascii="Arial" w:cs="Arial" w:eastAsia="Arial" w:hAnsi="Arial"/>
                <w:sz w:val="15"/>
                <w:szCs w:val="15"/>
                <w:b w:val="1"/>
                <w:bCs w:val="1"/>
                <w:color w:val="auto"/>
                <w:vertAlign w:val="superscript"/>
              </w:rPr>
              <w:t>(1)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1"/>
              </w:rPr>
              <w:t>First Quarter 2009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08"/>
        </w:trPr>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3"/>
          </w:tcPr>
          <w:p>
            <w:pPr>
              <w:jc w:val="right"/>
              <w:ind w:right="280"/>
              <w:spacing w:after="0" w:line="108" w:lineRule="exact"/>
              <w:rPr>
                <w:sz w:val="20"/>
                <w:szCs w:val="20"/>
                <w:color w:val="auto"/>
              </w:rPr>
            </w:pPr>
            <w:r>
              <w:rPr>
                <w:rFonts w:ascii="Arial" w:cs="Arial" w:eastAsia="Arial" w:hAnsi="Arial"/>
                <w:sz w:val="11"/>
                <w:szCs w:val="11"/>
                <w:b w:val="1"/>
                <w:bCs w:val="1"/>
                <w:color w:val="auto"/>
                <w:w w:val="86"/>
              </w:rPr>
              <w:t>Nonaccrual</w:t>
            </w:r>
          </w:p>
        </w:tc>
        <w:tc>
          <w:tcPr>
            <w:tcW w:w="82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w w:val="81"/>
              </w:rPr>
              <w:t>Foreclosed</w:t>
            </w:r>
          </w:p>
        </w:tc>
        <w:tc>
          <w:tcPr>
            <w:tcW w:w="100" w:type="dxa"/>
            <w:vAlign w:val="bottom"/>
          </w:tcPr>
          <w:p>
            <w:pPr>
              <w:spacing w:after="0"/>
              <w:rPr>
                <w:sz w:val="9"/>
                <w:szCs w:val="9"/>
                <w:color w:val="auto"/>
              </w:rPr>
            </w:pPr>
          </w:p>
        </w:tc>
        <w:tc>
          <w:tcPr>
            <w:tcW w:w="480" w:type="dxa"/>
            <w:vAlign w:val="bottom"/>
          </w:tcPr>
          <w:p>
            <w:pPr>
              <w:jc w:val="right"/>
              <w:ind w:right="126"/>
              <w:spacing w:after="0" w:line="108" w:lineRule="exact"/>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9"/>
                <w:szCs w:val="9"/>
                <w:color w:val="auto"/>
              </w:rPr>
            </w:pPr>
          </w:p>
        </w:tc>
        <w:tc>
          <w:tcPr>
            <w:tcW w:w="820" w:type="dxa"/>
            <w:vAlign w:val="bottom"/>
            <w:gridSpan w:val="3"/>
          </w:tcPr>
          <w:p>
            <w:pPr>
              <w:jc w:val="right"/>
              <w:ind w:right="206"/>
              <w:spacing w:after="0" w:line="108" w:lineRule="exact"/>
              <w:rPr>
                <w:sz w:val="20"/>
                <w:szCs w:val="20"/>
                <w:color w:val="auto"/>
              </w:rPr>
            </w:pPr>
            <w:r>
              <w:rPr>
                <w:rFonts w:ascii="Arial" w:cs="Arial" w:eastAsia="Arial" w:hAnsi="Arial"/>
                <w:sz w:val="11"/>
                <w:szCs w:val="11"/>
                <w:b w:val="1"/>
                <w:bCs w:val="1"/>
                <w:color w:val="auto"/>
                <w:w w:val="90"/>
              </w:rPr>
              <w:t>Nonaccrual</w:t>
            </w:r>
          </w:p>
        </w:tc>
        <w:tc>
          <w:tcPr>
            <w:tcW w:w="820" w:type="dxa"/>
            <w:vAlign w:val="bottom"/>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85"/>
              </w:rPr>
              <w:t>Foreclosed</w:t>
            </w:r>
          </w:p>
        </w:tc>
        <w:tc>
          <w:tcPr>
            <w:tcW w:w="120" w:type="dxa"/>
            <w:vAlign w:val="bottom"/>
          </w:tcPr>
          <w:p>
            <w:pPr>
              <w:spacing w:after="0"/>
              <w:rPr>
                <w:sz w:val="9"/>
                <w:szCs w:val="9"/>
                <w:color w:val="auto"/>
              </w:rPr>
            </w:pPr>
          </w:p>
        </w:tc>
        <w:tc>
          <w:tcPr>
            <w:tcW w:w="460" w:type="dxa"/>
            <w:vAlign w:val="bottom"/>
          </w:tcPr>
          <w:p>
            <w:pPr>
              <w:ind w:left="60"/>
              <w:spacing w:after="0" w:line="108" w:lineRule="exact"/>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Nonaccrual</w:t>
            </w:r>
          </w:p>
        </w:tc>
        <w:tc>
          <w:tcPr>
            <w:tcW w:w="100" w:type="dxa"/>
            <w:vAlign w:val="bottom"/>
          </w:tcPr>
          <w:p>
            <w:pPr>
              <w:spacing w:after="0"/>
              <w:rPr>
                <w:sz w:val="9"/>
                <w:szCs w:val="9"/>
                <w:color w:val="auto"/>
              </w:rPr>
            </w:pPr>
          </w:p>
        </w:tc>
        <w:tc>
          <w:tcPr>
            <w:tcW w:w="680" w:type="dxa"/>
            <w:vAlign w:val="bottom"/>
            <w:gridSpan w:val="3"/>
          </w:tcPr>
          <w:p>
            <w:pPr>
              <w:jc w:val="right"/>
              <w:ind w:right="160"/>
              <w:spacing w:after="0" w:line="108" w:lineRule="exact"/>
              <w:rPr>
                <w:sz w:val="20"/>
                <w:szCs w:val="20"/>
                <w:color w:val="auto"/>
              </w:rPr>
            </w:pPr>
            <w:r>
              <w:rPr>
                <w:rFonts w:ascii="Arial" w:cs="Arial" w:eastAsia="Arial" w:hAnsi="Arial"/>
                <w:sz w:val="11"/>
                <w:szCs w:val="11"/>
                <w:b w:val="1"/>
                <w:bCs w:val="1"/>
                <w:color w:val="auto"/>
                <w:w w:val="85"/>
              </w:rPr>
              <w:t>Foreclosed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06"/>
              <w:spacing w:after="0" w:line="108" w:lineRule="exact"/>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w w:val="96"/>
              </w:rPr>
              <w:t>Nonaccrual</w:t>
            </w:r>
          </w:p>
        </w:tc>
        <w:tc>
          <w:tcPr>
            <w:tcW w:w="160" w:type="dxa"/>
            <w:vAlign w:val="bottom"/>
          </w:tcPr>
          <w:p>
            <w:pPr>
              <w:spacing w:after="0"/>
              <w:rPr>
                <w:sz w:val="9"/>
                <w:szCs w:val="9"/>
                <w:color w:val="auto"/>
              </w:rPr>
            </w:pPr>
          </w:p>
        </w:tc>
        <w:tc>
          <w:tcPr>
            <w:tcW w:w="74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85"/>
              </w:rPr>
              <w:t>Foreclosed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06"/>
              <w:spacing w:after="0" w:line="108"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r>
      <w:tr>
        <w:trPr>
          <w:trHeight w:val="142"/>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8"/>
              </w:rPr>
              <w:t>Loans</w:t>
            </w:r>
          </w:p>
        </w:tc>
        <w:tc>
          <w:tcPr>
            <w:tcW w:w="26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Properties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NPAs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2"/>
              </w:rPr>
              <w:t>Loans</w:t>
            </w:r>
          </w:p>
        </w:tc>
        <w:tc>
          <w:tcPr>
            <w:tcW w:w="24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Properties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NPAs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2"/>
              </w:rPr>
              <w:t>Loans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Properties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5"/>
              </w:rPr>
              <w:t>NPAs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2"/>
              </w:rPr>
              <w:t>Loans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Properties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5"/>
              </w:rPr>
              <w:t>NPAs</w:t>
            </w:r>
          </w:p>
        </w:tc>
        <w:tc>
          <w:tcPr>
            <w:tcW w:w="20" w:type="dxa"/>
            <w:vAlign w:val="bottom"/>
          </w:tcPr>
          <w:p>
            <w:pPr>
              <w:spacing w:after="0"/>
              <w:rPr>
                <w:sz w:val="12"/>
                <w:szCs w:val="12"/>
                <w:color w:val="auto"/>
              </w:rPr>
            </w:pPr>
          </w:p>
        </w:tc>
      </w:tr>
      <w:tr>
        <w:trPr>
          <w:trHeight w:val="233"/>
        </w:trPr>
        <w:tc>
          <w:tcPr>
            <w:tcW w:w="1960" w:type="dxa"/>
            <w:vAlign w:val="bottom"/>
          </w:tcPr>
          <w:p>
            <w:pPr>
              <w:spacing w:after="0"/>
              <w:rPr>
                <w:sz w:val="20"/>
                <w:szCs w:val="20"/>
                <w:color w:val="auto"/>
              </w:rPr>
            </w:pPr>
            <w:r>
              <w:rPr>
                <w:rFonts w:ascii="Arial" w:cs="Arial" w:eastAsia="Arial" w:hAnsi="Arial"/>
                <w:sz w:val="11"/>
                <w:szCs w:val="11"/>
                <w:b w:val="1"/>
                <w:bCs w:val="1"/>
                <w:color w:val="auto"/>
              </w:rPr>
              <w:t>Beginning Balance</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304,381</w:t>
            </w:r>
          </w:p>
        </w:tc>
        <w:tc>
          <w:tcPr>
            <w:tcW w:w="260" w:type="dxa"/>
            <w:vAlign w:val="bottom"/>
          </w:tcPr>
          <w:p>
            <w:pPr>
              <w:spacing w:after="0"/>
              <w:rPr>
                <w:sz w:val="20"/>
                <w:szCs w:val="20"/>
                <w:color w:val="auto"/>
              </w:rPr>
            </w:pPr>
          </w:p>
        </w:tc>
        <w:tc>
          <w:tcPr>
            <w:tcW w:w="140" w:type="dxa"/>
            <w:vAlign w:val="bottom"/>
          </w:tcPr>
          <w:p>
            <w:pPr>
              <w:jc w:val="right"/>
              <w:ind w:right="59"/>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110,610</w:t>
            </w:r>
          </w:p>
        </w:tc>
        <w:tc>
          <w:tcPr>
            <w:tcW w:w="240" w:type="dxa"/>
            <w:vAlign w:val="bottom"/>
          </w:tcPr>
          <w:p>
            <w:pPr>
              <w:spacing w:after="0"/>
              <w:rPr>
                <w:sz w:val="20"/>
                <w:szCs w:val="20"/>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414,991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287,848</w:t>
            </w:r>
          </w:p>
        </w:tc>
        <w:tc>
          <w:tcPr>
            <w:tcW w:w="240" w:type="dxa"/>
            <w:vAlign w:val="bottom"/>
          </w:tcPr>
          <w:p>
            <w:pPr>
              <w:spacing w:after="0"/>
              <w:rPr>
                <w:sz w:val="20"/>
                <w:szCs w:val="2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104,754</w:t>
            </w:r>
          </w:p>
        </w:tc>
        <w:tc>
          <w:tcPr>
            <w:tcW w:w="240" w:type="dxa"/>
            <w:vAlign w:val="bottom"/>
          </w:tcPr>
          <w:p>
            <w:pPr>
              <w:spacing w:after="0"/>
              <w:rPr>
                <w:sz w:val="20"/>
                <w:szCs w:val="2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392,602</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259,155</w:t>
            </w:r>
          </w:p>
        </w:tc>
        <w:tc>
          <w:tcPr>
            <w:tcW w:w="22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75,383</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334,538</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190,723</w:t>
            </w:r>
          </w:p>
        </w:tc>
        <w:tc>
          <w:tcPr>
            <w:tcW w:w="300" w:type="dxa"/>
            <w:vAlign w:val="bottom"/>
            <w:gridSpan w:val="2"/>
          </w:tcPr>
          <w:p>
            <w:pPr>
              <w:jc w:val="right"/>
              <w:ind w:right="28"/>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59,768</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250,491</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Loans placed on non-accrual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174,898</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174,898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190,164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190,164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169,351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169,351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175,759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175,759</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Payments received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(26,935)</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(26,935)</w:t>
            </w:r>
          </w:p>
        </w:tc>
        <w:tc>
          <w:tcPr>
            <w:tcW w:w="100" w:type="dxa"/>
            <w:vAlign w:val="bottom"/>
          </w:tcPr>
          <w:p>
            <w:pPr>
              <w:spacing w:after="0"/>
              <w:rPr>
                <w:sz w:val="10"/>
                <w:szCs w:val="10"/>
                <w:color w:val="auto"/>
              </w:rPr>
            </w:pPr>
          </w:p>
        </w:tc>
        <w:tc>
          <w:tcPr>
            <w:tcW w:w="72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(16,597)</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(16,597)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(15,597)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(15,597)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(24,778)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(24,778)</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Loan charge-offs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(88,427)</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(88,427)</w:t>
            </w:r>
          </w:p>
        </w:tc>
        <w:tc>
          <w:tcPr>
            <w:tcW w:w="100" w:type="dxa"/>
            <w:vAlign w:val="bottom"/>
          </w:tcPr>
          <w:p>
            <w:pPr>
              <w:spacing w:after="0"/>
              <w:rPr>
                <w:sz w:val="10"/>
                <w:szCs w:val="10"/>
                <w:color w:val="auto"/>
              </w:rPr>
            </w:pPr>
          </w:p>
        </w:tc>
        <w:tc>
          <w:tcPr>
            <w:tcW w:w="72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(92,359)</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(92,359)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(60,644)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(60,644)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(43,807)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(43,807)</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Foreclosures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(79,983)</w:t>
            </w: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79,983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(56,624)</w:t>
            </w: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56,624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(64,417)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64,417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(38,742)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38,742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Capitalized costs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981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981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579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1,452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1,452</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Foreclosed property sales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(19,842)</w:t>
            </w:r>
          </w:p>
        </w:tc>
        <w:tc>
          <w:tcPr>
            <w:tcW w:w="14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(61,228)</w:t>
            </w: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(81,070)</w:t>
            </w:r>
          </w:p>
        </w:tc>
        <w:tc>
          <w:tcPr>
            <w:tcW w:w="100" w:type="dxa"/>
            <w:vAlign w:val="bottom"/>
          </w:tcPr>
          <w:p>
            <w:pPr>
              <w:spacing w:after="0"/>
              <w:rPr>
                <w:sz w:val="10"/>
                <w:szCs w:val="10"/>
                <w:color w:val="auto"/>
              </w:rPr>
            </w:pPr>
          </w:p>
        </w:tc>
        <w:tc>
          <w:tcPr>
            <w:tcW w:w="72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(8,051)</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(47,240)</w:t>
            </w:r>
          </w:p>
        </w:tc>
        <w:tc>
          <w:tcPr>
            <w:tcW w:w="12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(55,291)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(33,752)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(33,752)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(22,999)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(22,999)</w:t>
            </w:r>
          </w:p>
        </w:tc>
      </w:tr>
      <w:tr>
        <w:trPr>
          <w:trHeight w:val="122"/>
        </w:trPr>
        <w:tc>
          <w:tcPr>
            <w:tcW w:w="1960" w:type="dxa"/>
            <w:vAlign w:val="bottom"/>
          </w:tcPr>
          <w:p>
            <w:pPr>
              <w:spacing w:after="0" w:line="122" w:lineRule="exact"/>
              <w:rPr>
                <w:sz w:val="20"/>
                <w:szCs w:val="20"/>
                <w:color w:val="auto"/>
              </w:rPr>
            </w:pPr>
            <w:r>
              <w:rPr>
                <w:rFonts w:ascii="Arial" w:cs="Arial" w:eastAsia="Arial" w:hAnsi="Arial"/>
                <w:sz w:val="11"/>
                <w:szCs w:val="11"/>
                <w:color w:val="auto"/>
              </w:rPr>
              <w:t>Write downs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(2,209)</w:t>
            </w: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(2,209)</w:t>
            </w:r>
          </w:p>
        </w:tc>
        <w:tc>
          <w:tcPr>
            <w:tcW w:w="100" w:type="dxa"/>
            <w:vAlign w:val="bottom"/>
          </w:tcPr>
          <w:p>
            <w:pPr>
              <w:spacing w:after="0"/>
              <w:rPr>
                <w:sz w:val="10"/>
                <w:szCs w:val="10"/>
                <w:color w:val="auto"/>
              </w:rPr>
            </w:pPr>
          </w:p>
        </w:tc>
        <w:tc>
          <w:tcPr>
            <w:tcW w:w="72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(1,906)</w:t>
            </w:r>
          </w:p>
        </w:tc>
        <w:tc>
          <w:tcPr>
            <w:tcW w:w="12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(2,738)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(2,151)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(2,151)</w:t>
            </w:r>
          </w:p>
        </w:tc>
      </w:tr>
      <w:tr>
        <w:trPr>
          <w:trHeight w:val="138"/>
        </w:trPr>
        <w:tc>
          <w:tcPr>
            <w:tcW w:w="1960" w:type="dxa"/>
            <w:vAlign w:val="bottom"/>
          </w:tcPr>
          <w:p>
            <w:pPr>
              <w:spacing w:after="0"/>
              <w:rPr>
                <w:sz w:val="20"/>
                <w:szCs w:val="20"/>
                <w:color w:val="auto"/>
              </w:rPr>
            </w:pPr>
            <w:r>
              <w:rPr>
                <w:rFonts w:ascii="Arial" w:cs="Arial" w:eastAsia="Arial" w:hAnsi="Arial"/>
                <w:sz w:val="11"/>
                <w:szCs w:val="11"/>
                <w:color w:val="auto"/>
              </w:rPr>
              <w:t>Net gains (losses) on 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(7,367)</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(7,367)</w:t>
            </w:r>
          </w:p>
        </w:tc>
        <w:tc>
          <w:tcPr>
            <w:tcW w:w="100" w:type="dxa"/>
            <w:vAlign w:val="bottom"/>
          </w:tcPr>
          <w:p>
            <w:pPr>
              <w:spacing w:after="0"/>
              <w:rPr>
                <w:sz w:val="12"/>
                <w:szCs w:val="12"/>
                <w:color w:val="auto"/>
              </w:rPr>
            </w:pPr>
          </w:p>
        </w:tc>
        <w:tc>
          <w:tcPr>
            <w:tcW w:w="72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(2,201)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(2,201)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571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571</w:t>
            </w: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Ending Balance</w:t>
            </w:r>
          </w:p>
        </w:tc>
        <w:tc>
          <w:tcPr>
            <w:tcW w:w="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264,092</w:t>
            </w:r>
          </w:p>
        </w:tc>
        <w:tc>
          <w:tcPr>
            <w:tcW w:w="2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120,770</w:t>
            </w:r>
          </w:p>
        </w:tc>
        <w:tc>
          <w:tcPr>
            <w:tcW w:w="2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384,862</w:t>
            </w:r>
          </w:p>
        </w:tc>
        <w:tc>
          <w:tcPr>
            <w:tcW w:w="2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304,381</w:t>
            </w:r>
          </w:p>
        </w:tc>
        <w:tc>
          <w:tcPr>
            <w:tcW w:w="24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110,610</w:t>
            </w:r>
          </w:p>
        </w:tc>
        <w:tc>
          <w:tcPr>
            <w:tcW w:w="2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414,991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287,848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104,754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392,602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259,155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75,383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334,538</w:t>
            </w:r>
          </w:p>
        </w:tc>
        <w:tc>
          <w:tcPr>
            <w:tcW w:w="20" w:type="dxa"/>
            <w:vAlign w:val="bottom"/>
          </w:tcPr>
          <w:p>
            <w:pPr>
              <w:spacing w:after="0"/>
              <w:rPr>
                <w:sz w:val="10"/>
                <w:szCs w:val="10"/>
                <w:color w:val="auto"/>
              </w:rPr>
            </w:pPr>
          </w:p>
        </w:tc>
      </w:tr>
      <w:tr>
        <w:trPr>
          <w:trHeight w:val="21"/>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Excludes non-performing loans and foreclosed properties covered by the loss-sharing agreement with the FDIC, related to the acquisition of Southern Community Bank.</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foreclosed property are accounted for in accordance with Accounting Standards Codification Topic 360, Subtopic 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(“ASC 360-20”). For the twelve months ended December 31, 2009, 2008 and 2007, United transferred $239.8 million, $132.0 million and $62.7 million, respectively, of loans into foreclosed property. During 2009, proceeds from sales of foreclosed properties were $165 million which includes $10.8 million of sales that were financed by United.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Total securities available for sale decreased $87.1 million from the end of 2008. United continued to purchase securities throughout 2009, primarily to reinvest the proceeds of maturing securities. At both December 31, 2009 and 2008, securities available for sale represented 19% of total assets. At December 31, 2009, the effective duration of the investment portfolio based on expected maturities was 2.67 years compared with 2.06 years at December 31, 2008. The following table shows the carrying value of United’s securities.</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14 - Carrying Value of Investment Securities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rPr>
              <w:t>Securities available for sale: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800" w:type="dxa"/>
            <w:vAlign w:val="bottom"/>
          </w:tcPr>
          <w:p>
            <w:pPr>
              <w:ind w:left="280"/>
              <w:spacing w:after="0"/>
              <w:rPr>
                <w:sz w:val="20"/>
                <w:szCs w:val="20"/>
                <w:color w:val="auto"/>
              </w:rPr>
            </w:pPr>
            <w:r>
              <w:rPr>
                <w:rFonts w:ascii="Arial" w:cs="Arial" w:eastAsia="Arial" w:hAnsi="Arial"/>
                <w:sz w:val="18"/>
                <w:szCs w:val="18"/>
                <w:color w:val="auto"/>
              </w:rPr>
              <w:t>U.S. Government agencies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246,466</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168,385</w:t>
            </w:r>
          </w:p>
        </w:tc>
      </w:tr>
      <w:tr>
        <w:trPr>
          <w:trHeight w:val="216"/>
        </w:trPr>
        <w:tc>
          <w:tcPr>
            <w:tcW w:w="680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43,740</w:t>
            </w:r>
          </w:p>
        </w:tc>
      </w:tr>
      <w:tr>
        <w:trPr>
          <w:trHeight w:val="216"/>
        </w:trPr>
        <w:tc>
          <w:tcPr>
            <w:tcW w:w="680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1,197,222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1,379,156</w:t>
            </w:r>
          </w:p>
        </w:tc>
      </w:tr>
      <w:tr>
        <w:trPr>
          <w:trHeight w:val="237"/>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25,906</w:t>
            </w: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1,530,047</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1,617,187</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the contractual maturities because the loans underlying the security may prepay without prepayment penalties.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an asset that yields a below-market rate for a longer period of time.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2009, United had 78% of its total investment securities portfolio in mortgage backed securities, compared with 85% at December 31, 2008. Due to a lack of loan demand, United continued to purchase additional mortgage-backed securities in order to obtain a favorable yield with low risk. In late 2009, United began to shift away from mortgage-backed securities to avoid extension risk in the event that rates begin to rise. United did not have securities of any issuer in excess of 10% of equity at year-end 2009 or 2008, excluding U.S. Government issues. Less than 1% of the securities portfolio is rated below “A” or unrated and 94% is rated “Aaa”. See Note 5 to the Consolidated Financial Statements for further discussion of investment portfolio and related fair value and maturity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United performed its annual assessment as of December 31, 2009. United engaged the services of a national third party valuation expert who employed commonly used valuation techniques including an earnings approach that considered discounted future expected cash earnings and two market approaches. The annual goodwill impairment test performed as of December 31, 2009 did not result in the recognition of any goodwill impairment.</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2009, United’s stock price fell from $13.58 per share at December 31, 2008, to a low of $2.28 per share, and ended the first quarter of 2009 at $4.16. Management believed this fall in stock price reflected uncertainty about the economic cycle. Additionally, the stock prices of the peer group used as part of the valuation analysis in the 2008 year-end goodwill impairment assessment experienced similar declines. The current economic environment has resulted in lower earnings with higher credit costs and those costs have been reflected in the income statement, as well as valuation adjustments to loan balances through increases to the allowance for loan losses. With the stock price trading at a significant discount to book value and tangible book value, in addition to those other factors, management believed that goodwill should be reassessed for impairment in the first quarter of 2009. As a result of this assessment, United recognized a goodwill impairment charge to earnings in the amount of $70 million during the first quarter of 2009.</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Conditions in the second quarter of 2009 did not lead management to believe that further impairment existed at the time. United’s financial condition continued to deteriorate and our credit losses continued to mount into the third quarter of 2009. Although some credit deterioration was expected at the time the first quarter impairment assessment was performed, conditions continued to weaken beyond earlier expectations and the rising level of nonperforming loans and credit losses led management to believe that further impairment could exist, and that another interim test was warranted for the third quarter of 2009. United recognized an additional goodwill impairment charge of $25 million as a result of additional testing.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In performing the first and third quarter impairment assessments, United engaged the same third party valuation firm used to assist with the annual goodwill impairment assessment. The two interim assessments and the annual assessment at December 31, 2009, were performed using a consistent approach with the annual assessment done as of December 31, 2008. The first step (Step 1) of the goodwill impairment analysis was to determine whether the fair value of United exceeded the book value of equity, which would imply that goodwill was not impaired. The Step 1 analysis included three commonly used valuation techniques, including an earnings approach that considered discounted expected future cash earnings and two market approaches. The first market approach was the guideline public companies method that considered United’s implied value by comparing United to a select peer group of public companies and their current market valuation. The second market approach was the merger and acquisition method that considered the amount an acquiring company might be willing to pay to gain control of United, based on recent merger and acquisition activity.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three valuation techniques used in Step 1 of the interim and annual assessments in 2009 indicated a decline in value from the December 31, 2008 assessment, due to deteriorating market conditions in the financial services industry and a decline in United’s internal earnings forecast related to further credit quality weakness. The Step 1 analysis performed in the first and third quarters and at year-end 2009 indicated that the estimated fair value of United had fallen below its book value.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declining valuation determined in Step 1 led to Step 2 of the goodwill impairment assessment, which required United to determine the fair value of all its assets and liabilities, including separately identifiable intangible assets, and to determine the implied value of goodwill as the difference between the value of United determined in Step 1 and the value of the underlying assets and liabilities determined in Step 2. There are a number of valuation assumptions required to determine the value of our assets and liabilities. The most significant assumption in determining the estimated fair value of United as a whole and the amount of any resulting impairment was the discount rate used in the discounted cash flows valuation method. For the December 31, 2009 assessment, the discount rate selected was 15.5% which considered a risk-free rate of return that was adjusted for the industry median beta, equity risk and size premiums, and a company-specific risk premium. The discount rate used for the two interim assessments was 15%. The increase in the discount rate used for the annual assessment was due to a higher long-term risk-free rate which was used to determine the discount rate.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increase in the discount rate of one percentage point would result in the decrease in the estimated value of United of approximately $34 million. This would have indicated approximately $29 million in goodwill impairment. A decrease of one percentage point would result in an increase in the estimated value of United of approximately $41 million.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significant assumptions relate to the value of the loan portfolio. Those assumptions included estimates of cash flows on nonperforming loans a probability of default rates and loss on default rates for performing loans. Changes in those assumptions, or any other significant assumptions, could have a significant impact on the results of the goodwill impairment assessment could result in future impairment charges. Events and conditions that could lead to further goodwill impairment include, among other things, changes in the long-term risk-free interest rate or any of the risk premium assumptions used to compile the overall discount rate for the discounted cash flows valuation method used in Step 1, changes in stock price valuations for United or the selected per group of banks used to determine United’s value under the Guideline Public Companies method, or further deterioration in United’s financial performance or outlook for future financial performance.</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goodwill is an intangible asset that cannot be sold separately or otherwise disposed of, it is not recognized in determining capital adequacy for regulatory purposes. Therefore, the goodwill impairment charges taken during 2009 had no effect on United’s regulatory capital ratios.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average deposits for 2009 were $6.7 billion, an increase of $188 million, or 3%, from 2008. Average non-interest bearing demand deposit accounts increased $17 million, or 3%, and average NOW accounts decreased $194 million, or 13%, from 2008. Average time deposits for 2009 were $3.9 billion, up from $3.7 billion in 2008. At December 31, 2009, total deposits were $6.6 billion compared with $7.0 billion at the end of 2008, a decrease of $376 million, or 5%. In 2008, in an effort to increase liquidity, the Bank began competing for CDs, despite the aggressive market. During the second and third quarters of 2008, United raised more than $400 million in 15-month certificates as part of a special rate offer. Most of those certificates of deposit matured in the third quarter of 2009, and United did not offer a special rate upon their maturity. Approximately half of the certificates of deposit that were part of the 2008 rate special, were renewed at standard rates in effect at the time of renewal. The other half left the bank, accounting for most of the decline in the balance. United lowered its rates on non-special certificates during 2009, allowing the balances to decline due to weak loan demand. Brokered deposits at December 31, 2009 were $759 million compared with $793 million at December 31,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sets forth the scheduled maturities of time deposits of $100,000 and greater and brokered time deposits.</w:t>
      </w:r>
    </w:p>
    <w:p>
      <w:pPr>
        <w:spacing w:after="0" w:line="271"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Table 15 - Maturities of Time Deposits of $100,000 and Greater and Brokered Deposits</w:t>
      </w:r>
    </w:p>
    <w:p>
      <w:pPr>
        <w:spacing w:after="0" w:line="3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 of December 31, 2009</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420"/>
          </w:cols>
          <w:pgMar w:left="240" w:top="517" w:right="239" w:bottom="1440" w:gutter="0" w:footer="0" w:header="0"/>
        </w:sectPr>
      </w:pP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$100,000 and greater:</w:t>
      </w:r>
    </w:p>
    <w:p>
      <w:pPr>
        <w:spacing w:after="0" w:line="46"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Brokered deposits: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781" w:hanging="781"/>
        <w:spacing w:after="0"/>
        <w:tabs>
          <w:tab w:leader="none" w:pos="7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392,582</w:t>
      </w:r>
    </w:p>
    <w:p>
      <w:pPr>
        <w:spacing w:after="0" w:line="46" w:lineRule="exact"/>
        <w:rPr>
          <w:rFonts w:ascii="Arial" w:cs="Arial" w:eastAsia="Arial" w:hAnsi="Arial"/>
          <w:sz w:val="16"/>
          <w:szCs w:val="16"/>
          <w:color w:val="auto"/>
        </w:rPr>
      </w:pPr>
    </w:p>
    <w:p>
      <w:pPr>
        <w:ind w:left="781"/>
        <w:spacing w:after="0"/>
        <w:rPr>
          <w:rFonts w:ascii="Arial" w:cs="Arial" w:eastAsia="Arial" w:hAnsi="Arial"/>
          <w:sz w:val="16"/>
          <w:szCs w:val="16"/>
          <w:color w:val="auto"/>
        </w:rPr>
      </w:pPr>
      <w:r>
        <w:rPr>
          <w:rFonts w:ascii="Arial" w:cs="Arial" w:eastAsia="Arial" w:hAnsi="Arial"/>
          <w:sz w:val="16"/>
          <w:szCs w:val="16"/>
          <w:color w:val="auto"/>
        </w:rPr>
        <w:t>135,418</w:t>
      </w:r>
    </w:p>
    <w:p>
      <w:pPr>
        <w:spacing w:after="0" w:line="32" w:lineRule="exact"/>
        <w:rPr>
          <w:rFonts w:ascii="Arial" w:cs="Arial" w:eastAsia="Arial" w:hAnsi="Arial"/>
          <w:sz w:val="16"/>
          <w:szCs w:val="16"/>
          <w:color w:val="auto"/>
        </w:rPr>
      </w:pPr>
    </w:p>
    <w:p>
      <w:pPr>
        <w:ind w:left="781"/>
        <w:spacing w:after="0"/>
        <w:rPr>
          <w:rFonts w:ascii="Arial" w:cs="Arial" w:eastAsia="Arial" w:hAnsi="Arial"/>
          <w:sz w:val="16"/>
          <w:szCs w:val="16"/>
          <w:color w:val="auto"/>
        </w:rPr>
      </w:pPr>
      <w:r>
        <w:rPr>
          <w:rFonts w:ascii="Arial" w:cs="Arial" w:eastAsia="Arial" w:hAnsi="Arial"/>
          <w:sz w:val="16"/>
          <w:szCs w:val="16"/>
          <w:color w:val="auto"/>
        </w:rPr>
        <w:t>482,679</w:t>
      </w:r>
    </w:p>
    <w:p>
      <w:pPr>
        <w:spacing w:after="0" w:line="32" w:lineRule="exact"/>
        <w:rPr>
          <w:rFonts w:ascii="Arial" w:cs="Arial" w:eastAsia="Arial" w:hAnsi="Arial"/>
          <w:sz w:val="16"/>
          <w:szCs w:val="16"/>
          <w:color w:val="auto"/>
        </w:rPr>
      </w:pPr>
    </w:p>
    <w:p>
      <w:pPr>
        <w:ind w:left="781"/>
        <w:spacing w:after="0"/>
        <w:rPr>
          <w:rFonts w:ascii="Arial" w:cs="Arial" w:eastAsia="Arial" w:hAnsi="Arial"/>
          <w:sz w:val="16"/>
          <w:szCs w:val="16"/>
          <w:color w:val="auto"/>
        </w:rPr>
      </w:pPr>
      <w:r>
        <w:rPr>
          <w:rFonts w:ascii="Arial" w:cs="Arial" w:eastAsia="Arial" w:hAnsi="Arial"/>
          <w:sz w:val="16"/>
          <w:szCs w:val="16"/>
          <w:color w:val="auto"/>
        </w:rPr>
        <w:t>176,820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66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5" w:lineRule="exact"/>
        <w:rPr>
          <w:sz w:val="20"/>
          <w:szCs w:val="20"/>
          <w:color w:val="auto"/>
        </w:rPr>
      </w:pPr>
    </w:p>
    <w:p>
      <w:pPr>
        <w:ind w:left="641" w:hanging="641"/>
        <w:spacing w:after="0"/>
        <w:tabs>
          <w:tab w:leader="none" w:pos="6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1,187,499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66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66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82" w:lineRule="exact"/>
        <w:rPr>
          <w:sz w:val="20"/>
          <w:szCs w:val="20"/>
          <w:color w:val="auto"/>
        </w:rPr>
      </w:pPr>
    </w:p>
    <w:p>
      <w:pPr>
        <w:ind w:left="781" w:hanging="781"/>
        <w:spacing w:after="0"/>
        <w:tabs>
          <w:tab w:leader="none" w:pos="7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123,931</w:t>
      </w:r>
    </w:p>
    <w:p>
      <w:pPr>
        <w:spacing w:after="0" w:line="46"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26,074</w:t>
      </w:r>
    </w:p>
    <w:p>
      <w:pPr>
        <w:spacing w:after="0" w:line="32"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427,895</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180,980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66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 w:lineRule="exact"/>
        <w:rPr>
          <w:sz w:val="20"/>
          <w:szCs w:val="20"/>
          <w:color w:val="auto"/>
        </w:rPr>
      </w:pPr>
    </w:p>
    <w:p>
      <w:pPr>
        <w:ind w:left="781" w:hanging="781"/>
        <w:spacing w:after="0"/>
        <w:tabs>
          <w:tab w:leader="none" w:pos="7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758,880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99" w:space="720"/>
            <w:col w:w="3201"/>
          </w:cols>
          <w:pgMar w:left="240" w:top="517"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 shareholder in the Federal Home Loan Bank (“FHLB”) of Atlanta. Through this affiliation, secured advances totaling $114.5 million were outstanding at December 31, 2009, at rates competitive with time deposits of like maturities. United anticipates continued use of this short and long-term source of funds. The FHLB advances outstanding at December 31, 2009 had both fixed and floating interest rates ranging up to 4.49%. Approximately 9% of the FHLB advances mature prior to December 31, 2010. Additional information regarding FHLB advances, including scheduled maturities, is provided in Note 10 to the Consolidated Financial Statements.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2009, United had $101.4 million in Federal funds purchased, repurchase agreements, and other short-term borrowings outstanding, compared to $108.4 million outstanding at December 31, 2008. United takes advantage of these additional sources of liquidity when rates are favorable compared to other forms of short-term borrowings, such as FHLB advances and brokered deposits.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The primary objective of liquidity management is to ensure that sufficient funding is available, at reasonable cost, to meet ongoing operational cash needs and to take advantage of revenue producing opportunities as they arise. While the desired level of liquidity will vary depending on a number of factors, it is the primary goal of United to maintain a sufficient level of liquidity in both normal operating conditions and in periods of market or industry stress.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Substantially all of United’s liquidity is obtained from subsidiary service fees and dividends from the Bank, which is limited by applicable law.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primary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objectives.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asset portion of the balance sheet provides liquidity primarily through loan sales and repayments and the maturities and sales of securities, as well as the ability to use these as collateral for borrowings on a secured basis. We also maintain excess funds in short-term, interest-bearing assets that provide additional liquidity. Mortgage loans held for sale totaled $30.2 million at December 31, 2009, and typically turn over every 45 days as closed loans are sold to investors in the secondary market. Construction and commercial loans that mature in one year or less amounted to $1.3 billion, or 25%, of the loan portfolio at December 31, 2009. In addition, at December 31, 2009, United had $129.7 million in commercial paper investments that mature within 30 days.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primarily through the stability of deposit accounts. Federal funds purchased, FHLB advances, brokered deposits, Federal Reserve discount window borrowings and securities sold under agreements to repurchase are additional wholesale sources of liquidity and represent United’s additional borrowing capacity. These sources of liquidity are used as necessary to fund asset growth and meet other short-term liquidity needs.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The table below presents a summary of United’s short-term borrowings over the last three years.</w:t>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Table 16 - Short-Term Borrowings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Average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Period end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7"/>
              </w:rPr>
              <w:t>Maximum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6"/>
              </w:rPr>
              <w:t>amounts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w w:val="88"/>
              </w:rPr>
              <w:t>Period-end</w:t>
            </w:r>
          </w:p>
        </w:tc>
        <w:tc>
          <w:tcPr>
            <w:tcW w:w="30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Arial" w:cs="Arial" w:eastAsia="Arial" w:hAnsi="Arial"/>
                <w:sz w:val="18"/>
                <w:szCs w:val="18"/>
                <w:color w:val="auto"/>
                <w:w w:val="86"/>
              </w:rPr>
              <w:t>average</w:t>
            </w:r>
          </w:p>
        </w:tc>
        <w:tc>
          <w:tcPr>
            <w:tcW w:w="11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at any month-</w:t>
            </w:r>
          </w:p>
        </w:tc>
        <w:tc>
          <w:tcPr>
            <w:tcW w:w="3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2"/>
              </w:rPr>
              <w:t>during the</w:t>
            </w:r>
          </w:p>
        </w:tc>
        <w:tc>
          <w:tcPr>
            <w:tcW w:w="3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average rate</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December 31, 2009</w:t>
            </w: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50"/>
              <w:spacing w:after="0" w:line="190" w:lineRule="exact"/>
              <w:rPr>
                <w:sz w:val="20"/>
                <w:szCs w:val="20"/>
                <w:color w:val="auto"/>
              </w:rPr>
            </w:pPr>
            <w:r>
              <w:rPr>
                <w:rFonts w:ascii="Arial" w:cs="Arial" w:eastAsia="Arial" w:hAnsi="Arial"/>
                <w:sz w:val="18"/>
                <w:szCs w:val="18"/>
                <w:color w:val="auto"/>
                <w:w w:val="85"/>
              </w:rPr>
              <w:t>balance</w:t>
            </w:r>
          </w:p>
        </w:tc>
        <w:tc>
          <w:tcPr>
            <w:tcW w:w="300" w:type="dxa"/>
            <w:vAlign w:val="bottom"/>
          </w:tcPr>
          <w:p>
            <w:pPr>
              <w:spacing w:after="0"/>
              <w:rPr>
                <w:sz w:val="16"/>
                <w:szCs w:val="16"/>
                <w:color w:val="auto"/>
              </w:rPr>
            </w:pPr>
          </w:p>
        </w:tc>
        <w:tc>
          <w:tcPr>
            <w:tcW w:w="1100" w:type="dxa"/>
            <w:vAlign w:val="bottom"/>
            <w:gridSpan w:val="2"/>
          </w:tcPr>
          <w:p>
            <w:pPr>
              <w:jc w:val="center"/>
              <w:ind w:right="170"/>
              <w:spacing w:after="0" w:line="190" w:lineRule="exact"/>
              <w:rPr>
                <w:sz w:val="20"/>
                <w:szCs w:val="20"/>
                <w:color w:val="auto"/>
              </w:rPr>
            </w:pPr>
            <w:r>
              <w:rPr>
                <w:rFonts w:ascii="Arial" w:cs="Arial" w:eastAsia="Arial" w:hAnsi="Arial"/>
                <w:sz w:val="18"/>
                <w:szCs w:val="18"/>
                <w:color w:val="auto"/>
                <w:w w:val="88"/>
              </w:rPr>
              <w:t>interest rate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86"/>
              </w:rPr>
              <w:t>end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91"/>
              </w:rPr>
              <w:t>year</w:t>
            </w:r>
          </w:p>
        </w:tc>
        <w:tc>
          <w:tcPr>
            <w:tcW w:w="30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92"/>
              </w:rPr>
              <w:t>for the year</w:t>
            </w:r>
          </w:p>
        </w:tc>
        <w:tc>
          <w:tcPr>
            <w:tcW w:w="0" w:type="dxa"/>
            <w:vAlign w:val="bottom"/>
          </w:tcPr>
          <w:p>
            <w:pPr>
              <w:spacing w:after="0"/>
              <w:rPr>
                <w:sz w:val="1"/>
                <w:szCs w:val="1"/>
                <w:color w:val="auto"/>
              </w:rPr>
            </w:pPr>
          </w:p>
        </w:tc>
      </w:tr>
      <w:tr>
        <w:trPr>
          <w:trHeight w:val="28"/>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58,000</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33,439</w:t>
            </w:r>
          </w:p>
        </w:tc>
        <w:tc>
          <w:tcPr>
            <w:tcW w:w="30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101,725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101,389</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vMerge w:val="restart"/>
          </w:tcPr>
          <w:p>
            <w:pPr>
              <w:spacing w:after="0"/>
              <w:rPr>
                <w:sz w:val="20"/>
                <w:szCs w:val="20"/>
                <w:color w:val="auto"/>
              </w:rPr>
            </w:pPr>
            <w:r>
              <w:rPr>
                <w:rFonts w:ascii="Arial" w:cs="Arial" w:eastAsia="Arial" w:hAnsi="Arial"/>
                <w:sz w:val="18"/>
                <w:szCs w:val="18"/>
                <w:color w:val="auto"/>
                <w:w w:val="88"/>
              </w:rPr>
              <w:t>December 31, 2008</w:t>
            </w:r>
          </w:p>
        </w:tc>
        <w:tc>
          <w:tcPr>
            <w:tcW w:w="29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auto"/>
            </w:tcBorders>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294,205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147,459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114,516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215,000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324,634</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vMerge w:val="restart"/>
          </w:tcPr>
          <w:p>
            <w:pPr>
              <w:spacing w:after="0"/>
              <w:rPr>
                <w:sz w:val="20"/>
                <w:szCs w:val="20"/>
                <w:color w:val="auto"/>
              </w:rPr>
            </w:pPr>
            <w:r>
              <w:rPr>
                <w:rFonts w:ascii="Arial" w:cs="Arial" w:eastAsia="Arial" w:hAnsi="Arial"/>
                <w:sz w:val="18"/>
                <w:szCs w:val="18"/>
                <w:color w:val="auto"/>
                <w:w w:val="88"/>
              </w:rPr>
              <w:t>December 31, 2007</w:t>
            </w:r>
          </w:p>
        </w:tc>
        <w:tc>
          <w:tcPr>
            <w:tcW w:w="29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auto"/>
            </w:tcBorders>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343,834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366,447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186,795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149,070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638,462</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320,276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2009, United had sufficient qualifying collateral to increase FHLB advances by $797.6 million and Federal Reserve discount window capacity of $330 million. United’s internal policy limits brokered deposits to 25% of total assets. At December 31, 2009, United had the capacity to increase brokered deposits by $1.241 billion and still remain within this limit. In addition to these wholesale sources, United has the ability to attract retail deposits at any time by competing more aggressively on pricing. The following table shows United’s contractual obligations and other commitments.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ind w:left="300"/>
              <w:spacing w:after="0"/>
              <w:rPr>
                <w:sz w:val="20"/>
                <w:szCs w:val="20"/>
                <w:color w:val="auto"/>
              </w:rPr>
            </w:pPr>
            <w:r>
              <w:rPr>
                <w:rFonts w:ascii="Arial" w:cs="Arial" w:eastAsia="Arial" w:hAnsi="Arial"/>
                <w:sz w:val="18"/>
                <w:szCs w:val="18"/>
                <w:b w:val="1"/>
                <w:bCs w:val="1"/>
                <w:color w:val="auto"/>
                <w:w w:val="97"/>
              </w:rPr>
              <w:t>Table 17 - Contractual Obligations and Other Commitments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00"/>
              <w:spacing w:after="0"/>
              <w:rPr>
                <w:sz w:val="20"/>
                <w:szCs w:val="20"/>
                <w:color w:val="auto"/>
              </w:rPr>
            </w:pPr>
            <w:r>
              <w:rPr>
                <w:rFonts w:ascii="Arial" w:cs="Arial" w:eastAsia="Arial" w:hAnsi="Arial"/>
                <w:sz w:val="18"/>
                <w:szCs w:val="18"/>
                <w:color w:val="auto"/>
              </w:rPr>
              <w:t>As of December 31, 2009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40" w:type="dxa"/>
            <w:vAlign w:val="bottom"/>
            <w:gridSpan w:val="4"/>
            <w:vMerge w:val="restart"/>
          </w:tcPr>
          <w:p>
            <w:pPr>
              <w:ind w:left="100"/>
              <w:spacing w:after="0"/>
              <w:rPr>
                <w:sz w:val="20"/>
                <w:szCs w:val="20"/>
                <w:color w:val="auto"/>
              </w:rPr>
            </w:pPr>
            <w:r>
              <w:rPr>
                <w:rFonts w:ascii="Arial" w:cs="Arial" w:eastAsia="Arial" w:hAnsi="Arial"/>
                <w:sz w:val="18"/>
                <w:szCs w:val="18"/>
                <w:color w:val="auto"/>
                <w:w w:val="92"/>
              </w:rPr>
              <w:t>Maturity By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1 or Less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 to 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 to 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6"/>
              </w:rPr>
              <w:t>Over 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300"/>
              <w:spacing w:after="0" w:line="201" w:lineRule="exact"/>
              <w:rPr>
                <w:sz w:val="20"/>
                <w:szCs w:val="20"/>
                <w:color w:val="auto"/>
              </w:rPr>
            </w:pPr>
            <w:r>
              <w:rPr>
                <w:rFonts w:ascii="Arial" w:cs="Arial" w:eastAsia="Arial" w:hAnsi="Arial"/>
                <w:sz w:val="18"/>
                <w:szCs w:val="18"/>
                <w:b w:val="1"/>
                <w:bCs w:val="1"/>
                <w:color w:val="auto"/>
              </w:rPr>
              <w:t>Contractual Cash Obligations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40"/>
              <w:spacing w:after="0"/>
              <w:rPr>
                <w:sz w:val="20"/>
                <w:szCs w:val="20"/>
                <w:color w:val="auto"/>
              </w:rPr>
            </w:pPr>
            <w:r>
              <w:rPr>
                <w:rFonts w:ascii="Arial" w:cs="Arial" w:eastAsia="Arial" w:hAnsi="Arial"/>
                <w:sz w:val="18"/>
                <w:szCs w:val="18"/>
                <w:color w:val="auto"/>
              </w:rPr>
              <w:t>FHLB advances</w:t>
            </w: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114,501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74,297</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380"/>
              <w:spacing w:after="0"/>
              <w:rPr>
                <w:sz w:val="20"/>
                <w:szCs w:val="20"/>
                <w:color w:val="auto"/>
              </w:rPr>
            </w:pPr>
            <w:r>
              <w:rPr>
                <w:rFonts w:ascii="Arial" w:cs="Arial" w:eastAsia="Arial" w:hAnsi="Arial"/>
                <w:sz w:val="18"/>
                <w:szCs w:val="18"/>
                <w:color w:val="auto"/>
              </w:rPr>
              <w:t>Total contractual cash obligations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277,610</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109,738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122,107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Other Commitments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40"/>
              <w:spacing w:after="0"/>
              <w:rPr>
                <w:sz w:val="20"/>
                <w:szCs w:val="20"/>
                <w:color w:val="auto"/>
              </w:rPr>
            </w:pPr>
            <w:r>
              <w:rPr>
                <w:rFonts w:ascii="Arial" w:cs="Arial" w:eastAsia="Arial" w:hAnsi="Arial"/>
                <w:sz w:val="18"/>
                <w:szCs w:val="18"/>
                <w:color w:val="auto"/>
              </w:rPr>
              <w:t>Lines of credit</w:t>
            </w: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569,408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304,365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76,736</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166,425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40"/>
              <w:spacing w:after="0"/>
              <w:rPr>
                <w:sz w:val="20"/>
                <w:szCs w:val="20"/>
                <w:color w:val="auto"/>
              </w:rPr>
            </w:pPr>
            <w:r>
              <w:rPr>
                <w:rFonts w:ascii="Arial" w:cs="Arial" w:eastAsia="Arial" w:hAnsi="Arial"/>
                <w:sz w:val="18"/>
                <w:szCs w:val="18"/>
                <w:color w:val="auto"/>
              </w:rPr>
              <w:t>Commercial letters of credit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74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380"/>
              <w:spacing w:after="0"/>
              <w:rPr>
                <w:sz w:val="20"/>
                <w:szCs w:val="20"/>
                <w:color w:val="auto"/>
              </w:rPr>
            </w:pPr>
            <w:r>
              <w:rPr>
                <w:rFonts w:ascii="Arial" w:cs="Arial" w:eastAsia="Arial" w:hAnsi="Arial"/>
                <w:sz w:val="18"/>
                <w:szCs w:val="18"/>
                <w:color w:val="auto"/>
              </w:rPr>
              <w:t>Total other commitments</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601,626</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325,066</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2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$139.6 million for the year ended December 31, 2009. The major sources of cash provided by operating activities were noncash expenses of depreciation, amortization and accretion, provision for loan losses, goodwill impairment and stock-based compensation which totaled $423.3 million, and more than offset uses of cash that included the net loss of $228.3 million and a deferred income tax benefit of $50.0 million. Net cash provided by investing activities of $403.9 million consisted primarily of a decrease in loans of $63.0 million and the purchase of $884.8 million of available for sale securities, offset by the maturity, call or sale of $1.0 billion of available for sale securities. In addition, the Company received $63.6 million related to the acquisition of SCB, as well as $154.4 million in proceeds from the sale of foreclosed property. The $660.6 million of net cash used in financing activities consisted primarily of a net decrease in deposits of $682.2 million offset by proceeds from the issuance of common stock of $211.1 million. The decrease in deposits was primarily in certificates of deposit as United allowed attrition in these higher priced funds by not competing aggressively with rates. In addition, there was a net decrease in short-term borrowings of $9.7 million and a net repayment in FHLB advances of $173.3 million. In the opinion of management, United’s liquidity position at December 31, 2009 is sufficient to meet its expected cash flow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not involved in off-balance sheet contractual relationships, other than those disclosed in this report, that could result in liquidity needs or other commitments, or that could significantly affect earnings. See Note 18 to the Consolidated Financial Statements for additional information on off-balance sheet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Shareholders’ equity at December 31, 2009 was $962.3 million, a decrease of $27.1 million, or 3%, from December 31, 2008. The common stock sold late in the third quarter of 2009 resulted in an increase in shareholder’s equity of $211.1 million. This was offset by the net loss of $228.3 million, which included non-cash goodwill impairment charges of $95 million which have no impact on regulatory capital. Accumulated other comprehensive income, which includes unrealized gains and losses on securities available for sale and the unrealized gains and losses on derivatives qualifying as cash flow hedges, is excluded in the calculation of regulatory capital ratios. Excluding the change in the accumulated other comprehensive income, shareholders’ equity decreased $20.1 million, or 2%. In order to preserve capital, United suspended its cash dividend in the third quarter of 2008 and declared a stock dividend of 1 new share for every 130 shares held in the third and fourth quarters of 2008 and each of the first three quarters of 2009. United reported $10.2 million in dividends on Series A and Series B preferred stock, for the year ended December 31, 2009 compared to $724,000 for 2008. United recognizes that cash dividends are an important component of shareholder value, and therefore, we intend to provide for cash dividends on common stock when earnings, capital levels and other factors permit.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 adjusted assets to determine the risk based capital ratios. The guidelines require an 8% Total risk-based capital ratio, of which 4% must be Tier I capital. However, to be considered well-capitalized under the guidelines, a 10% Total risk-based capital ratio is required, of which 6% must be Tier 1 capital.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Tier I Capital consists of shareholders’ equity, excluding accumulated other comprehensive income, intangible assets (goodwill and deposit-based intangibles), and disallowed deferred tax assets, plus qualifying capital securities. United’s Tier I capital totaled $679 million at December 31, 2009. Tier II capital components include supplemental capital such as the qualifying portion of the allowance for loan losses and qualifying subordinated debt. Tier I capital plus Tier II capital is referred to as Total risk-based capital and was $826 million at December 31, 2009. The ratios, as calculated under the guidelines, were 12.41% and 15.09% for Tier I and Total risk-based capital, respectively, at December 31, 2009.</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5, 2008, United participated in Treasury’s CPP by selling 180,000 shares of Series B Preferred Stock and a Warrant to purchase 2,132,701 shares (1,099,542 shares, as adjusted for subsequent stock dividends and a 50% reduction following United’s recent stock offering) of United’s common stock to Treasury. The proceeds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discount recorded on the Series B Preferred Stock that resulted from allocating a portion of the proceeds to the Warrant is being accreted directly to into retained earnings over a five-year period applying a level yield. The exercise price of the Warrant is $12.66 per share ($12.28 per share, as adjusted for subsequent stock dividends) and is exercisable at any time on or before December 5, 2018.</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B Preferred Stock qualifies as Tier I capital under risk-based capital guidelines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31, 2008, United’s subsidiaries United Community Statutory Trust II and United Community Statutory Trust III issued trust preferred securities through a private placement. United Community Statutory Trust II, which pays interest at a fixed rate of 9%, issued $11.8 million in trust preferred securities and $364,000 in common securities. United Community Statutory Trust III, which pays interest at a variable rate of prime plus 3%, issued $1.2 million in trust preferred securities and $38,000 in common securities. United purchased all of the common securities issued by each Trust and received the proceeds from the sale of the common and trust preferred securities by entering into a junior subordinated debenture agreement with the Trusts. The junior subordinated debentures have terms that match the terms of the trust preferred securities. The trust preferred securities mature on October 31, 2038 and are callable any time after October 31, 2013 at par. The trust preferred securities were issued with warrants that allow the holder to redeem the trust preferred securities for United’s common stock at an exercise price of $20 per share. The warrants can be exercised at any time prior to October 31, 2013, at which time the warrants expire. The proceeds of the issuance of the trust preferred securities were allocated between the trust preferred securities and the warrants based on their relative fair values on the date of issuance. The trust preferred securities qualify as Tier I capital under risk-based capital guidelines.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other outstanding junior subordinated debentures related to trust preferred securities totaling $54.6 million at December 31, 2009. The related trust preferred securities of $53.2 million (excluding common securities) qualify as Tier I capital under risk-based capital guidelines provided that total trust preferred securities do not exceed certain quantitative limits. At December 31, 2009, all of United’s trust preferred securities qualified as Tier I capital. Further information on United’s trust preferred securities is provided in Note 12 to the Consolidated Financial Statements.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2008, the Bank issued a $30 million subordinated variable rate note, due August 31, 2015. The subordinated note qualifies as Tier II Capital under risk-based capital guidelines. The note bears interest at a rate of three-month LIBOR + 4%. The note is callable at par at any time. The proceeds were used for general corporate purposes. Of the $95.5 million in subordinated debt that United had outstanding at December 31, 2009, $77.2 million qualified at Tier II capital under risk based capital guidelines.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Late in the third quarter of 2009, United issued 44,505,000 shares of common stock at a price of $5.00 per share. This increased shareholders’ equity by $211.1 million, after payment of issuance costs. The proceeds from the stock issuance were immediately invested in United’s wholly owned bank subsidiary, United Community Bank.</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quarterly average assets reduced by the amount of goodwill and deposit-based intangibles. A minimum leverage ratio of 3% is required for the highest-rated bank holding companies which are not undertaking significant expansion programs, but the Federal Reserve requires a bank holding company to maintain a leverage ratio greater than 4% if it is experiencing or anticipating significant growth or is operating with less diversified risks in the opinion of the Federal Reserve. The Federal Reserve uses the leverage and risk-based capital ratios to assess capital adequacy of banks and bank holding companies. Management believes that United’s capital must be well above the minimum capital requirements to maintain its business plan. United’s leverage ratio at December 31, 2009 was 8.50%.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shows United’s capital ratios, as calculated under regulatory guidelines, at December 31, 2009 and 2008:</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18 - Capital Ratios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140" w:type="dxa"/>
            <w:vAlign w:val="bottom"/>
            <w:gridSpan w:val="5"/>
          </w:tcPr>
          <w:p>
            <w:pPr>
              <w:ind w:left="560"/>
              <w:spacing w:after="0"/>
              <w:rPr>
                <w:sz w:val="20"/>
                <w:szCs w:val="20"/>
                <w:color w:val="auto"/>
              </w:rPr>
            </w:pPr>
            <w:r>
              <w:rPr>
                <w:rFonts w:ascii="Arial" w:cs="Arial" w:eastAsia="Arial" w:hAnsi="Arial"/>
                <w:sz w:val="18"/>
                <w:szCs w:val="18"/>
                <w:b w:val="1"/>
                <w:bCs w:val="1"/>
                <w:color w:val="auto"/>
              </w:rPr>
              <w:t>Regulatory</w:t>
            </w:r>
          </w:p>
        </w:tc>
        <w:tc>
          <w:tcPr>
            <w:tcW w:w="160" w:type="dxa"/>
            <w:vAlign w:val="bottom"/>
          </w:tcPr>
          <w:p>
            <w:pPr>
              <w:spacing w:after="0"/>
              <w:rPr>
                <w:sz w:val="18"/>
                <w:szCs w:val="18"/>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United Community Banks, Inc.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196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Guidelines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(Consolidated)</w:t>
            </w:r>
          </w:p>
        </w:tc>
        <w:tc>
          <w:tcPr>
            <w:tcW w:w="20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4"/>
              </w:rPr>
              <w:t>United Community Bank</w:t>
            </w:r>
          </w:p>
        </w:tc>
      </w:tr>
      <w:tr>
        <w:trPr>
          <w:trHeight w:val="414"/>
        </w:trPr>
        <w:tc>
          <w:tcPr>
            <w:tcW w:w="3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Well</w:t>
            </w:r>
          </w:p>
        </w:tc>
        <w:tc>
          <w:tcPr>
            <w:tcW w:w="160" w:type="dxa"/>
            <w:vAlign w:val="bottom"/>
          </w:tcPr>
          <w:p>
            <w:pPr>
              <w:spacing w:after="0"/>
              <w:rPr>
                <w:sz w:val="24"/>
                <w:szCs w:val="24"/>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200" w:type="dxa"/>
            <w:vAlign w:val="bottom"/>
          </w:tcPr>
          <w:p>
            <w:pPr>
              <w:spacing w:after="0"/>
              <w:rPr>
                <w:sz w:val="24"/>
                <w:szCs w:val="24"/>
                <w:color w:val="auto"/>
              </w:rPr>
            </w:pPr>
          </w:p>
        </w:tc>
        <w:tc>
          <w:tcPr>
            <w:tcW w:w="2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As of December 31,</w:t>
            </w:r>
          </w:p>
        </w:tc>
      </w:tr>
      <w:tr>
        <w:trPr>
          <w:trHeight w:val="241"/>
        </w:trPr>
        <w:tc>
          <w:tcPr>
            <w:tcW w:w="38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Minimum</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Capitalized</w:t>
            </w:r>
          </w:p>
        </w:tc>
        <w:tc>
          <w:tcPr>
            <w:tcW w:w="12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2008</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2008</w:t>
            </w:r>
          </w:p>
        </w:tc>
      </w:tr>
      <w:tr>
        <w:trPr>
          <w:trHeight w:val="418"/>
        </w:trPr>
        <w:tc>
          <w:tcPr>
            <w:tcW w:w="3860" w:type="dxa"/>
            <w:vAlign w:val="bottom"/>
          </w:tcPr>
          <w:p>
            <w:pPr>
              <w:jc w:val="center"/>
              <w:ind w:right="2470"/>
              <w:spacing w:after="0"/>
              <w:rPr>
                <w:sz w:val="20"/>
                <w:szCs w:val="20"/>
                <w:color w:val="auto"/>
              </w:rPr>
            </w:pPr>
            <w:r>
              <w:rPr>
                <w:rFonts w:ascii="Arial" w:cs="Arial" w:eastAsia="Arial" w:hAnsi="Arial"/>
                <w:sz w:val="18"/>
                <w:szCs w:val="18"/>
                <w:color w:val="auto"/>
                <w:w w:val="90"/>
              </w:rPr>
              <w:t>Risk-based ratios:</w:t>
            </w: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16"/>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3"/>
              </w:rPr>
              <w:t>Tier I capital</w:t>
            </w:r>
          </w:p>
        </w:tc>
        <w:tc>
          <w:tcPr>
            <w:tcW w:w="760" w:type="dxa"/>
            <w:vAlign w:val="bottom"/>
          </w:tcPr>
          <w:p>
            <w:pPr>
              <w:ind w:left="3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11.42%</w:t>
            </w:r>
          </w:p>
        </w:tc>
      </w:tr>
      <w:tr>
        <w:trPr>
          <w:trHeight w:val="216"/>
        </w:trPr>
        <w:tc>
          <w:tcPr>
            <w:tcW w:w="3860" w:type="dxa"/>
            <w:vAlign w:val="bottom"/>
          </w:tcPr>
          <w:p>
            <w:pPr>
              <w:jc w:val="center"/>
              <w:ind w:right="2510"/>
              <w:spacing w:after="0"/>
              <w:rPr>
                <w:sz w:val="20"/>
                <w:szCs w:val="20"/>
                <w:color w:val="auto"/>
              </w:rPr>
            </w:pPr>
            <w:r>
              <w:rPr>
                <w:rFonts w:ascii="Arial" w:cs="Arial" w:eastAsia="Arial" w:hAnsi="Arial"/>
                <w:sz w:val="18"/>
                <w:szCs w:val="18"/>
                <w:color w:val="auto"/>
                <w:w w:val="92"/>
              </w:rPr>
              <w:t>Total capital</w:t>
            </w:r>
          </w:p>
        </w:tc>
        <w:tc>
          <w:tcPr>
            <w:tcW w:w="760" w:type="dxa"/>
            <w:vAlign w:val="bottom"/>
          </w:tcPr>
          <w:p>
            <w:pPr>
              <w:ind w:left="3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15.09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13.87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15.01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Leverage ratio</w:t>
            </w:r>
          </w:p>
        </w:tc>
        <w:tc>
          <w:tcPr>
            <w:tcW w:w="760" w:type="dxa"/>
            <w:vAlign w:val="bottom"/>
          </w:tcPr>
          <w:p>
            <w:pPr>
              <w:ind w:left="3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8.50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8.81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r>
      <w:tr>
        <w:trPr>
          <w:trHeight w:val="418"/>
        </w:trPr>
        <w:tc>
          <w:tcPr>
            <w:tcW w:w="3860" w:type="dxa"/>
            <w:vAlign w:val="bottom"/>
          </w:tcPr>
          <w:p>
            <w:pPr>
              <w:jc w:val="center"/>
              <w:ind w:right="2490"/>
              <w:spacing w:after="0"/>
              <w:rPr>
                <w:sz w:val="20"/>
                <w:szCs w:val="20"/>
                <w:color w:val="auto"/>
              </w:rPr>
            </w:pPr>
            <w:r>
              <w:rPr>
                <w:rFonts w:ascii="Arial" w:cs="Arial" w:eastAsia="Arial" w:hAnsi="Arial"/>
                <w:sz w:val="18"/>
                <w:szCs w:val="18"/>
                <w:color w:val="auto"/>
                <w:w w:val="93"/>
              </w:rPr>
              <w:t>Tier I capital</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   679,552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   671,667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$ 720,075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$ 690,905</w:t>
            </w:r>
          </w:p>
        </w:tc>
      </w:tr>
      <w:tr>
        <w:trPr>
          <w:trHeight w:val="230"/>
        </w:trPr>
        <w:tc>
          <w:tcPr>
            <w:tcW w:w="3860" w:type="dxa"/>
            <w:vAlign w:val="bottom"/>
          </w:tcPr>
          <w:p>
            <w:pPr>
              <w:jc w:val="center"/>
              <w:ind w:right="2510"/>
              <w:spacing w:after="0"/>
              <w:rPr>
                <w:sz w:val="20"/>
                <w:szCs w:val="20"/>
                <w:color w:val="auto"/>
              </w:rPr>
            </w:pPr>
            <w:r>
              <w:rPr>
                <w:rFonts w:ascii="Arial" w:cs="Arial" w:eastAsia="Arial" w:hAnsi="Arial"/>
                <w:sz w:val="18"/>
                <w:szCs w:val="18"/>
                <w:color w:val="auto"/>
                <w:w w:val="92"/>
              </w:rPr>
              <w:t>Total capital</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826,251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831,046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819,415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797,079</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monitors these capital ratios to ensure that United and the Bank remain within regulatory guidelines. Further information regarding the actual and required capital ratios of United and the Bank is provided in Note 17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 general business corporation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8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ALCO. The ALCO meets periodically and has responsibility for approving asset/liability management policies, formulating and implementing strategies to improve balance sheet positioning and/or earnings and reviewing United’s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regularly reviews the assumptions for accuracy based on historical data and future expectations, however, actual net interest revenue may differ from model results. The primary objective of the simulation model is to measure the potential change in net interest revenue over a twelve-month period under multiple interest rate scenarios. The base scenario assumes rates remain flat over the next twelve months and is the scenario to which all others are compared to in order to measure the change in net interest revenue. Gradual rising and falling rate scenarios are compared to this base scenario. Another commonly analyzed scenario is a most likely scenario that projects the most likely change in rates over the next twelve months based on the slope of the yield curve. Other scenarios analyzed may include rate shocks, narrowing or widening spreads, and yield curve steepening or flattening. Longer time horizons are also modeled.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12 months to a 10% decrease in either scenario. The policy ramp and base scenarios assume a static balance sheet. Historically low rates on December 31, 2009 made use of the down 200 basis point scenario problematic. At December 31, 2009 United’s simulation model indicated that a 200 basis point increase in rates would cause an approximate 1.81% increase in net interest revenue over the next twelve months and a 25 basis point decrease in rates would cause an approximate ..65% increase in net interest revenue over the next twelve months. At December 31, 2008, United’s simulation model indicated that a 200 basis point increase in rates over the next twelve months would cause an approximate 3.8% increase in net interest revenue and a 25 basis point decrease in rates over the next twelve months would cause an approximate 2.2% decrease in net interest revenue.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the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Table 19 - Expected Maturity of Available for Sale Investment Securities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54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Maturity By Years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70"/>
              <w:spacing w:after="0"/>
              <w:rPr>
                <w:sz w:val="20"/>
                <w:szCs w:val="20"/>
                <w:color w:val="auto"/>
              </w:rPr>
            </w:pPr>
            <w:r>
              <w:rPr>
                <w:rFonts w:ascii="Arial" w:cs="Arial" w:eastAsia="Arial" w:hAnsi="Arial"/>
                <w:sz w:val="18"/>
                <w:szCs w:val="18"/>
                <w:color w:val="auto"/>
                <w:w w:val="97"/>
              </w:rPr>
              <w:t>1 to 5</w:t>
            </w:r>
          </w:p>
        </w:tc>
        <w:tc>
          <w:tcPr>
            <w:tcW w:w="12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5 to 10</w:t>
            </w: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Over 10</w:t>
            </w:r>
          </w:p>
        </w:tc>
        <w:tc>
          <w:tcPr>
            <w:tcW w:w="1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U.S. Government agencies</w:t>
            </w: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42,092</w:t>
            </w:r>
          </w:p>
        </w:tc>
        <w:tc>
          <w:tcPr>
            <w:tcW w:w="3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180,492</w:t>
            </w:r>
          </w:p>
        </w:tc>
        <w:tc>
          <w:tcPr>
            <w:tcW w:w="3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23,882</w:t>
            </w:r>
          </w:p>
        </w:tc>
        <w:tc>
          <w:tcPr>
            <w:tcW w:w="3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246,466</w:t>
            </w:r>
          </w:p>
        </w:tc>
        <w:tc>
          <w:tcPr>
            <w:tcW w:w="140" w:type="dxa"/>
            <w:vAlign w:val="bottom"/>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18,710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rPr>
              <w:t>14,120</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21,233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63,293</w:t>
            </w:r>
          </w:p>
        </w:tc>
      </w:tr>
      <w:tr>
        <w:trPr>
          <w:trHeight w:val="237"/>
        </w:trPr>
        <w:tc>
          <w:tcPr>
            <w:tcW w:w="5240" w:type="dxa"/>
            <w:vAlign w:val="bottom"/>
          </w:tcPr>
          <w:p>
            <w:pPr>
              <w:spacing w:after="0" w:line="230"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5"/>
                <w:szCs w:val="25"/>
                <w:color w:val="auto"/>
                <w:vertAlign w:val="superscript"/>
              </w:rPr>
              <w:t>(1)</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39,853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8"/>
                <w:szCs w:val="18"/>
                <w:color w:val="auto"/>
                <w:w w:val="95"/>
              </w:rPr>
              <w:t>936,664</w:t>
            </w: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161,412</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82,359</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1,220,288</w:t>
            </w: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Total securities available for sale</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992,876</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363,137</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1,530,047</w:t>
            </w:r>
          </w:p>
        </w:tc>
        <w:tc>
          <w:tcPr>
            <w:tcW w:w="140" w:type="dxa"/>
            <w:vAlign w:val="bottom"/>
          </w:tcPr>
          <w:p>
            <w:pPr>
              <w:spacing w:after="0"/>
              <w:rPr>
                <w:sz w:val="18"/>
                <w:szCs w:val="18"/>
                <w:color w:val="auto"/>
              </w:rPr>
            </w:pPr>
          </w:p>
        </w:tc>
      </w:tr>
      <w:tr>
        <w:trPr>
          <w:trHeight w:val="21"/>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4"/>
        </w:trPr>
        <w:tc>
          <w:tcPr>
            <w:tcW w:w="5240" w:type="dxa"/>
            <w:vAlign w:val="bottom"/>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4.66%</w:t>
            </w:r>
          </w:p>
        </w:tc>
      </w:tr>
    </w:tbl>
    <w:p>
      <w:pPr>
        <w:spacing w:after="0" w:line="130" w:lineRule="exact"/>
        <w:rPr>
          <w:sz w:val="20"/>
          <w:szCs w:val="20"/>
          <w:color w:val="auto"/>
        </w:rPr>
      </w:pPr>
    </w:p>
    <w:p>
      <w:pPr>
        <w:ind w:left="380" w:hanging="29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mortgage-backed securities</w:t>
      </w:r>
    </w:p>
    <w:p>
      <w:pPr>
        <w:spacing w:after="0" w:line="23" w:lineRule="exact"/>
        <w:rPr>
          <w:rFonts w:ascii="Arial" w:cs="Arial" w:eastAsia="Arial" w:hAnsi="Arial"/>
          <w:sz w:val="18"/>
          <w:szCs w:val="18"/>
          <w:color w:val="auto"/>
        </w:rPr>
      </w:pPr>
    </w:p>
    <w:p>
      <w:pPr>
        <w:ind w:left="380" w:hanging="29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amortized cost, taxable equivalent basis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assist in achieving a desired level of interest rate sensitivity, United has entered into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changes in fair value of derivative instruments classified as cash flow hedges are recognized in other comprehensive income from which amounts are reclassified into interest income over time as the hedged forecasted transactions affect earnings. Fair value hedges recognize currently in earnings both the effect of the change in the fair value of the derivative financial instrument and the offsetting effect of the change in fair value of the hedged asset or liability. At December 31, 2009 United had interest rate swap contracts with a total notional amount of $100 million that were designated as cash flow hedges of prime based loans. United had interest rate floor contracts with a total notional amount of $100 million that were also designated as cash flow hedges of prime based loans. At December 31, 2009, United had receive fixed, pay LIBOR swap contracts with a total notional amount of $195 million that were accounted for as fair value hedges of brokered deposits.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December 31, 2009, United had $29.3 million in gains from terminated derivative positions included in Other Comprehensive Income that will be amortized into earnings over their remaining original contract terms.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interest rate derivative contracts outstanding.</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Table 20 - Derivative Financial Instruments</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As of December 31, 2009 (dollars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Rate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w:t>
            </w: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Received /</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Type/Maturity</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Floor Rate</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Rate Paid</w:t>
            </w:r>
          </w:p>
        </w:tc>
        <w:tc>
          <w:tcPr>
            <w:tcW w:w="1000" w:type="dxa"/>
            <w:vAlign w:val="bottom"/>
            <w:gridSpan w:val="3"/>
          </w:tcPr>
          <w:p>
            <w:pPr>
              <w:spacing w:after="0" w:line="234"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(5)</w:t>
            </w:r>
          </w:p>
        </w:tc>
      </w:tr>
      <w:tr>
        <w:trPr>
          <w:trHeight w:val="198"/>
        </w:trPr>
        <w:tc>
          <w:tcPr>
            <w:tcW w:w="43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Fair Value Hedges:</w:t>
            </w: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4780" w:type="dxa"/>
            <w:vAlign w:val="bottom"/>
            <w:gridSpan w:val="2"/>
          </w:tcPr>
          <w:p>
            <w:pPr>
              <w:ind w:left="280"/>
              <w:spacing w:after="0"/>
              <w:rPr>
                <w:sz w:val="20"/>
                <w:szCs w:val="20"/>
                <w:color w:val="auto"/>
              </w:rPr>
            </w:pPr>
            <w:r>
              <w:rPr>
                <w:rFonts w:ascii="Arial" w:cs="Arial" w:eastAsia="Arial" w:hAnsi="Arial"/>
                <w:sz w:val="18"/>
                <w:szCs w:val="18"/>
                <w:b w:val="1"/>
                <w:bCs w:val="1"/>
                <w:color w:val="auto"/>
              </w:rPr>
              <w:t>LIBOR Swaps (Brokered CDs)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80" w:type="dxa"/>
            <w:vAlign w:val="bottom"/>
            <w:gridSpan w:val="2"/>
          </w:tcPr>
          <w:p>
            <w:pPr>
              <w:ind w:left="280"/>
              <w:spacing w:after="0" w:line="216" w:lineRule="exact"/>
              <w:rPr>
                <w:sz w:val="20"/>
                <w:szCs w:val="20"/>
                <w:color w:val="auto"/>
              </w:rPr>
            </w:pPr>
            <w:r>
              <w:rPr>
                <w:rFonts w:ascii="Arial" w:cs="Arial" w:eastAsia="Arial" w:hAnsi="Arial"/>
                <w:sz w:val="18"/>
                <w:szCs w:val="18"/>
                <w:color w:val="auto"/>
              </w:rPr>
              <w:t xml:space="preserve">August 27, 2010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4.30%</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r>
      <w:tr>
        <w:trPr>
          <w:trHeight w:val="216"/>
        </w:trPr>
        <w:tc>
          <w:tcPr>
            <w:tcW w:w="4780" w:type="dxa"/>
            <w:vAlign w:val="bottom"/>
            <w:gridSpan w:val="2"/>
          </w:tcPr>
          <w:p>
            <w:pPr>
              <w:ind w:left="280"/>
              <w:spacing w:after="0" w:line="216" w:lineRule="exact"/>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4.25</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r>
      <w:tr>
        <w:trPr>
          <w:trHeight w:val="237"/>
        </w:trPr>
        <w:tc>
          <w:tcPr>
            <w:tcW w:w="478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25"/>
                <w:szCs w:val="25"/>
                <w:color w:val="auto"/>
                <w:vertAlign w:val="superscript"/>
              </w:rPr>
              <w:t>(1)</w:t>
            </w: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95,000</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4.25</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20"/>
                <w:szCs w:val="20"/>
                <w:color w:val="auto"/>
              </w:rPr>
            </w:pPr>
          </w:p>
        </w:tc>
      </w:tr>
      <w:tr>
        <w:trPr>
          <w:trHeight w:val="223"/>
        </w:trPr>
        <w:tc>
          <w:tcPr>
            <w:tcW w:w="4780" w:type="dxa"/>
            <w:vAlign w:val="bottom"/>
            <w:gridSpan w:val="2"/>
          </w:tcPr>
          <w:p>
            <w:pPr>
              <w:jc w:val="right"/>
              <w:ind w:right="440"/>
              <w:spacing w:after="0"/>
              <w:rPr>
                <w:sz w:val="20"/>
                <w:szCs w:val="20"/>
                <w:color w:val="auto"/>
              </w:rPr>
            </w:pPr>
            <w:r>
              <w:rPr>
                <w:rFonts w:ascii="Arial" w:cs="Arial" w:eastAsia="Arial" w:hAnsi="Arial"/>
                <w:sz w:val="18"/>
                <w:szCs w:val="18"/>
                <w:color w:val="auto"/>
              </w:rPr>
              <w:t>Total Fair Value Hedges</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195,000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5"/>
              </w:rPr>
              <w:t>4.26</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5"/>
              </w:rPr>
              <w:t>1.35</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19"/>
                <w:szCs w:val="19"/>
                <w:color w:val="auto"/>
              </w:rPr>
            </w:pPr>
          </w:p>
        </w:tc>
      </w:tr>
      <w:tr>
        <w:trPr>
          <w:trHeight w:val="41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Cash Flow Hedges: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780" w:type="dxa"/>
            <w:vAlign w:val="bottom"/>
            <w:gridSpan w:val="2"/>
          </w:tcPr>
          <w:p>
            <w:pPr>
              <w:ind w:left="280"/>
              <w:spacing w:after="0" w:line="220" w:lineRule="exact"/>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25"/>
                <w:szCs w:val="25"/>
                <w:b w:val="1"/>
                <w:bCs w:val="1"/>
                <w:color w:val="auto"/>
                <w:vertAlign w:val="superscript"/>
              </w:rPr>
              <w:t>(3)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80" w:type="dxa"/>
            <w:vAlign w:val="bottom"/>
            <w:gridSpan w:val="2"/>
          </w:tcPr>
          <w:p>
            <w:pPr>
              <w:ind w:left="280"/>
              <w:spacing w:after="0"/>
              <w:rPr>
                <w:sz w:val="20"/>
                <w:szCs w:val="20"/>
                <w:color w:val="auto"/>
              </w:rPr>
            </w:pPr>
            <w:r>
              <w:rPr>
                <w:rFonts w:ascii="Arial" w:cs="Arial" w:eastAsia="Arial" w:hAnsi="Arial"/>
                <w:sz w:val="18"/>
                <w:szCs w:val="18"/>
                <w:color w:val="auto"/>
              </w:rPr>
              <w:t>July 22, 2013</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6.88</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4,761</w:t>
            </w:r>
          </w:p>
        </w:tc>
        <w:tc>
          <w:tcPr>
            <w:tcW w:w="20" w:type="dxa"/>
            <w:vAlign w:val="bottom"/>
          </w:tcPr>
          <w:p>
            <w:pPr>
              <w:spacing w:after="0"/>
              <w:rPr>
                <w:sz w:val="18"/>
                <w:szCs w:val="18"/>
                <w:color w:val="auto"/>
              </w:rPr>
            </w:pPr>
          </w:p>
        </w:tc>
      </w:tr>
      <w:tr>
        <w:trPr>
          <w:trHeight w:val="237"/>
        </w:trPr>
        <w:tc>
          <w:tcPr>
            <w:tcW w:w="4780" w:type="dxa"/>
            <w:vAlign w:val="bottom"/>
            <w:gridSpan w:val="2"/>
          </w:tcPr>
          <w:p>
            <w:pPr>
              <w:ind w:left="280"/>
              <w:spacing w:after="0"/>
              <w:rPr>
                <w:sz w:val="20"/>
                <w:szCs w:val="20"/>
                <w:color w:val="auto"/>
              </w:rPr>
            </w:pPr>
            <w:r>
              <w:rPr>
                <w:rFonts w:ascii="Arial" w:cs="Arial" w:eastAsia="Arial" w:hAnsi="Arial"/>
                <w:sz w:val="18"/>
                <w:szCs w:val="18"/>
                <w:color w:val="auto"/>
              </w:rPr>
              <w:t>July 25, 2013</w:t>
            </w: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6.91</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20"/>
                <w:szCs w:val="20"/>
                <w:color w:val="auto"/>
              </w:rPr>
            </w:pPr>
          </w:p>
        </w:tc>
      </w:tr>
      <w:tr>
        <w:trPr>
          <w:trHeight w:val="223"/>
        </w:trPr>
        <w:tc>
          <w:tcPr>
            <w:tcW w:w="478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100,000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5"/>
              </w:rPr>
              <w:t>6.89</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5"/>
              </w:rPr>
              <w:t>3.25</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0" w:type="dxa"/>
            <w:vAlign w:val="bottom"/>
          </w:tcPr>
          <w:p>
            <w:pPr>
              <w:spacing w:after="0"/>
              <w:rPr>
                <w:sz w:val="19"/>
                <w:szCs w:val="19"/>
                <w:color w:val="auto"/>
              </w:rPr>
            </w:pPr>
          </w:p>
        </w:tc>
      </w:tr>
      <w:tr>
        <w:trPr>
          <w:trHeight w:val="202"/>
        </w:trPr>
        <w:tc>
          <w:tcPr>
            <w:tcW w:w="4780" w:type="dxa"/>
            <w:vAlign w:val="bottom"/>
            <w:gridSpan w:val="2"/>
          </w:tcPr>
          <w:p>
            <w:pPr>
              <w:ind w:left="280"/>
              <w:spacing w:after="0" w:line="202" w:lineRule="exact"/>
              <w:rPr>
                <w:sz w:val="20"/>
                <w:szCs w:val="20"/>
                <w:color w:val="auto"/>
              </w:rPr>
            </w:pPr>
            <w:r>
              <w:rPr>
                <w:rFonts w:ascii="Arial" w:cs="Arial" w:eastAsia="Arial" w:hAnsi="Arial"/>
                <w:sz w:val="17"/>
                <w:szCs w:val="17"/>
                <w:b w:val="1"/>
                <w:bCs w:val="1"/>
                <w:color w:val="auto"/>
              </w:rPr>
              <w:t xml:space="preserve">Prime Floors (Prime Loans) </w:t>
            </w:r>
            <w:r>
              <w:rPr>
                <w:rFonts w:ascii="Arial" w:cs="Arial" w:eastAsia="Arial" w:hAnsi="Arial"/>
                <w:sz w:val="23"/>
                <w:szCs w:val="23"/>
                <w:b w:val="1"/>
                <w:bCs w:val="1"/>
                <w:color w:val="auto"/>
                <w:vertAlign w:val="superscript"/>
              </w:rPr>
              <w:t>(4)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780" w:type="dxa"/>
            <w:vAlign w:val="bottom"/>
            <w:gridSpan w:val="2"/>
          </w:tcPr>
          <w:p>
            <w:pPr>
              <w:ind w:left="280"/>
              <w:spacing w:after="0"/>
              <w:rPr>
                <w:sz w:val="20"/>
                <w:szCs w:val="20"/>
                <w:color w:val="auto"/>
              </w:rPr>
            </w:pPr>
            <w:r>
              <w:rPr>
                <w:rFonts w:ascii="Arial" w:cs="Arial" w:eastAsia="Arial" w:hAnsi="Arial"/>
                <w:sz w:val="18"/>
                <w:szCs w:val="18"/>
                <w:color w:val="auto"/>
              </w:rPr>
              <w:t>February 4, 2010</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3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8.75</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r>
      <w:tr>
        <w:trPr>
          <w:trHeight w:val="223"/>
        </w:trPr>
        <w:tc>
          <w:tcPr>
            <w:tcW w:w="478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100,000</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r>
      <w:tr>
        <w:trPr>
          <w:trHeight w:val="223"/>
        </w:trPr>
        <w:tc>
          <w:tcPr>
            <w:tcW w:w="4780" w:type="dxa"/>
            <w:vAlign w:val="bottom"/>
            <w:gridSpan w:val="2"/>
          </w:tcPr>
          <w:p>
            <w:pPr>
              <w:jc w:val="right"/>
              <w:ind w:right="440"/>
              <w:spacing w:after="0"/>
              <w:rPr>
                <w:sz w:val="20"/>
                <w:szCs w:val="20"/>
                <w:color w:val="auto"/>
              </w:rPr>
            </w:pPr>
            <w:r>
              <w:rPr>
                <w:rFonts w:ascii="Arial" w:cs="Arial" w:eastAsia="Arial" w:hAnsi="Arial"/>
                <w:sz w:val="18"/>
                <w:szCs w:val="18"/>
                <w:color w:val="auto"/>
              </w:rPr>
              <w:t>Total Cash Flow Hedges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200,000</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20" w:type="dxa"/>
            <w:vAlign w:val="bottom"/>
          </w:tcPr>
          <w:p>
            <w:pPr>
              <w:spacing w:after="0"/>
              <w:rPr>
                <w:sz w:val="19"/>
                <w:szCs w:val="19"/>
                <w:color w:val="auto"/>
              </w:rPr>
            </w:pPr>
          </w:p>
        </w:tc>
      </w:tr>
      <w:tr>
        <w:trPr>
          <w:trHeight w:val="216"/>
        </w:trPr>
        <w:tc>
          <w:tcPr>
            <w:tcW w:w="47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Derivative 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395,000</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20" w:type="dxa"/>
            <w:vAlign w:val="bottom"/>
          </w:tcPr>
          <w:p>
            <w:pPr>
              <w:spacing w:after="0"/>
              <w:rPr>
                <w:sz w:val="18"/>
                <w:szCs w:val="18"/>
                <w:color w:val="auto"/>
              </w:rPr>
            </w:pPr>
          </w:p>
        </w:tc>
      </w:tr>
      <w:tr>
        <w:trPr>
          <w:trHeight w:val="21"/>
        </w:trPr>
        <w:tc>
          <w:tcPr>
            <w:tcW w:w="4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700" w:hanging="256"/>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23" w:lineRule="exact"/>
        <w:rPr>
          <w:rFonts w:ascii="Arial" w:cs="Arial" w:eastAsia="Arial" w:hAnsi="Arial"/>
          <w:sz w:val="18"/>
          <w:szCs w:val="18"/>
          <w:color w:val="auto"/>
        </w:rPr>
      </w:pPr>
    </w:p>
    <w:p>
      <w:pPr>
        <w:ind w:left="1700" w:hanging="256"/>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9" w:lineRule="exact"/>
        <w:rPr>
          <w:rFonts w:ascii="Arial" w:cs="Arial" w:eastAsia="Arial" w:hAnsi="Arial"/>
          <w:sz w:val="18"/>
          <w:szCs w:val="18"/>
          <w:color w:val="auto"/>
        </w:rPr>
      </w:pPr>
    </w:p>
    <w:p>
      <w:pPr>
        <w:ind w:left="1700" w:hanging="256"/>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Paid equals Prime rate as of December 31, 2009</w:t>
      </w:r>
    </w:p>
    <w:p>
      <w:pPr>
        <w:spacing w:after="0" w:line="9" w:lineRule="exact"/>
        <w:rPr>
          <w:rFonts w:ascii="Arial" w:cs="Arial" w:eastAsia="Arial" w:hAnsi="Arial"/>
          <w:sz w:val="18"/>
          <w:szCs w:val="18"/>
          <w:color w:val="auto"/>
        </w:rPr>
      </w:pPr>
    </w:p>
    <w:p>
      <w:pPr>
        <w:ind w:left="1700" w:hanging="256"/>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9" w:lineRule="exact"/>
        <w:rPr>
          <w:rFonts w:ascii="Arial" w:cs="Arial" w:eastAsia="Arial" w:hAnsi="Arial"/>
          <w:sz w:val="18"/>
          <w:szCs w:val="18"/>
          <w:color w:val="auto"/>
        </w:rPr>
      </w:pPr>
    </w:p>
    <w:p>
      <w:pPr>
        <w:ind w:left="1700" w:hanging="256"/>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spacing w:after="0"/>
        <w:tabs>
          <w:tab w:leader="none" w:pos="1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registrant and report of independent registered public accounting firm are included herein as follows:</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240" w:top="513" w:right="11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3001645" cy="892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001645" cy="8921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85"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assessed the effectiveness of the internal control over financial reporting as of December 31, 2009. In making this assessment, we used the criteria established in Internal Control – Integrated Framework issued by the Committee of Sponsoring Organizations of the Treadway Commission (COSO).</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we believe that as of December 31, 2009, United Community Banks, Inc.’s internal control over financial reporting is effective based on those criteria.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independent registered public accountants have issued an audit report on the company’s internal control over financial reporting. This report appears on page 53.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/s/ Jimmy C. Tallent</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/s/ Rex S. Schuette</w:t>
            </w:r>
          </w:p>
        </w:tc>
        <w:tc>
          <w:tcPr>
            <w:tcW w:w="1360" w:type="dxa"/>
            <w:vAlign w:val="bottom"/>
          </w:tcPr>
          <w:p>
            <w:pPr>
              <w:spacing w:after="0"/>
              <w:rPr>
                <w:sz w:val="20"/>
                <w:szCs w:val="20"/>
                <w:color w:val="auto"/>
              </w:rPr>
            </w:pPr>
          </w:p>
        </w:tc>
      </w:tr>
      <w:tr>
        <w:trPr>
          <w:trHeight w:val="202"/>
        </w:trPr>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Jimmy C. Tallent</w:t>
            </w:r>
          </w:p>
        </w:tc>
        <w:tc>
          <w:tcPr>
            <w:tcW w:w="208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Rex S. Schuette</w:t>
            </w:r>
          </w:p>
        </w:tc>
        <w:tc>
          <w:tcPr>
            <w:tcW w:w="136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Executive Vice President and</w:t>
            </w:r>
          </w:p>
        </w:tc>
        <w:tc>
          <w:tcPr>
            <w:tcW w:w="136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r>
      <w:tr>
        <w:trPr>
          <w:trHeight w:val="581"/>
        </w:trPr>
        <w:tc>
          <w:tcPr>
            <w:tcW w:w="4000" w:type="dxa"/>
            <w:vAlign w:val="bottom"/>
          </w:tcPr>
          <w:p>
            <w:pPr>
              <w:spacing w:after="0"/>
              <w:rPr>
                <w:sz w:val="24"/>
                <w:szCs w:val="24"/>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8"/>
        </w:trPr>
        <w:tc>
          <w:tcPr>
            <w:tcW w:w="40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1440" w:right="2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United Community Banks, Inc. and subsidiaries (the “Company”) as of December 31, 2009 and 2008, and the related consolidated statements of income, changes in shareholders’ equity, and cash flows for each of the years in the three-year period ended December 31, 2009. We have also audited the Company’s internal controls over financial reporting as of December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control over financial reporting and for its assessment of the effectiveness internal control over financial reporting included in the accompanying Management’s Report on Internal Controls Over Financial Reporting. Our responsibility is to express an opinion on these financial statements and an opinion on the Company’s internal control over financial reporting based on our audits.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Our audits also included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0000FF"/>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152400</wp:posOffset>
            </wp:positionV>
            <wp:extent cx="5977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7255" cy="17145"/>
                    </a:xfrm>
                    <a:prstGeom prst="rect">
                      <a:avLst/>
                    </a:prstGeom>
                    <a:noFill/>
                  </pic:spPr>
                </pic:pic>
              </a:graphicData>
            </a:graphic>
          </wp:anchor>
        </w:drawing>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0000FF"/>
        </w:rPr>
        <w:t>Suite 1800 Ÿ 235 Peachtree Street NE Ÿ Atlanta, Georgia 30303 Ÿ Phone 404-588-4200 Ÿ Fax 404-588-4222 Ÿ www.pkm.com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7" w:name="page58"/>
    <w:bookmarkEnd w:id="57"/>
    <w:p>
      <w:pPr>
        <w:jc w:val="both"/>
        <w:spacing w:after="0" w:line="29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United Community Banks, Inc. and subsidiaries as of December 31, 2009 and 2008, and the results of their operations and their cash flows for each of the years in the three-year period ended December 31, 2009, in conformity with accounting principles generally accepted in the United States of America. Also, in our opinion, United Community Banks, Inc.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Porter Keadle Moore,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16637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0"/>
                <w:szCs w:val="20"/>
                <w:color w:val="auto"/>
              </w:rPr>
            </w:pPr>
            <w:r>
              <w:rPr>
                <w:rFonts w:ascii="Arial" w:cs="Arial" w:eastAsia="Arial" w:hAnsi="Arial"/>
                <w:sz w:val="18"/>
                <w:szCs w:val="18"/>
                <w:color w:val="auto"/>
              </w:rPr>
              <w:t>Interest revenue: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Loans, including fees</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322,509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385,959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482,333</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Taxable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76,048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64,377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Tax exempt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6940" w:type="dxa"/>
            <w:vAlign w:val="bottom"/>
          </w:tcPr>
          <w:p>
            <w:pPr>
              <w:ind w:left="100"/>
              <w:spacing w:after="0"/>
              <w:rPr>
                <w:sz w:val="20"/>
                <w:szCs w:val="20"/>
                <w:color w:val="auto"/>
              </w:rPr>
            </w:pPr>
            <w:r>
              <w:rPr>
                <w:rFonts w:ascii="Arial" w:cs="Arial" w:eastAsia="Arial" w:hAnsi="Arial"/>
                <w:sz w:val="18"/>
                <w:szCs w:val="18"/>
                <w:color w:val="auto"/>
              </w:rPr>
              <w:t>Federal funds sold, commercial paper and deposits in banks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6940" w:type="dxa"/>
            <w:vAlign w:val="bottom"/>
          </w:tcPr>
          <w:p>
            <w:pPr>
              <w:ind w:left="280"/>
              <w:spacing w:after="0"/>
              <w:rPr>
                <w:sz w:val="20"/>
                <w:szCs w:val="20"/>
                <w:color w:val="auto"/>
              </w:rPr>
            </w:pPr>
            <w:r>
              <w:rPr>
                <w:rFonts w:ascii="Arial" w:cs="Arial" w:eastAsia="Arial" w:hAnsi="Arial"/>
                <w:sz w:val="18"/>
                <w:szCs w:val="18"/>
                <w:color w:val="auto"/>
              </w:rPr>
              <w:t>Total interest revenue</w:t>
            </w: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402,829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464,708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NOW</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45,142</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Money market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15,396</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Savings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Time</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158,268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167,400</w:t>
            </w:r>
          </w:p>
        </w:tc>
        <w:tc>
          <w:tcPr>
            <w:tcW w:w="0" w:type="dxa"/>
            <w:vAlign w:val="bottom"/>
          </w:tcPr>
          <w:p>
            <w:pPr>
              <w:spacing w:after="0"/>
              <w:rPr>
                <w:sz w:val="1"/>
                <w:szCs w:val="1"/>
                <w:color w:val="auto"/>
              </w:rPr>
            </w:pPr>
          </w:p>
        </w:tc>
      </w:tr>
      <w:tr>
        <w:trPr>
          <w:trHeight w:val="202"/>
        </w:trPr>
        <w:tc>
          <w:tcPr>
            <w:tcW w:w="6940" w:type="dxa"/>
            <w:vAlign w:val="bottom"/>
          </w:tcPr>
          <w:p>
            <w:pPr>
              <w:ind w:left="280"/>
              <w:spacing w:after="0" w:line="201" w:lineRule="exact"/>
              <w:rPr>
                <w:sz w:val="20"/>
                <w:szCs w:val="20"/>
                <w:color w:val="auto"/>
              </w:rPr>
            </w:pPr>
            <w:r>
              <w:rPr>
                <w:rFonts w:ascii="Arial" w:cs="Arial" w:eastAsia="Arial" w:hAnsi="Arial"/>
                <w:sz w:val="18"/>
                <w:szCs w:val="18"/>
                <w:color w:val="auto"/>
              </w:rPr>
              <w:t>Total deposit interest expense</w:t>
            </w:r>
          </w:p>
        </w:tc>
        <w:tc>
          <w:tcPr>
            <w:tcW w:w="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141,377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198,301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229,591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Federal Home Loan Bank advances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22,013</w:t>
            </w:r>
          </w:p>
        </w:tc>
        <w:tc>
          <w:tcPr>
            <w:tcW w:w="0" w:type="dxa"/>
            <w:vAlign w:val="bottom"/>
          </w:tcPr>
          <w:p>
            <w:pPr>
              <w:spacing w:after="0"/>
              <w:rPr>
                <w:sz w:val="1"/>
                <w:szCs w:val="1"/>
                <w:color w:val="auto"/>
              </w:rPr>
            </w:pPr>
          </w:p>
        </w:tc>
      </w:tr>
      <w:tr>
        <w:trPr>
          <w:trHeight w:val="237"/>
        </w:trPr>
        <w:tc>
          <w:tcPr>
            <w:tcW w:w="694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10,893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23"/>
        </w:trPr>
        <w:tc>
          <w:tcPr>
            <w:tcW w:w="694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159,734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80"/>
              <w:spacing w:after="0" w:line="201" w:lineRule="exact"/>
              <w:rPr>
                <w:sz w:val="20"/>
                <w:szCs w:val="20"/>
                <w:color w:val="auto"/>
              </w:rPr>
            </w:pPr>
            <w:r>
              <w:rPr>
                <w:rFonts w:ascii="Arial" w:cs="Arial" w:eastAsia="Arial" w:hAnsi="Arial"/>
                <w:sz w:val="18"/>
                <w:szCs w:val="18"/>
                <w:color w:val="auto"/>
              </w:rPr>
              <w:t>Net interest revenue</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243,095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236,443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272,602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55,600</w:t>
            </w:r>
          </w:p>
        </w:tc>
        <w:tc>
          <w:tcPr>
            <w:tcW w:w="0" w:type="dxa"/>
            <w:vAlign w:val="bottom"/>
          </w:tcPr>
          <w:p>
            <w:pPr>
              <w:spacing w:after="0"/>
              <w:rPr>
                <w:sz w:val="1"/>
                <w:szCs w:val="1"/>
                <w:color w:val="auto"/>
              </w:rPr>
            </w:pPr>
          </w:p>
        </w:tc>
      </w:tr>
      <w:tr>
        <w:trPr>
          <w:trHeight w:val="223"/>
        </w:trPr>
        <w:tc>
          <w:tcPr>
            <w:tcW w:w="6940" w:type="dxa"/>
            <w:vAlign w:val="bottom"/>
          </w:tcPr>
          <w:p>
            <w:pPr>
              <w:ind w:left="280"/>
              <w:spacing w:after="0"/>
              <w:rPr>
                <w:sz w:val="20"/>
                <w:szCs w:val="20"/>
                <w:color w:val="auto"/>
              </w:rPr>
            </w:pPr>
            <w:r>
              <w:rPr>
                <w:rFonts w:ascii="Arial" w:cs="Arial" w:eastAsia="Arial" w:hAnsi="Arial"/>
                <w:sz w:val="18"/>
                <w:szCs w:val="18"/>
                <w:color w:val="auto"/>
              </w:rPr>
              <w:t>Net interest revenue after provision for loan losses</w:t>
            </w: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(66,905)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Fee revenue:</w:t>
            </w:r>
          </w:p>
        </w:tc>
        <w:tc>
          <w:tcPr>
            <w:tcW w:w="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Service charges and fees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30,986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31,683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31,433</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Mortgage loan and other related fees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Consulting fees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Brokerage fees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Securities gains,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6940" w:type="dxa"/>
            <w:vAlign w:val="bottom"/>
          </w:tcPr>
          <w:p>
            <w:pPr>
              <w:ind w:left="60"/>
              <w:spacing w:after="0"/>
              <w:rPr>
                <w:sz w:val="20"/>
                <w:szCs w:val="20"/>
                <w:color w:val="auto"/>
              </w:rPr>
            </w:pPr>
            <w:r>
              <w:rPr>
                <w:rFonts w:ascii="Arial" w:cs="Arial" w:eastAsia="Arial" w:hAnsi="Arial"/>
                <w:sz w:val="18"/>
                <w:szCs w:val="18"/>
                <w:color w:val="auto"/>
              </w:rPr>
              <w:t>Gain from acquisition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Losses on prepayment of borrowings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37"/>
        </w:trPr>
        <w:tc>
          <w:tcPr>
            <w:tcW w:w="6940" w:type="dxa"/>
            <w:vAlign w:val="bottom"/>
          </w:tcPr>
          <w:p>
            <w:pPr>
              <w:ind w:left="10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23"/>
        </w:trPr>
        <w:tc>
          <w:tcPr>
            <w:tcW w:w="6940" w:type="dxa"/>
            <w:vAlign w:val="bottom"/>
          </w:tcPr>
          <w:p>
            <w:pPr>
              <w:ind w:left="280"/>
              <w:spacing w:after="0"/>
              <w:rPr>
                <w:sz w:val="20"/>
                <w:szCs w:val="20"/>
                <w:color w:val="auto"/>
              </w:rPr>
            </w:pPr>
            <w:r>
              <w:rPr>
                <w:rFonts w:ascii="Arial" w:cs="Arial" w:eastAsia="Arial" w:hAnsi="Arial"/>
                <w:sz w:val="18"/>
                <w:szCs w:val="18"/>
                <w:color w:val="auto"/>
              </w:rPr>
              <w:t>Total fee revenue</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70,178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105,584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Salaries and employee benefits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108,967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115,153</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Communications and equipment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15,038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15,796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13,613</w:t>
            </w:r>
          </w:p>
        </w:tc>
        <w:tc>
          <w:tcPr>
            <w:tcW w:w="0" w:type="dxa"/>
            <w:vAlign w:val="bottom"/>
          </w:tcPr>
          <w:p>
            <w:pPr>
              <w:spacing w:after="0"/>
              <w:rPr>
                <w:sz w:val="1"/>
                <w:szCs w:val="1"/>
                <w:color w:val="auto"/>
              </w:rPr>
            </w:pPr>
          </w:p>
        </w:tc>
      </w:tr>
      <w:tr>
        <w:trPr>
          <w:trHeight w:val="216"/>
        </w:trPr>
        <w:tc>
          <w:tcPr>
            <w:tcW w:w="6940" w:type="dxa"/>
            <w:vAlign w:val="bottom"/>
          </w:tcPr>
          <w:p>
            <w:pPr>
              <w:ind w:left="80"/>
              <w:spacing w:after="0"/>
              <w:rPr>
                <w:sz w:val="20"/>
                <w:szCs w:val="20"/>
                <w:color w:val="auto"/>
              </w:rPr>
            </w:pPr>
            <w:r>
              <w:rPr>
                <w:rFonts w:ascii="Arial" w:cs="Arial" w:eastAsia="Arial" w:hAnsi="Arial"/>
                <w:sz w:val="18"/>
                <w:szCs w:val="18"/>
                <w:color w:val="auto"/>
              </w:rPr>
              <w:t>Advertising and public relations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Postage, printing and supplies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Foreclosed property</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32,365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19,110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FDIC assessments and other regulatory charges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16,004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6940" w:type="dxa"/>
            <w:vAlign w:val="bottom"/>
          </w:tcPr>
          <w:p>
            <w:pPr>
              <w:ind w:left="80"/>
              <w:spacing w:after="0"/>
              <w:rPr>
                <w:sz w:val="20"/>
                <w:szCs w:val="20"/>
                <w:color w:val="auto"/>
              </w:rPr>
            </w:pPr>
            <w:r>
              <w:rPr>
                <w:rFonts w:ascii="Arial" w:cs="Arial" w:eastAsia="Arial" w:hAnsi="Arial"/>
                <w:sz w:val="18"/>
                <w:szCs w:val="18"/>
                <w:color w:val="auto"/>
              </w:rPr>
              <w:t>Amortization of intangibles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Severance costs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40" w:type="dxa"/>
            <w:vAlign w:val="bottom"/>
          </w:tcPr>
          <w:p>
            <w:pPr>
              <w:ind w:left="10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13,568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223"/>
        </w:trPr>
        <w:tc>
          <w:tcPr>
            <w:tcW w:w="69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321,953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80"/>
              <w:spacing w:after="0" w:line="201" w:lineRule="exact"/>
              <w:rPr>
                <w:sz w:val="20"/>
                <w:szCs w:val="20"/>
                <w:color w:val="auto"/>
              </w:rPr>
            </w:pPr>
            <w:r>
              <w:rPr>
                <w:rFonts w:ascii="Arial" w:cs="Arial" w:eastAsia="Arial" w:hAnsi="Arial"/>
                <w:sz w:val="18"/>
                <w:szCs w:val="18"/>
                <w:color w:val="auto"/>
              </w:rPr>
              <w:t>(Loss) income before income taxes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w w:val="93"/>
              </w:rPr>
              <w:t>(318,680)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w w:val="90"/>
              </w:rPr>
              <w:t>(101,115)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89,592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155"/>
              <w:spacing w:after="0"/>
              <w:rPr>
                <w:sz w:val="20"/>
                <w:szCs w:val="20"/>
                <w:color w:val="auto"/>
              </w:rPr>
            </w:pPr>
            <w:r>
              <w:rPr>
                <w:rFonts w:ascii="Arial" w:cs="Arial" w:eastAsia="Arial" w:hAnsi="Arial"/>
                <w:sz w:val="18"/>
                <w:szCs w:val="18"/>
                <w:color w:val="auto"/>
              </w:rPr>
              <w:t>(90,353)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31,599</w:t>
            </w:r>
          </w:p>
        </w:tc>
        <w:tc>
          <w:tcPr>
            <w:tcW w:w="0" w:type="dxa"/>
            <w:vAlign w:val="bottom"/>
          </w:tcPr>
          <w:p>
            <w:pPr>
              <w:spacing w:after="0"/>
              <w:rPr>
                <w:sz w:val="1"/>
                <w:szCs w:val="1"/>
                <w:color w:val="auto"/>
              </w:rPr>
            </w:pPr>
          </w:p>
        </w:tc>
      </w:tr>
      <w:tr>
        <w:trPr>
          <w:trHeight w:val="202"/>
        </w:trPr>
        <w:tc>
          <w:tcPr>
            <w:tcW w:w="6940" w:type="dxa"/>
            <w:vAlign w:val="bottom"/>
          </w:tcPr>
          <w:p>
            <w:pPr>
              <w:ind w:left="280"/>
              <w:spacing w:after="0" w:line="201" w:lineRule="exact"/>
              <w:rPr>
                <w:sz w:val="20"/>
                <w:szCs w:val="20"/>
                <w:color w:val="auto"/>
              </w:rPr>
            </w:pPr>
            <w:r>
              <w:rPr>
                <w:rFonts w:ascii="Arial" w:cs="Arial" w:eastAsia="Arial" w:hAnsi="Arial"/>
                <w:sz w:val="18"/>
                <w:szCs w:val="18"/>
                <w:b w:val="1"/>
                <w:bCs w:val="1"/>
                <w:color w:val="auto"/>
              </w:rPr>
              <w:t>Net (loss) income</w:t>
            </w:r>
          </w:p>
        </w:tc>
        <w:tc>
          <w:tcPr>
            <w:tcW w:w="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(228,327)</w:t>
            </w:r>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57,993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10,242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940" w:type="dxa"/>
            <w:vAlign w:val="bottom"/>
          </w:tcPr>
          <w:p>
            <w:pPr>
              <w:ind w:left="28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9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(238,569</w:t>
            </w:r>
          </w:p>
        </w:tc>
        <w:tc>
          <w:tcPr>
            <w:tcW w:w="180" w:type="dxa"/>
            <w:vAlign w:val="bottom"/>
          </w:tcPr>
          <w:p>
            <w:pPr>
              <w:jc w:val="right"/>
              <w:ind w:right="155"/>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40" w:type="dxa"/>
            <w:vAlign w:val="bottom"/>
            <w:vMerge w:val="restart"/>
          </w:tcPr>
          <w:p>
            <w:pPr>
              <w:spacing w:after="0"/>
              <w:rPr>
                <w:sz w:val="20"/>
                <w:szCs w:val="20"/>
                <w:color w:val="auto"/>
              </w:rPr>
            </w:pPr>
            <w:r>
              <w:rPr>
                <w:rFonts w:ascii="Arial" w:cs="Arial" w:eastAsia="Arial" w:hAnsi="Arial"/>
                <w:sz w:val="18"/>
                <w:szCs w:val="18"/>
                <w:color w:val="auto"/>
              </w:rPr>
              <w:t>(Loss) earnings per common share:</w:t>
            </w: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55"/>
              <w:spacing w:after="0"/>
              <w:rPr>
                <w:sz w:val="20"/>
                <w:szCs w:val="20"/>
                <w:color w:val="auto"/>
              </w:rPr>
            </w:pPr>
            <w:r>
              <w:rPr>
                <w:rFonts w:ascii="Arial" w:cs="Arial" w:eastAsia="Arial" w:hAnsi="Arial"/>
                <w:sz w:val="18"/>
                <w:szCs w:val="18"/>
                <w:color w:val="auto"/>
              </w:rPr>
              <w:t>(3.95)</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55"/>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60,374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47,369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30"/>
        </w:trPr>
        <w:tc>
          <w:tcPr>
            <w:tcW w:w="6940" w:type="dxa"/>
            <w:vAlign w:val="bottom"/>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215"/>
              <w:spacing w:after="0"/>
              <w:rPr>
                <w:sz w:val="20"/>
                <w:szCs w:val="20"/>
                <w:color w:val="auto"/>
              </w:rPr>
            </w:pPr>
            <w:r>
              <w:rPr>
                <w:rFonts w:ascii="Arial" w:cs="Arial" w:eastAsia="Arial" w:hAnsi="Arial"/>
                <w:sz w:val="18"/>
                <w:szCs w:val="18"/>
                <w:color w:val="auto"/>
              </w:rPr>
              <w:t>60,374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46,593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80"/>
          </w:cols>
          <w:pgMar w:left="240" w:top="364" w:right="279" w:bottom="487"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487" w:gutter="0" w:footer="0" w:header="0"/>
          <w:type w:val="continuous"/>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2009 and 2008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880" w:type="dxa"/>
            <w:vAlign w:val="bottom"/>
            <w:gridSpan w:val="4"/>
          </w:tcPr>
          <w:p>
            <w:pPr>
              <w:ind w:left="260"/>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280" w:type="dxa"/>
            <w:vAlign w:val="bottom"/>
          </w:tcPr>
          <w:p>
            <w:pPr>
              <w:spacing w:after="0"/>
              <w:rPr>
                <w:sz w:val="24"/>
                <w:szCs w:val="24"/>
                <w:color w:val="auto"/>
              </w:rPr>
            </w:pPr>
          </w:p>
        </w:tc>
        <w:tc>
          <w:tcPr>
            <w:tcW w:w="488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4"/>
                <w:szCs w:val="24"/>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16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126,265</w:t>
            </w:r>
          </w:p>
        </w:tc>
        <w:tc>
          <w:tcPr>
            <w:tcW w:w="16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116,395</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37"/>
        </w:trPr>
        <w:tc>
          <w:tcPr>
            <w:tcW w:w="9160" w:type="dxa"/>
            <w:vAlign w:val="bottom"/>
            <w:gridSpan w:val="5"/>
          </w:tcPr>
          <w:p>
            <w:pPr>
              <w:spacing w:after="0"/>
              <w:rPr>
                <w:sz w:val="20"/>
                <w:szCs w:val="20"/>
                <w:color w:val="auto"/>
              </w:rPr>
            </w:pPr>
            <w:r>
              <w:rPr>
                <w:rFonts w:ascii="Arial" w:cs="Arial" w:eastAsia="Arial" w:hAnsi="Arial"/>
                <w:sz w:val="18"/>
                <w:szCs w:val="18"/>
                <w:color w:val="auto"/>
              </w:rPr>
              <w:t>Federal funds sold, commercial paper and short-term investments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376,367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493,421</w:t>
            </w:r>
          </w:p>
        </w:tc>
        <w:tc>
          <w:tcPr>
            <w:tcW w:w="0" w:type="dxa"/>
            <w:vAlign w:val="bottom"/>
          </w:tcPr>
          <w:p>
            <w:pPr>
              <w:spacing w:after="0"/>
              <w:rPr>
                <w:sz w:val="1"/>
                <w:szCs w:val="1"/>
                <w:color w:val="auto"/>
              </w:rPr>
            </w:pPr>
          </w:p>
        </w:tc>
      </w:tr>
      <w:tr>
        <w:trPr>
          <w:trHeight w:val="418"/>
        </w:trPr>
        <w:tc>
          <w:tcPr>
            <w:tcW w:w="9160" w:type="dxa"/>
            <w:vAlign w:val="bottom"/>
            <w:gridSpan w:val="5"/>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1,530,047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1,617,187</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Mortgage loans held for sale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Loans, net of unearned income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5,151,476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5,704,861</w:t>
            </w:r>
          </w:p>
        </w:tc>
        <w:tc>
          <w:tcPr>
            <w:tcW w:w="0" w:type="dxa"/>
            <w:vAlign w:val="bottom"/>
          </w:tcPr>
          <w:p>
            <w:pPr>
              <w:spacing w:after="0"/>
              <w:rPr>
                <w:sz w:val="1"/>
                <w:szCs w:val="1"/>
                <w:color w:val="auto"/>
              </w:rPr>
            </w:pPr>
          </w:p>
        </w:tc>
      </w:tr>
      <w:tr>
        <w:trPr>
          <w:trHeight w:val="237"/>
        </w:trPr>
        <w:tc>
          <w:tcPr>
            <w:tcW w:w="9160" w:type="dxa"/>
            <w:vAlign w:val="bottom"/>
            <w:gridSpan w:val="5"/>
          </w:tcPr>
          <w:p>
            <w:pPr>
              <w:ind w:left="18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155,602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02"/>
        </w:trPr>
        <w:tc>
          <w:tcPr>
            <w:tcW w:w="916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4,995,874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5,582,590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185,938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179,160</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33,867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46,088</w:t>
            </w:r>
          </w:p>
        </w:tc>
        <w:tc>
          <w:tcPr>
            <w:tcW w:w="0" w:type="dxa"/>
            <w:vAlign w:val="bottom"/>
          </w:tcPr>
          <w:p>
            <w:pPr>
              <w:spacing w:after="0"/>
              <w:rPr>
                <w:sz w:val="1"/>
                <w:szCs w:val="1"/>
                <w:color w:val="auto"/>
              </w:rPr>
            </w:pPr>
          </w:p>
        </w:tc>
      </w:tr>
      <w:tr>
        <w:trPr>
          <w:trHeight w:val="216"/>
        </w:trPr>
        <w:tc>
          <w:tcPr>
            <w:tcW w:w="9160" w:type="dxa"/>
            <w:vAlign w:val="bottom"/>
            <w:gridSpan w:val="5"/>
          </w:tcPr>
          <w:p>
            <w:pPr>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225,196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321,798</w:t>
            </w:r>
          </w:p>
        </w:tc>
        <w:tc>
          <w:tcPr>
            <w:tcW w:w="0" w:type="dxa"/>
            <w:vAlign w:val="bottom"/>
          </w:tcPr>
          <w:p>
            <w:pPr>
              <w:spacing w:after="0"/>
              <w:rPr>
                <w:sz w:val="1"/>
                <w:szCs w:val="1"/>
                <w:color w:val="auto"/>
              </w:rPr>
            </w:pPr>
          </w:p>
        </w:tc>
      </w:tr>
      <w:tr>
        <w:trPr>
          <w:trHeight w:val="237"/>
        </w:trPr>
        <w:tc>
          <w:tcPr>
            <w:tcW w:w="91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ind w:left="6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7,999,914</w:t>
            </w:r>
          </w:p>
        </w:tc>
        <w:tc>
          <w:tcPr>
            <w:tcW w:w="16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8,591,933</w:t>
            </w:r>
          </w:p>
        </w:tc>
        <w:tc>
          <w:tcPr>
            <w:tcW w:w="0" w:type="dxa"/>
            <w:vAlign w:val="bottom"/>
          </w:tcPr>
          <w:p>
            <w:pPr>
              <w:spacing w:after="0"/>
              <w:rPr>
                <w:sz w:val="1"/>
                <w:szCs w:val="1"/>
                <w:color w:val="auto"/>
              </w:rPr>
            </w:pPr>
          </w:p>
        </w:tc>
      </w:tr>
      <w:tr>
        <w:trPr>
          <w:trHeight w:val="21"/>
        </w:trPr>
        <w:tc>
          <w:tcPr>
            <w:tcW w:w="9160" w:type="dxa"/>
            <w:vAlign w:val="bottom"/>
            <w:gridSpan w:val="5"/>
            <w:vMerge w:val="restart"/>
          </w:tcPr>
          <w:p>
            <w:pPr>
              <w:jc w:val="center"/>
              <w:ind w:left="2070"/>
              <w:spacing w:after="0"/>
              <w:rPr>
                <w:sz w:val="20"/>
                <w:szCs w:val="20"/>
                <w:color w:val="auto"/>
              </w:rPr>
            </w:pPr>
            <w:r>
              <w:rPr>
                <w:rFonts w:ascii="Arial" w:cs="Arial" w:eastAsia="Arial" w:hAnsi="Arial"/>
                <w:sz w:val="18"/>
                <w:szCs w:val="18"/>
                <w:b w:val="1"/>
                <w:bCs w:val="1"/>
                <w:color w:val="auto"/>
                <w:w w:val="90"/>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916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80" w:type="dxa"/>
            <w:vAlign w:val="bottom"/>
          </w:tcPr>
          <w:p>
            <w:pPr>
              <w:spacing w:after="0"/>
              <w:rPr>
                <w:sz w:val="20"/>
                <w:szCs w:val="20"/>
                <w:color w:val="auto"/>
              </w:rPr>
            </w:pPr>
            <w:r>
              <w:rPr>
                <w:rFonts w:ascii="Arial" w:cs="Arial" w:eastAsia="Arial" w:hAnsi="Arial"/>
                <w:sz w:val="18"/>
                <w:szCs w:val="18"/>
                <w:color w:val="auto"/>
              </w:rPr>
              <w:t>Liabilities:</w:t>
            </w:r>
          </w:p>
        </w:tc>
        <w:tc>
          <w:tcPr>
            <w:tcW w:w="2760" w:type="dxa"/>
            <w:vAlign w:val="bottom"/>
            <w:tcBorders>
              <w:top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Demand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707,826</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654,036</w:t>
            </w: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NOW</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1,335,790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1,543,385</w:t>
            </w: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713,901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466,750</w:t>
            </w: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Savings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177,427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170,275</w:t>
            </w: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Time: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460"/>
              <w:spacing w:after="0"/>
              <w:rPr>
                <w:sz w:val="20"/>
                <w:szCs w:val="20"/>
                <w:color w:val="auto"/>
              </w:rPr>
            </w:pPr>
            <w:r>
              <w:rPr>
                <w:rFonts w:ascii="Arial" w:cs="Arial" w:eastAsia="Arial" w:hAnsi="Arial"/>
                <w:sz w:val="18"/>
                <w:szCs w:val="18"/>
                <w:color w:val="auto"/>
              </w:rPr>
              <w:t>Less than $100,000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1,746,511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1,953,235</w:t>
            </w:r>
          </w:p>
        </w:tc>
        <w:tc>
          <w:tcPr>
            <w:tcW w:w="0" w:type="dxa"/>
            <w:vAlign w:val="bottom"/>
          </w:tcPr>
          <w:p>
            <w:pPr>
              <w:spacing w:after="0"/>
              <w:rPr>
                <w:sz w:val="1"/>
                <w:szCs w:val="1"/>
                <w:color w:val="auto"/>
              </w:rPr>
            </w:pPr>
          </w:p>
        </w:tc>
      </w:tr>
      <w:tr>
        <w:trPr>
          <w:trHeight w:val="216"/>
        </w:trPr>
        <w:tc>
          <w:tcPr>
            <w:tcW w:w="9160" w:type="dxa"/>
            <w:vAlign w:val="bottom"/>
            <w:gridSpan w:val="5"/>
          </w:tcPr>
          <w:p>
            <w:pPr>
              <w:ind w:left="460"/>
              <w:spacing w:after="0"/>
              <w:rPr>
                <w:sz w:val="20"/>
                <w:szCs w:val="20"/>
                <w:color w:val="auto"/>
              </w:rPr>
            </w:pPr>
            <w:r>
              <w:rPr>
                <w:rFonts w:ascii="Arial" w:cs="Arial" w:eastAsia="Arial" w:hAnsi="Arial"/>
                <w:sz w:val="18"/>
                <w:szCs w:val="18"/>
                <w:color w:val="auto"/>
              </w:rPr>
              <w:t>Greater than $100,000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1,187,499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1,422,974</w:t>
            </w:r>
          </w:p>
        </w:tc>
        <w:tc>
          <w:tcPr>
            <w:tcW w:w="0" w:type="dxa"/>
            <w:vAlign w:val="bottom"/>
          </w:tcPr>
          <w:p>
            <w:pPr>
              <w:spacing w:after="0"/>
              <w:rPr>
                <w:sz w:val="1"/>
                <w:szCs w:val="1"/>
                <w:color w:val="auto"/>
              </w:rPr>
            </w:pPr>
          </w:p>
        </w:tc>
      </w:tr>
      <w:tr>
        <w:trPr>
          <w:trHeight w:val="237"/>
        </w:trPr>
        <w:tc>
          <w:tcPr>
            <w:tcW w:w="9160" w:type="dxa"/>
            <w:vAlign w:val="bottom"/>
            <w:gridSpan w:val="5"/>
          </w:tcPr>
          <w:p>
            <w:pPr>
              <w:ind w:left="460"/>
              <w:spacing w:after="0"/>
              <w:rPr>
                <w:sz w:val="20"/>
                <w:szCs w:val="20"/>
                <w:color w:val="auto"/>
              </w:rPr>
            </w:pPr>
            <w:r>
              <w:rPr>
                <w:rFonts w:ascii="Arial" w:cs="Arial" w:eastAsia="Arial" w:hAnsi="Arial"/>
                <w:sz w:val="18"/>
                <w:szCs w:val="18"/>
                <w:color w:val="auto"/>
              </w:rPr>
              <w:t>Brokered</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758,880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792,969</w:t>
            </w:r>
          </w:p>
        </w:tc>
        <w:tc>
          <w:tcPr>
            <w:tcW w:w="0" w:type="dxa"/>
            <w:vAlign w:val="bottom"/>
          </w:tcPr>
          <w:p>
            <w:pPr>
              <w:spacing w:after="0"/>
              <w:rPr>
                <w:sz w:val="1"/>
                <w:szCs w:val="1"/>
                <w:color w:val="auto"/>
              </w:rPr>
            </w:pPr>
          </w:p>
        </w:tc>
      </w:tr>
      <w:tr>
        <w:trPr>
          <w:trHeight w:val="230"/>
        </w:trPr>
        <w:tc>
          <w:tcPr>
            <w:tcW w:w="9160" w:type="dxa"/>
            <w:vAlign w:val="bottom"/>
            <w:gridSpan w:val="5"/>
          </w:tcPr>
          <w:p>
            <w:pPr>
              <w:ind w:left="540"/>
              <w:spacing w:after="0"/>
              <w:rPr>
                <w:sz w:val="20"/>
                <w:szCs w:val="20"/>
                <w:color w:val="auto"/>
              </w:rPr>
            </w:pPr>
            <w:r>
              <w:rPr>
                <w:rFonts w:ascii="Arial" w:cs="Arial" w:eastAsia="Arial" w:hAnsi="Arial"/>
                <w:sz w:val="18"/>
                <w:szCs w:val="18"/>
                <w:color w:val="auto"/>
              </w:rPr>
              <w:t>Total deposits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6,627,834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7,003,624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101,389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108,411</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235,321</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150,986</w:t>
            </w:r>
          </w:p>
        </w:tc>
        <w:tc>
          <w:tcPr>
            <w:tcW w:w="0" w:type="dxa"/>
            <w:vAlign w:val="bottom"/>
          </w:tcPr>
          <w:p>
            <w:pPr>
              <w:spacing w:after="0"/>
              <w:rPr>
                <w:sz w:val="1"/>
                <w:szCs w:val="1"/>
                <w:color w:val="auto"/>
              </w:rPr>
            </w:pPr>
          </w:p>
        </w:tc>
      </w:tr>
      <w:tr>
        <w:trPr>
          <w:trHeight w:val="237"/>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43,803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104,209</w:t>
            </w:r>
          </w:p>
        </w:tc>
        <w:tc>
          <w:tcPr>
            <w:tcW w:w="0" w:type="dxa"/>
            <w:vAlign w:val="bottom"/>
          </w:tcPr>
          <w:p>
            <w:pPr>
              <w:spacing w:after="0"/>
              <w:rPr>
                <w:sz w:val="1"/>
                <w:szCs w:val="1"/>
                <w:color w:val="auto"/>
              </w:rPr>
            </w:pPr>
          </w:p>
        </w:tc>
      </w:tr>
      <w:tr>
        <w:trPr>
          <w:trHeight w:val="439"/>
        </w:trPr>
        <w:tc>
          <w:tcPr>
            <w:tcW w:w="9160" w:type="dxa"/>
            <w:vAlign w:val="bottom"/>
            <w:gridSpan w:val="5"/>
          </w:tcPr>
          <w:p>
            <w:pPr>
              <w:ind w:left="5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7,037,593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7,602,551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6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Preferred stock, $1 par value; 10,000,000 shares authorized;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Series A, $10 stated value; 21,700 and 25,800 shares issued and outstanding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Series B, $1,000 stated value; 180,000 shares issued and outstanding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173,180</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Common stock, $1 par value; 100,000,000 shares authorized;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5"/>
          </w:tcPr>
          <w:p>
            <w:pPr>
              <w:ind w:left="280"/>
              <w:spacing w:after="0"/>
              <w:rPr>
                <w:sz w:val="20"/>
                <w:szCs w:val="20"/>
                <w:color w:val="auto"/>
              </w:rPr>
            </w:pPr>
            <w:r>
              <w:rPr>
                <w:rFonts w:ascii="Arial" w:cs="Arial" w:eastAsia="Arial" w:hAnsi="Arial"/>
                <w:sz w:val="18"/>
                <w:szCs w:val="18"/>
                <w:color w:val="auto"/>
              </w:rPr>
              <w:t>94,045,603 and 48,809,301 shares issued</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94,046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48,809</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Common stock issuable; 221,906 and 129,304 shares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Capital surplus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622,034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460,708</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20,384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265,405</w:t>
            </w:r>
          </w:p>
        </w:tc>
        <w:tc>
          <w:tcPr>
            <w:tcW w:w="0" w:type="dxa"/>
            <w:vAlign w:val="bottom"/>
          </w:tcPr>
          <w:p>
            <w:pPr>
              <w:spacing w:after="0"/>
              <w:rPr>
                <w:sz w:val="1"/>
                <w:szCs w:val="1"/>
                <w:color w:val="auto"/>
              </w:rPr>
            </w:pPr>
          </w:p>
        </w:tc>
      </w:tr>
      <w:tr>
        <w:trPr>
          <w:trHeight w:val="216"/>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Treasury stock; 799,892 shares, at cost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(16,465)</w:t>
            </w:r>
          </w:p>
        </w:tc>
        <w:tc>
          <w:tcPr>
            <w:tcW w:w="0" w:type="dxa"/>
            <w:vAlign w:val="bottom"/>
          </w:tcPr>
          <w:p>
            <w:pPr>
              <w:spacing w:after="0"/>
              <w:rPr>
                <w:sz w:val="1"/>
                <w:szCs w:val="1"/>
                <w:color w:val="auto"/>
              </w:rPr>
            </w:pPr>
          </w:p>
        </w:tc>
      </w:tr>
      <w:tr>
        <w:trPr>
          <w:trHeight w:val="237"/>
        </w:trPr>
        <w:tc>
          <w:tcPr>
            <w:tcW w:w="9160" w:type="dxa"/>
            <w:vAlign w:val="bottom"/>
            <w:gridSpan w:val="5"/>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47,635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54,579</w:t>
            </w:r>
          </w:p>
        </w:tc>
        <w:tc>
          <w:tcPr>
            <w:tcW w:w="0" w:type="dxa"/>
            <w:vAlign w:val="bottom"/>
          </w:tcPr>
          <w:p>
            <w:pPr>
              <w:spacing w:after="0"/>
              <w:rPr>
                <w:sz w:val="1"/>
                <w:szCs w:val="1"/>
                <w:color w:val="auto"/>
              </w:rPr>
            </w:pPr>
          </w:p>
        </w:tc>
      </w:tr>
      <w:tr>
        <w:trPr>
          <w:trHeight w:val="439"/>
        </w:trPr>
        <w:tc>
          <w:tcPr>
            <w:tcW w:w="9160" w:type="dxa"/>
            <w:vAlign w:val="bottom"/>
            <w:gridSpan w:val="5"/>
          </w:tcPr>
          <w:p>
            <w:pPr>
              <w:ind w:left="5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962,321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ind w:left="5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7,999,914</w:t>
            </w:r>
          </w:p>
        </w:tc>
        <w:tc>
          <w:tcPr>
            <w:tcW w:w="16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8,591,933</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356"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color w:val="auto"/>
              </w:rPr>
              <w:t>Preferred Stock</w:t>
            </w:r>
          </w:p>
        </w:tc>
        <w:tc>
          <w:tcPr>
            <w:tcW w:w="760" w:type="dxa"/>
            <w:vAlign w:val="bottom"/>
            <w:gridSpan w:val="3"/>
          </w:tcPr>
          <w:p>
            <w:pPr>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Stock</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Capital</w:t>
            </w:r>
          </w:p>
        </w:tc>
        <w:tc>
          <w:tcPr>
            <w:tcW w:w="780" w:type="dxa"/>
            <w:vAlign w:val="bottom"/>
            <w:gridSpan w:val="4"/>
          </w:tcPr>
          <w:p>
            <w:pPr>
              <w:jc w:val="right"/>
              <w:ind w:right="200"/>
              <w:spacing w:after="0"/>
              <w:rPr>
                <w:sz w:val="20"/>
                <w:szCs w:val="20"/>
                <w:color w:val="auto"/>
              </w:rPr>
            </w:pPr>
            <w:r>
              <w:rPr>
                <w:rFonts w:ascii="Arial" w:cs="Arial" w:eastAsia="Arial" w:hAnsi="Arial"/>
                <w:sz w:val="14"/>
                <w:szCs w:val="14"/>
                <w:color w:val="auto"/>
                <w:w w:val="99"/>
              </w:rPr>
              <w:t>Retained</w:t>
            </w:r>
          </w:p>
        </w:tc>
        <w:tc>
          <w:tcPr>
            <w:tcW w:w="8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w w:val="90"/>
              </w:rPr>
              <w:t>Treasury</w:t>
            </w:r>
          </w:p>
        </w:tc>
        <w:tc>
          <w:tcPr>
            <w:tcW w:w="1120" w:type="dxa"/>
            <w:vAlign w:val="bottom"/>
            <w:gridSpan w:val="4"/>
          </w:tcPr>
          <w:p>
            <w:pPr>
              <w:jc w:val="center"/>
              <w:ind w:right="40"/>
              <w:spacing w:after="0"/>
              <w:rPr>
                <w:sz w:val="20"/>
                <w:szCs w:val="20"/>
                <w:color w:val="auto"/>
              </w:rPr>
            </w:pPr>
            <w:r>
              <w:rPr>
                <w:rFonts w:ascii="Arial" w:cs="Arial" w:eastAsia="Arial" w:hAnsi="Arial"/>
                <w:sz w:val="14"/>
                <w:szCs w:val="14"/>
                <w:color w:val="auto"/>
                <w:w w:val="93"/>
              </w:rPr>
              <w:t>Comprehensive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2006</w:t>
            </w:r>
          </w:p>
        </w:tc>
        <w:tc>
          <w:tcPr>
            <w:tcW w:w="780" w:type="dxa"/>
            <w:vAlign w:val="bottom"/>
            <w:tcBorders>
              <w:top w:val="single" w:sz="8" w:color="auto"/>
            </w:tcBorders>
            <w:gridSpan w:val="4"/>
          </w:tcPr>
          <w:p>
            <w:pPr>
              <w:jc w:val="right"/>
              <w:ind w:right="260"/>
              <w:spacing w:after="0" w:line="149" w:lineRule="exact"/>
              <w:rPr>
                <w:sz w:val="20"/>
                <w:szCs w:val="20"/>
                <w:color w:val="auto"/>
              </w:rPr>
            </w:pPr>
            <w:r>
              <w:rPr>
                <w:rFonts w:ascii="Arial" w:cs="Arial" w:eastAsia="Arial" w:hAnsi="Arial"/>
                <w:sz w:val="14"/>
                <w:szCs w:val="14"/>
                <w:color w:val="auto"/>
                <w:w w:val="94"/>
              </w:rPr>
              <w:t>Series A</w:t>
            </w:r>
          </w:p>
        </w:tc>
        <w:tc>
          <w:tcPr>
            <w:tcW w:w="5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w w:val="94"/>
              </w:rPr>
              <w:t>Series B</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Stock</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Issuable</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Surplus</w:t>
            </w:r>
          </w:p>
        </w:tc>
        <w:tc>
          <w:tcPr>
            <w:tcW w:w="7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3"/>
                <w:szCs w:val="13"/>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160" w:type="dxa"/>
            <w:vAlign w:val="bottom"/>
            <w:tcBorders>
              <w:top w:val="single" w:sz="8" w:color="auto"/>
            </w:tcBorders>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42,891</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862</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89"/>
              </w:rPr>
              <w:t>$ 270,383</w:t>
            </w:r>
          </w:p>
        </w:tc>
        <w:tc>
          <w:tcPr>
            <w:tcW w:w="200" w:type="dxa"/>
            <w:vAlign w:val="bottom"/>
          </w:tcPr>
          <w:p>
            <w:pPr>
              <w:spacing w:after="0"/>
              <w:rPr>
                <w:sz w:val="11"/>
                <w:szCs w:val="11"/>
                <w:color w:val="auto"/>
              </w:rPr>
            </w:pP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306,261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(3,952)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616,767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57,993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57,993</w:t>
            </w: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7"/>
              </w:rPr>
              <w:t>Unrealized holding gains on available for sale securities (net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of deferred tax expense of $6,163)</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10,267</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8"/>
              </w:rPr>
              <w:t>Reclassification adjustment for gains on securities available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for sale included in fee revenue (net of tax expense of</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$1,237)</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 derivative financial instruments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qualifying as cash flow hedges (net of deferred tax</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ind w:left="500"/>
              <w:spacing w:after="0"/>
              <w:rPr>
                <w:sz w:val="20"/>
                <w:szCs w:val="20"/>
                <w:color w:val="auto"/>
              </w:rPr>
            </w:pPr>
            <w:r>
              <w:rPr>
                <w:rFonts w:ascii="Arial" w:cs="Arial" w:eastAsia="Arial" w:hAnsi="Arial"/>
                <w:sz w:val="14"/>
                <w:szCs w:val="14"/>
                <w:color w:val="auto"/>
              </w:rPr>
              <w:t>expense of $6,297)</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9,891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130"/>
        </w:trPr>
        <w:tc>
          <w:tcPr>
            <w:tcW w:w="40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57,993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18,213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76,206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Retirement of Series A preferred stock (6,400 shares)</w:t>
            </w:r>
          </w:p>
        </w:tc>
        <w:tc>
          <w:tcPr>
            <w:tcW w:w="160" w:type="dxa"/>
            <w:vAlign w:val="bottom"/>
          </w:tcPr>
          <w:p>
            <w:pPr>
              <w:spacing w:after="0"/>
              <w:rPr>
                <w:sz w:val="12"/>
                <w:szCs w:val="12"/>
                <w:color w:val="auto"/>
              </w:rPr>
            </w:pP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declared on common stock ($.36 per share)</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(16,845)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(16,845)</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Common stock issued for acquisition (5,691,948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5,692</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185,649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191,341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 shares exchanged (150,078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 Reinvestment Plan and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employee benefit plans (134,664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3,217</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 restricted stock</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3,580</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 (34,277 shares issued, 3,125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Purchases of treasury stock (2,000,000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(46,056)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(46,056)</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 including dividend equivalents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1,187</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Shares issued from deferred compensation plan (1,550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declared on Series A preferred stock ($.60 per</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ind w:left="18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400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2007</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48,809</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2,100</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462,881</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347,391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84"/>
              </w:rPr>
              <w:t>(43,798)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14,261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831,902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(63,450)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(63,450)</w:t>
            </w: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7"/>
              </w:rPr>
              <w:t>Unrealized holding gains on available for sale securities (net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of deferred tax expense of $5,442)</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8,912</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8"/>
              </w:rPr>
              <w:t>Reclassification adjustment for gains on securities available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for sale included in fee revenue (net of tax expense of</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$512)</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 derivative financial instruments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qualifying as cash flow hedges (net of deferred tax</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expense of $22,439)</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35,244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35,244</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 for gains on terminated floor</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ind w:left="500"/>
              <w:spacing w:after="0"/>
              <w:rPr>
                <w:sz w:val="20"/>
                <w:szCs w:val="20"/>
                <w:color w:val="auto"/>
              </w:rPr>
            </w:pPr>
            <w:r>
              <w:rPr>
                <w:rFonts w:ascii="Arial" w:cs="Arial" w:eastAsia="Arial" w:hAnsi="Arial"/>
                <w:sz w:val="14"/>
                <w:szCs w:val="14"/>
                <w:color w:val="auto"/>
              </w:rPr>
              <w:t>contracts (net of tax expense of $1,932)</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(3,035)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30"/>
        </w:trPr>
        <w:tc>
          <w:tcPr>
            <w:tcW w:w="40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w w:val="99"/>
              </w:rPr>
              <w:t>(63,450)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40,318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Series B preferred stock (180,000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173,097</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6,903</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warrants attached to trust preferred securities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declared on common stock ($.18 per share)</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(8,465)</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dividends declared on common stock (723,814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(8,663)</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(9,347)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w w:val="95"/>
              </w:rPr>
              <w:t>Exercise of stock options, net of shares exchanged (80,838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(1,257)</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 Reinvestment Plan and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employee benefit plans (281,501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 restricted stock</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 (15,662 shares issued, 8,700</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 including dividend equivalents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658</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Shares issued from deferred compensation plan (4,214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on Series A preferred stock ($.60 per share)</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20"/>
                <w:szCs w:val="20"/>
                <w:color w:val="auto"/>
              </w:rPr>
            </w:pPr>
            <w:r>
              <w:rPr>
                <w:rFonts w:ascii="Arial" w:cs="Arial" w:eastAsia="Arial" w:hAnsi="Arial"/>
                <w:sz w:val="14"/>
                <w:szCs w:val="14"/>
                <w:color w:val="auto"/>
              </w:rPr>
              <w:t>Cash dividends on Series B preferred stock (5%)</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30"/>
        </w:trPr>
        <w:tc>
          <w:tcPr>
            <w:tcW w:w="400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2008</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4"/>
              </w:rPr>
              <w:t>173,180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48,809</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2,908</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460,708</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265,405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84"/>
              </w:rPr>
              <w:t>(16,465)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54,579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989,382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(228,327)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(228,327)</w:t>
            </w: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7"/>
              </w:rPr>
              <w:t>Unrealized holding gains on available for sale securities (net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of deferred tax expense of $9,635)</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16,277</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w w:val="98"/>
              </w:rPr>
              <w:t>Reclassification adjustment for gains on securities available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for sale included in fee revenue (net of tax expense of</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rPr>
              <w:t>$1,072)</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Unrealized losses on derivative financial instruments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500"/>
              <w:spacing w:after="0" w:line="149" w:lineRule="exact"/>
              <w:rPr>
                <w:sz w:val="20"/>
                <w:szCs w:val="20"/>
                <w:color w:val="auto"/>
              </w:rPr>
            </w:pPr>
            <w:r>
              <w:rPr>
                <w:rFonts w:ascii="Arial" w:cs="Arial" w:eastAsia="Arial" w:hAnsi="Arial"/>
                <w:sz w:val="14"/>
                <w:szCs w:val="14"/>
                <w:color w:val="auto"/>
                <w:w w:val="97"/>
              </w:rPr>
              <w:t>qualifying as cash flow hedges (net of deferred tax benefit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ind w:left="500"/>
              <w:spacing w:after="0"/>
              <w:rPr>
                <w:sz w:val="20"/>
                <w:szCs w:val="20"/>
                <w:color w:val="auto"/>
              </w:rPr>
            </w:pPr>
            <w:r>
              <w:rPr>
                <w:rFonts w:ascii="Arial" w:cs="Arial" w:eastAsia="Arial" w:hAnsi="Arial"/>
                <w:sz w:val="14"/>
                <w:szCs w:val="14"/>
                <w:color w:val="auto"/>
              </w:rPr>
              <w:t>of $13,712)</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(21,537)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(21,537)</w:t>
            </w:r>
          </w:p>
        </w:tc>
        <w:tc>
          <w:tcPr>
            <w:tcW w:w="0" w:type="dxa"/>
            <w:vAlign w:val="bottom"/>
          </w:tcPr>
          <w:p>
            <w:pPr>
              <w:spacing w:after="0"/>
              <w:rPr>
                <w:sz w:val="1"/>
                <w:szCs w:val="1"/>
                <w:color w:val="auto"/>
              </w:rPr>
            </w:pPr>
          </w:p>
        </w:tc>
      </w:tr>
      <w:tr>
        <w:trPr>
          <w:trHeight w:val="130"/>
        </w:trPr>
        <w:tc>
          <w:tcPr>
            <w:tcW w:w="40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w w:val="86"/>
              </w:rPr>
              <w:t>(228,327)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(6,944)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0"/>
              </w:rPr>
              <w:t>(235,271)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Retirement of Series A preferred stock (4,100 shares)</w:t>
            </w:r>
          </w:p>
        </w:tc>
        <w:tc>
          <w:tcPr>
            <w:tcW w:w="160" w:type="dxa"/>
            <w:vAlign w:val="bottom"/>
          </w:tcPr>
          <w:p>
            <w:pPr>
              <w:spacing w:after="0"/>
              <w:rPr>
                <w:sz w:val="12"/>
                <w:szCs w:val="12"/>
                <w:color w:val="auto"/>
              </w:rPr>
            </w:pP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dividends declared on common stock (1,111,522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(6,731)</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12,649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w w:val="99"/>
              </w:rPr>
              <w:t>Exercise of stock options, net of shares exchanged (437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 Reinvestment Plan and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employee benefit plans (401,101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(1,528)</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Common stock issued (44,505,000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44,505</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166,584</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211,089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 restricted stock</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3,704</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w w:val="99"/>
              </w:rPr>
              <w:t>Vesting of restricted stock awards (12,447 shares issued, 18,281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446</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(688)</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 including dividend equivalents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Shares issued from deferred compensation plan (5,687 shares)</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Tax on option exercise and restricted stock vesting</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Cash dividends on Series A preferred stock ($.60 per share)</w:t>
            </w: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20"/>
                <w:szCs w:val="20"/>
                <w:color w:val="auto"/>
              </w:rPr>
            </w:pPr>
            <w:r>
              <w:rPr>
                <w:rFonts w:ascii="Arial" w:cs="Arial" w:eastAsia="Arial" w:hAnsi="Arial"/>
                <w:sz w:val="14"/>
                <w:szCs w:val="14"/>
                <w:color w:val="auto"/>
              </w:rPr>
              <w:t>Cash dividends on Series B preferred stock (5%)</w:t>
            </w:r>
          </w:p>
        </w:tc>
        <w:tc>
          <w:tcPr>
            <w:tcW w:w="1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1,228</w:t>
            </w: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(10,228)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174,408</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94,046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3,597</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$ 622,034</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962,321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40" w:top="364" w:right="29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4" w:right="299" w:bottom="0" w:gutter="0" w:footer="0" w:header="0"/>
          <w:type w:val="continuous"/>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00" w:type="dxa"/>
            <w:vAlign w:val="bottom"/>
          </w:tcPr>
          <w:p>
            <w:pPr>
              <w:ind w:left="100"/>
              <w:spacing w:after="0"/>
              <w:rPr>
                <w:sz w:val="20"/>
                <w:szCs w:val="20"/>
                <w:color w:val="auto"/>
              </w:rPr>
            </w:pPr>
            <w:r>
              <w:rPr>
                <w:rFonts w:ascii="Arial" w:cs="Arial" w:eastAsia="Arial" w:hAnsi="Arial"/>
                <w:sz w:val="18"/>
                <w:szCs w:val="18"/>
                <w:color w:val="auto"/>
              </w:rPr>
              <w:t>Net (loss) income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(228,327)</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(63,450)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57,993</w:t>
            </w:r>
          </w:p>
        </w:tc>
      </w:tr>
      <w:tr>
        <w:trPr>
          <w:trHeight w:val="216"/>
        </w:trPr>
        <w:tc>
          <w:tcPr>
            <w:tcW w:w="7900" w:type="dxa"/>
            <w:vAlign w:val="bottom"/>
          </w:tcPr>
          <w:p>
            <w:pPr>
              <w:ind w:left="80"/>
              <w:spacing w:after="0"/>
              <w:rPr>
                <w:sz w:val="20"/>
                <w:szCs w:val="20"/>
                <w:color w:val="auto"/>
              </w:rPr>
            </w:pPr>
            <w:r>
              <w:rPr>
                <w:rFonts w:ascii="Arial" w:cs="Arial" w:eastAsia="Arial" w:hAnsi="Arial"/>
                <w:sz w:val="18"/>
                <w:szCs w:val="18"/>
                <w:color w:val="auto"/>
              </w:rPr>
              <w:t>Adjustments to reconcile net (loss) income to net cash provided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by operating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14,553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13,946</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55,600</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Goodwill impairment charge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3,580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Deferred income tax benefit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(14,228)</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(3,182)</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Losses (gains) on sale of 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Losses on prepayment of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Losses and write downs on other real estate owned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17,881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2,659</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Gain from acquisition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Change in assets and liabilities, net of effects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tcPr>
          <w:p>
            <w:pPr>
              <w:ind w:left="460"/>
              <w:spacing w:after="0"/>
              <w:rPr>
                <w:sz w:val="20"/>
                <w:szCs w:val="20"/>
                <w:color w:val="auto"/>
              </w:rPr>
            </w:pPr>
            <w:r>
              <w:rPr>
                <w:rFonts w:ascii="Arial" w:cs="Arial" w:eastAsia="Arial" w:hAnsi="Arial"/>
                <w:sz w:val="18"/>
                <w:szCs w:val="18"/>
                <w:color w:val="auto"/>
              </w:rPr>
              <w:t>of business combinations: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15,270</w:t>
            </w:r>
          </w:p>
        </w:tc>
      </w:tr>
      <w:tr>
        <w:trPr>
          <w:trHeight w:val="216"/>
        </w:trPr>
        <w:tc>
          <w:tcPr>
            <w:tcW w:w="7900" w:type="dxa"/>
            <w:vAlign w:val="bottom"/>
          </w:tcPr>
          <w:p>
            <w:pPr>
              <w:ind w:left="58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16,348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(35,574)</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Mortgage loans held for sale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7,321</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105,413</w:t>
            </w:r>
          </w:p>
        </w:tc>
        <w:tc>
          <w:tcPr>
            <w:tcW w:w="60" w:type="dxa"/>
            <w:vAlign w:val="bottom"/>
          </w:tcPr>
          <w:p>
            <w:pPr>
              <w:spacing w:after="0"/>
              <w:rPr>
                <w:sz w:val="19"/>
                <w:szCs w:val="19"/>
                <w:color w:val="auto"/>
              </w:rPr>
            </w:pPr>
          </w:p>
        </w:tc>
      </w:tr>
      <w:tr>
        <w:trPr>
          <w:trHeight w:val="418"/>
        </w:trPr>
        <w:tc>
          <w:tcPr>
            <w:tcW w:w="7900" w:type="dxa"/>
            <w:vAlign w:val="bottom"/>
          </w:tcPr>
          <w:p>
            <w:pPr>
              <w:spacing w:after="0"/>
              <w:rPr>
                <w:sz w:val="20"/>
                <w:szCs w:val="20"/>
                <w:color w:val="auto"/>
              </w:rPr>
            </w:pPr>
            <w:r>
              <w:rPr>
                <w:rFonts w:ascii="Arial" w:cs="Arial" w:eastAsia="Arial" w:hAnsi="Arial"/>
                <w:sz w:val="18"/>
                <w:szCs w:val="18"/>
                <w:color w:val="auto"/>
              </w:rPr>
              <w:t>Investing activities, net of effects of business combinations: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sales of securities available for sale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328,968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128,214</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693,064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464,672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597,215</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Purchases of securities available for sale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(884,815)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(820,665)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(904,158)</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Net decrease (increase) in loans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(113,206)</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Purchase of bank owned life 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Purchases of premises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(14,868)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(34,062)</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sales of premises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Net cash received from (paid for) business combinations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63,617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(4,346)</w:t>
            </w:r>
          </w:p>
        </w:tc>
      </w:tr>
      <w:tr>
        <w:trPr>
          <w:trHeight w:val="237"/>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sales of other real estate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22,483</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(173,069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(357,860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7900" w:type="dxa"/>
            <w:vAlign w:val="bottom"/>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Net change in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(682,236)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927,673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(264,780)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Net change in federal funds purchased, repurchase agreements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tcPr>
          <w:p>
            <w:pPr>
              <w:ind w:left="600"/>
              <w:spacing w:after="0"/>
              <w:rPr>
                <w:sz w:val="20"/>
                <w:szCs w:val="20"/>
                <w:color w:val="auto"/>
              </w:rPr>
            </w:pPr>
            <w:r>
              <w:rPr>
                <w:rFonts w:ascii="Arial" w:cs="Arial" w:eastAsia="Arial" w:hAnsi="Arial"/>
                <w:sz w:val="18"/>
                <w:szCs w:val="18"/>
                <w:color w:val="auto"/>
              </w:rPr>
              <w:t>and other short-term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(9,692)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(488,051)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567,233</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line of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42,000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Repayment of line of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trust preferred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Retirement of trust preferred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FHLB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1,200,000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Repayments of FHLB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(503,322)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(686,714)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(1,182,142)</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issuance of subordinated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3,942</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Retirement of Series A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Proceeds from issuance of Series B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(46,056)</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Cash dividends on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(12,713)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(16,029)</w:t>
            </w:r>
          </w:p>
        </w:tc>
      </w:tr>
      <w:tr>
        <w:trPr>
          <w:trHeight w:val="216"/>
        </w:trPr>
        <w:tc>
          <w:tcPr>
            <w:tcW w:w="7900" w:type="dxa"/>
            <w:vAlign w:val="bottom"/>
          </w:tcPr>
          <w:p>
            <w:pPr>
              <w:ind w:left="240"/>
              <w:spacing w:after="0"/>
              <w:rPr>
                <w:sz w:val="20"/>
                <w:szCs w:val="20"/>
                <w:color w:val="auto"/>
              </w:rPr>
            </w:pPr>
            <w:r>
              <w:rPr>
                <w:rFonts w:ascii="Arial" w:cs="Arial" w:eastAsia="Arial" w:hAnsi="Arial"/>
                <w:sz w:val="18"/>
                <w:szCs w:val="18"/>
                <w:color w:val="auto"/>
              </w:rPr>
              <w:t>Cash dividends on Series A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7900" w:type="dxa"/>
            <w:vAlign w:val="bottom"/>
          </w:tcPr>
          <w:p>
            <w:pPr>
              <w:ind w:left="240"/>
              <w:spacing w:after="0"/>
              <w:rPr>
                <w:sz w:val="20"/>
                <w:szCs w:val="20"/>
                <w:color w:val="auto"/>
              </w:rPr>
            </w:pPr>
            <w:r>
              <w:rPr>
                <w:rFonts w:ascii="Arial" w:cs="Arial" w:eastAsia="Arial" w:hAnsi="Arial"/>
                <w:sz w:val="18"/>
                <w:szCs w:val="18"/>
                <w:color w:val="auto"/>
              </w:rPr>
              <w:t>Cash dividends on Series B preferred 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(660,560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300,786</w:t>
            </w:r>
          </w:p>
        </w:tc>
        <w:tc>
          <w:tcPr>
            <w:tcW w:w="60" w:type="dxa"/>
            <w:vAlign w:val="bottom"/>
          </w:tcPr>
          <w:p>
            <w:pPr>
              <w:spacing w:after="0"/>
              <w:rPr>
                <w:sz w:val="19"/>
                <w:szCs w:val="19"/>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(117,054)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273,798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48,339</w:t>
            </w:r>
          </w:p>
        </w:tc>
      </w:tr>
      <w:tr>
        <w:trPr>
          <w:trHeight w:val="439"/>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493,421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219,623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171,284</w:t>
            </w: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376,367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60" w:type="dxa"/>
            <w:vAlign w:val="bottom"/>
          </w:tcPr>
          <w:p>
            <w:pPr>
              <w:spacing w:after="0"/>
              <w:rPr>
                <w:sz w:val="18"/>
                <w:szCs w:val="18"/>
                <w:color w:val="auto"/>
              </w:rPr>
            </w:pPr>
          </w:p>
        </w:tc>
      </w:tr>
      <w:tr>
        <w:trPr>
          <w:trHeight w:val="21"/>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356"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At December 31, 2009, United was a bank holding company whose business was conducted by its wholly-owned bank subsidiary. United is subject to regulation under the Bank Holding Company Act of 1956. The consolidated financial statements include the accounts of United Community Banks, Inc. and its wholly-owned commercial bank subsidiary in Georgia (the “Bank”), and Brintech, Inc., a financial services consulting subsidiary based in Texas. All significant intercompany accounts and transactions have been eliminated in consolidation.</w:t>
      </w:r>
    </w:p>
    <w:p>
      <w:pPr>
        <w:spacing w:after="0" w:line="204"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The Bank is a commercial bank that serves markets throughout north Georgia, coastal Georgia, the Atlanta, Georgia MSA, the Gainesville, Georgia MSA, western North Carolina and east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17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preparing the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and the valuation of goodwill and separately identifiable intangible assets associated with mergers and acquisitions.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27 community banks, those banks have similar economic characteristics and are therefore aggregated into one operating segment for purposes of segment reporting. Because United has only one operating segment, segment information is not provided separately from the Consolidated Financial Statements.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Cash equivalents include amounts due from banks, interest-bearing deposits in banks, federal funds sold and commercial paper and short-term investments. Federal funds are generally sold for one-day periods, interest-bearing deposits in banks are available on demand and commercial paper investments mature within a period of less than 30 days.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 At December 31, 2009 and 2008, all securities were classified as available for sale.</w:t>
      </w:r>
    </w:p>
    <w:p>
      <w:pPr>
        <w:spacing w:after="0" w:line="21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held to maturity to available for sale are recorded as a separate component of shareholders’ equity.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216"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Management evaluates investment securities for other than temporary impairment on a quarterly basis. A decline in the fair value of available for sale and held to 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20" w:hanging="492"/>
        <w:spacing w:after="0" w:line="261" w:lineRule="auto"/>
        <w:tabs>
          <w:tab w:leader="none" w:pos="47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Investment Securities, continued</w:t>
      </w: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and there is no ready market for such investments.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2009 or 2008 since those loans have market values that approximated the recorded basis.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Loans and Allowance for Loan Losses</w:t>
      </w:r>
    </w:p>
    <w:p>
      <w:pPr>
        <w:spacing w:after="0" w:line="2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217"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When a loan is placed on nonaccrual status, previously accrued and uncollected interest is charged against interest revenue on loans. Interest payments are applied to the principal balance on nonaccrual loans.</w:t>
      </w:r>
    </w:p>
    <w:p>
      <w:pPr>
        <w:spacing w:after="0" w:line="198"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described above.</w:t>
      </w:r>
    </w:p>
    <w:p>
      <w:pPr>
        <w:spacing w:after="0" w:line="198"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allowance for loan losses is established through a provision for loan losses charged to income. Loans are charged against the allowance for loan losses when available information confirms that the collectability of the principal is unlikely. The allowance represents an amount, which, in management’s judgment, is adequate to absorb probable losses on existing loans as of the date of the balance sheet.</w:t>
      </w:r>
    </w:p>
    <w:p>
      <w:pPr>
        <w:spacing w:after="0" w:line="19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allowance is composed of general reserves and specific reserves. General reserves are determined by applying loss percentages to the portfolio that are based on historical loss experience.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included in this evaluation. The need for specific reserves is evaluated on impaired loan relationships greater than $500,000.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21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Management prepares a quarterly analysis of the allowance for loan losses and material deficiencies are adjusted by increasing the provision for loan losses. Management has an internal loan review department that is independent of the lending function to challenge and corroborate the loan grading system and provide additional analysis used in determining the adequacy of the allowance for loan losses. Management also outsources loan review on a rotating basis to ensure objectivity in the loan review process.</w:t>
      </w:r>
    </w:p>
    <w:p>
      <w:pPr>
        <w:spacing w:after="0" w:line="214"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Management believes the allowance for loan losses is appropriate at December 31, 2009.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20" w:hanging="492"/>
        <w:spacing w:after="0" w:line="261" w:lineRule="auto"/>
        <w:tabs>
          <w:tab w:leader="none" w:pos="47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Premises and Equipment</w:t>
      </w: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sz w:val="20"/>
          <w:szCs w:val="20"/>
          <w:color w:val="auto"/>
        </w:rPr>
      </w:pPr>
    </w:p>
    <w:p>
      <w:pPr>
        <w:jc w:val="both"/>
        <w:ind w:left="500"/>
        <w:spacing w:after="0" w:line="323" w:lineRule="auto"/>
        <w:rPr>
          <w:sz w:val="20"/>
          <w:szCs w:val="20"/>
          <w:color w:val="auto"/>
        </w:rPr>
      </w:pPr>
      <w:r>
        <w:rPr>
          <w:rFonts w:ascii="Arial" w:cs="Arial" w:eastAsia="Arial" w:hAnsi="Arial"/>
          <w:sz w:val="16"/>
          <w:szCs w:val="16"/>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w:t>
      </w:r>
    </w:p>
    <w:p>
      <w:pPr>
        <w:spacing w:after="0" w:line="166"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15 years. The remaining useful lives of core deposit intangibles are evaluated periodically to determine whether events and circumstances warrant a revision to the remaining period of amortization.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Foreclosed Properties</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(“ASC 360-20”).</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7"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20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tax planning strategies.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income tax benefit or expense is the total of the current year income tax due or refundable and the change in deferred tax assets and liabilities.</w:t>
      </w:r>
    </w:p>
    <w:p>
      <w:pPr>
        <w:spacing w:after="0" w:line="27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United recognizes interest and / or penalties related to income tax matters in income tax expense.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 xml:space="preserve">United uses the fair value method of recognizing expense for stock based compensation based on the fair value of option and restricted stock awards at the date of grant as prescribed by Accounting Standards Codification Topic 781-10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20" w:hanging="492"/>
        <w:spacing w:after="0" w:line="293" w:lineRule="auto"/>
        <w:tabs>
          <w:tab w:leader="none" w:pos="478"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w:t>
      </w:r>
    </w:p>
    <w:p>
      <w:pPr>
        <w:spacing w:after="0" w:line="1" w:lineRule="exact"/>
        <w:rPr>
          <w:rFonts w:ascii="Arial" w:cs="Arial" w:eastAsia="Arial" w:hAnsi="Arial"/>
          <w:sz w:val="16"/>
          <w:szCs w:val="16"/>
          <w:b w:val="1"/>
          <w:bCs w:val="1"/>
          <w:color w:val="auto"/>
        </w:rPr>
      </w:pPr>
    </w:p>
    <w:p>
      <w:pPr>
        <w:jc w:val="both"/>
        <w:ind w:left="50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18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Interest rate swaps generally involve the exchange of fixed- and variable-rate interest payments between two parties, based on a common notional principal amount and maturity date.</w:t>
      </w:r>
    </w:p>
    <w:p>
      <w:pPr>
        <w:spacing w:after="0" w:line="19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 United’s hedging strategies involving interest rate derivatives are classified as either Fair Value Hedges or Cash Flow Hedges, depending on the rate characteristics of the hedged item.</w:t>
      </w:r>
    </w:p>
    <w:p>
      <w:pPr>
        <w:spacing w:after="0" w:line="211"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color w:val="auto"/>
        </w:rPr>
        <w:t xml:space="preserve">Fair Value Hedge: </w:t>
      </w:r>
      <w:r>
        <w:rPr>
          <w:rFonts w:ascii="Arial" w:cs="Arial" w:eastAsia="Arial" w:hAnsi="Arial"/>
          <w:sz w:val="18"/>
          <w:szCs w:val="18"/>
          <w:color w:val="auto"/>
        </w:rPr>
        <w:t>As a result of interest rate fluctuations, fixed-rate assets and liabilities will appreciate or depreciate in fair value.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this appreciation or depreciation will generally be offset by fluctuations in the fair value of the derivative instruments that are linked to the hedged assets and liabilities. This strategy is referred to as a fair value hedge.</w:t>
      </w:r>
    </w:p>
    <w:p>
      <w:pPr>
        <w:spacing w:after="0" w:line="203"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color w:val="auto"/>
        </w:rPr>
        <w:t xml:space="preserve">Cash Flow Hedge: </w:t>
      </w:r>
      <w:r>
        <w:rPr>
          <w:rFonts w:ascii="Arial" w:cs="Arial" w:eastAsia="Arial" w:hAnsi="Arial"/>
          <w:sz w:val="18"/>
          <w:szCs w:val="18"/>
          <w:color w:val="auto"/>
        </w:rPr>
        <w:t>Cash flows related to floating-rate assets and liabilities will fluctuate with changes in an underlying rate index.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the increases or decreases in cash flows related to the floating rate asset or liability will generally be offset by changes in cash flows of the derivative instrument designated as a hedge. This strategy is referred to as a cash flow hedge.</w:t>
      </w:r>
    </w:p>
    <w:p>
      <w:pPr>
        <w:spacing w:after="0" w:line="20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22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214"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intended as a hedge are accounted for in the net income of the period of the change.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2008 and 2007 amounts have been reclassified to conform to the 2009 presentation.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Accumulated Other Comprehensive Income</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GAAP normally requires that recognized revenues, expenses, gains and losses be included in net income. In addition to net income, other components of comprehensive income include the after-tax effect of changes in unrealized gains and losses on available for sale securities and derivative financial instruments accounted for as cash flow hedges. These items are reported as a separate component of shareholders’ equity. United presents comprehensive income as a component of the statement of changes in shareholders’ equity.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w:t>
      </w:r>
    </w:p>
    <w:p>
      <w:pPr>
        <w:spacing w:after="0" w:line="27" w:lineRule="exact"/>
        <w:rPr>
          <w:rFonts w:ascii="Arial" w:cs="Arial" w:eastAsia="Arial" w:hAnsi="Arial"/>
          <w:sz w:val="18"/>
          <w:szCs w:val="18"/>
          <w:b w:val="1"/>
          <w:bCs w:val="1"/>
          <w:color w:val="auto"/>
        </w:rPr>
      </w:pPr>
    </w:p>
    <w:p>
      <w:pPr>
        <w:jc w:val="both"/>
        <w:ind w:left="5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In October 2009, the Financial Accounting Standards Board (“FASB”) issued Accounting Standards Update No. 2009-13 (“ASU 2009-13”),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(Topic 605) – Multiple-Deliverable Revenue Arrangements – a consensus of the FASB Emerging Issues Task Force</w:t>
      </w:r>
      <w:r>
        <w:rPr>
          <w:rFonts w:ascii="Arial" w:cs="Arial" w:eastAsia="Arial" w:hAnsi="Arial"/>
          <w:sz w:val="16"/>
          <w:szCs w:val="16"/>
          <w:color w:val="auto"/>
        </w:rPr>
        <w:t>. ASU 2009-13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addresses the accounting for multiple-deliverable arrangements to enable vendors to account for products or services (deliverables) separately rather than as a combined unit. Subtopic 605-25, </w:t>
      </w:r>
      <w:r>
        <w:rPr>
          <w:rFonts w:ascii="Arial" w:cs="Arial" w:eastAsia="Arial" w:hAnsi="Arial"/>
          <w:sz w:val="16"/>
          <w:szCs w:val="16"/>
          <w:i w:val="1"/>
          <w:iCs w:val="1"/>
          <w:color w:val="auto"/>
        </w:rPr>
        <w:t>Revenue Recognition – Multiple-Element Arrangements</w:t>
      </w:r>
      <w:r>
        <w:rPr>
          <w:rFonts w:ascii="Arial" w:cs="Arial" w:eastAsia="Arial" w:hAnsi="Arial"/>
          <w:sz w:val="16"/>
          <w:szCs w:val="16"/>
          <w:color w:val="auto"/>
        </w:rPr>
        <w:t>, establishes the accounting and reporting guidance for arrangements under which the vendor will perform multiple revenue-generating activities. Specifically, this subtopic addresses how to separate deliverables and how to measure and allocate arrangement consideration to one or more units of accounting. The amendments in this ASU will be effective for revenue arrangements entered into or materially modified in fiscal years beginning on or after June 15, 2010 with early adoption permitted. This ASU is not expected to have any effect on United’s results of operations, financial position or disclosures.</w:t>
      </w:r>
    </w:p>
    <w:p>
      <w:pPr>
        <w:spacing w:after="0" w:line="19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October 2009, the FASB issued Accounting Standards Update No. 2009-14 (“ASU 2009-14”), </w:t>
      </w:r>
      <w:r>
        <w:rPr>
          <w:rFonts w:ascii="Arial" w:cs="Arial" w:eastAsia="Arial" w:hAnsi="Arial"/>
          <w:sz w:val="18"/>
          <w:szCs w:val="18"/>
          <w:i w:val="1"/>
          <w:iCs w:val="1"/>
          <w:color w:val="auto"/>
        </w:rPr>
        <w:t>Software (Topic 985) – Certain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That Include Software Elements – a consensus of the FASB Emerging Issues Task Force</w:t>
      </w:r>
      <w:r>
        <w:rPr>
          <w:rFonts w:ascii="Arial" w:cs="Arial" w:eastAsia="Arial" w:hAnsi="Arial"/>
          <w:sz w:val="18"/>
          <w:szCs w:val="18"/>
          <w:color w:val="auto"/>
        </w:rPr>
        <w:t>. ASU 2009-14 addresses concerns raised by</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constituents relating to the accounting for revenue arrangements that contain tangible products and software. The amendments in this ASU will be effective prospectively for revenue arrangements entered into or materially modified in fiscal years beginning on or after June 15, 2010 with early adoption permitted. This ASU is not applicable to United and therefore will not have any effect on United’s results of operations, financial position or disclosures.</w:t>
      </w:r>
    </w:p>
    <w:p>
      <w:pPr>
        <w:spacing w:after="0" w:line="220"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In October 2009, the FASB issued Accounting Standards Update No. 2009-15 (“ASU 2009-15”), </w:t>
      </w:r>
      <w:r>
        <w:rPr>
          <w:rFonts w:ascii="Arial" w:cs="Arial" w:eastAsia="Arial" w:hAnsi="Arial"/>
          <w:sz w:val="17"/>
          <w:szCs w:val="17"/>
          <w:i w:val="1"/>
          <w:iCs w:val="1"/>
          <w:color w:val="auto"/>
        </w:rPr>
        <w:t>Accounting for Own-Share Lending Arrangements in</w:t>
      </w:r>
      <w:r>
        <w:rPr>
          <w:rFonts w:ascii="Arial" w:cs="Arial" w:eastAsia="Arial" w:hAnsi="Arial"/>
          <w:sz w:val="17"/>
          <w:szCs w:val="17"/>
          <w:color w:val="auto"/>
        </w:rPr>
        <w:t xml:space="preserve"> </w:t>
      </w:r>
      <w:r>
        <w:rPr>
          <w:rFonts w:ascii="Arial" w:cs="Arial" w:eastAsia="Arial" w:hAnsi="Arial"/>
          <w:sz w:val="17"/>
          <w:szCs w:val="17"/>
          <w:i w:val="1"/>
          <w:iCs w:val="1"/>
          <w:color w:val="auto"/>
        </w:rPr>
        <w:t>Contemplation of Convertible Debt Issuance or Other Financing</w:t>
      </w:r>
      <w:r>
        <w:rPr>
          <w:rFonts w:ascii="Arial" w:cs="Arial" w:eastAsia="Arial" w:hAnsi="Arial"/>
          <w:sz w:val="17"/>
          <w:szCs w:val="17"/>
          <w:color w:val="auto"/>
        </w:rPr>
        <w:t>. ASU 2009-15 provides accounting guidance for own-share lending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in contemplation of the issuance of convertible debt or other financing arrangements. An entity, for which the cost to an investment banking firm or third-party investors of borrowing its shares is prohibitive, may enter into share-lending arrangements that are executed separately but in connection with a convertible debt offering. Although the convertible debt instrument is ultimately sold to investors, the share-lending arrangement is an agreement between the entity and an investment bank and is intended to facilitate the ability of investors to hedge the conversion option in the entity’s convertible debt. Loaned shares are excluded from basic and diluted earnings per share unless default of the share-lending arrangement occurs, at which time the loaned shares would be included in the basic and diluted earnings-per-share calculation. If dividends on the loaned shares are not reimbursed to the entity, any amounts, including contractual dividends and participation rights in undistributed earnings, attributable to the loaned shares shall be deducted in computing income available to common shareholders, in a manner consistent with the two-class method in Accounting Standards Codification Topic 260-10-45-60B,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This ASU did not have any effect on United’s results of operations, financial position or disclosures.</w:t>
      </w:r>
    </w:p>
    <w:p>
      <w:pPr>
        <w:spacing w:after="0" w:line="206" w:lineRule="exact"/>
        <w:rPr>
          <w:rFonts w:ascii="Arial" w:cs="Arial" w:eastAsia="Arial" w:hAnsi="Arial"/>
          <w:sz w:val="18"/>
          <w:szCs w:val="18"/>
          <w:b w:val="1"/>
          <w:bCs w:val="1"/>
          <w:color w:val="auto"/>
        </w:rPr>
      </w:pPr>
    </w:p>
    <w:p>
      <w:pPr>
        <w:jc w:val="both"/>
        <w:ind w:left="5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In December 2009, the FASB issued Accounting Standards Update No. 2009-16 (“ASU 2009-16”), </w:t>
      </w:r>
      <w:r>
        <w:rPr>
          <w:rFonts w:ascii="Arial" w:cs="Arial" w:eastAsia="Arial" w:hAnsi="Arial"/>
          <w:sz w:val="16"/>
          <w:szCs w:val="16"/>
          <w:i w:val="1"/>
          <w:iCs w:val="1"/>
          <w:color w:val="auto"/>
        </w:rPr>
        <w:t>Accounting for Transfers of Financial Assets.</w:t>
      </w:r>
      <w:r>
        <w:rPr>
          <w:rFonts w:ascii="Arial" w:cs="Arial" w:eastAsia="Arial" w:hAnsi="Arial"/>
          <w:sz w:val="16"/>
          <w:szCs w:val="16"/>
          <w:color w:val="auto"/>
        </w:rPr>
        <w:t xml:space="preserve"> ASU No. 2009-16 formally incorporates into the FASB Codification amendments to Statement of Financial Accounting Standards (“SFAS”) No. 140, </w:t>
      </w:r>
      <w:r>
        <w:rPr>
          <w:rFonts w:ascii="Arial" w:cs="Arial" w:eastAsia="Arial" w:hAnsi="Arial"/>
          <w:sz w:val="16"/>
          <w:szCs w:val="16"/>
          <w:i w:val="1"/>
          <w:iCs w:val="1"/>
          <w:color w:val="auto"/>
        </w:rPr>
        <w:t xml:space="preserve">Accounting for Transfers and Servicing of Financial Assets and Extinguishments of Liabilities, </w:t>
      </w:r>
      <w:r>
        <w:rPr>
          <w:rFonts w:ascii="Arial" w:cs="Arial" w:eastAsia="Arial" w:hAnsi="Arial"/>
          <w:sz w:val="16"/>
          <w:szCs w:val="16"/>
          <w:color w:val="auto"/>
        </w:rPr>
        <w:t>made by SFAS No. 166</w:t>
      </w:r>
      <w:r>
        <w:rPr>
          <w:rFonts w:ascii="Arial" w:cs="Arial" w:eastAsia="Arial" w:hAnsi="Arial"/>
          <w:sz w:val="16"/>
          <w:szCs w:val="16"/>
          <w:i w:val="1"/>
          <w:iCs w:val="1"/>
          <w:color w:val="auto"/>
        </w:rPr>
        <w:t xml:space="preserve"> Accounting For Transfers of Financial Assets, an amendment of FASB Statement No. 140, </w:t>
      </w:r>
      <w:r>
        <w:rPr>
          <w:rFonts w:ascii="Arial" w:cs="Arial" w:eastAsia="Arial" w:hAnsi="Arial"/>
          <w:sz w:val="16"/>
          <w:szCs w:val="16"/>
          <w:color w:val="auto"/>
        </w:rPr>
        <w:t>primarily to 1.) eliminate the concept of a qualifying special-purpose entity, 2.)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under which a financial asset should be derecognized when the entire financial asset has not been transferred to a non-consolidated entity, 3.) requires additional disclosures concerning a transferor’s continuing involvement with transferred financial assets, and 4.) requires that all servicing assets and liabilities be initially measured at fair value. This guidance is effective as of the start of the first annual reporting period beginning after November 15, 2009, for interim periods within the first annual reporting period, and for all subsequent annual and interim reporting periods. ASU No. 2009-19 is not expected to have a material impact on United’s results of operations, financial position or disclosures; however, United will need to review future loan participation agreements and other transfers of financial assets for compliance with the new standard.</w:t>
      </w:r>
    </w:p>
    <w:p>
      <w:pPr>
        <w:spacing w:after="0" w:line="196"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December 2009, the FASB issued Accounting Standards Update No. 2009-17 (“ASU 2009-17”), </w:t>
      </w:r>
      <w:r>
        <w:rPr>
          <w:rFonts w:ascii="Arial" w:cs="Arial" w:eastAsia="Arial" w:hAnsi="Arial"/>
          <w:sz w:val="17"/>
          <w:szCs w:val="17"/>
          <w:i w:val="1"/>
          <w:iCs w:val="1"/>
          <w:color w:val="auto"/>
        </w:rPr>
        <w:t>Improvements to Financial Reporting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Enterprises Involved with Variable Interest Entities. </w:t>
      </w:r>
      <w:r>
        <w:rPr>
          <w:rFonts w:ascii="Arial" w:cs="Arial" w:eastAsia="Arial" w:hAnsi="Arial"/>
          <w:sz w:val="17"/>
          <w:szCs w:val="17"/>
          <w:color w:val="auto"/>
        </w:rPr>
        <w:t>ASU No. 2009-17 formally incorporates into the FASB Codification amendments to FASB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Interpretation (“FIN”) No. 46(R),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xml:space="preserve"> made by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xml:space="preserve"> to require that a comprehensive qualitative analysis be performed to determine whether a holder of variable interests in a variable interest entity also has a controlling financial interest in that entity. In addition, the amendments require that the same type of analysis be applied to entities that were previously designated as qualified special-purpose entities. This ASU is effective as of the start of the first annual reporting period beginning after November 15, 2009, for interim periods within the first annual reporting period, and for all subsequent annual and interim reporting periods. ASU No. 2009-17 is not expected to have a material impact on United’s results of operations, financial position or disclosures.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continued</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 xml:space="preserve">In January 2010, the FASB issued Accounting Standards Update No. 2010-01, </w:t>
      </w:r>
      <w:r>
        <w:rPr>
          <w:rFonts w:ascii="Arial" w:cs="Arial" w:eastAsia="Arial" w:hAnsi="Arial"/>
          <w:sz w:val="18"/>
          <w:szCs w:val="18"/>
          <w:i w:val="1"/>
          <w:iCs w:val="1"/>
          <w:color w:val="auto"/>
        </w:rPr>
        <w:t>Accounting for Distributions to Shareholders with Components of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w:t>
      </w:r>
      <w:r>
        <w:rPr>
          <w:rFonts w:ascii="Arial" w:cs="Arial" w:eastAsia="Arial" w:hAnsi="Arial"/>
          <w:sz w:val="18"/>
          <w:szCs w:val="18"/>
          <w:color w:val="auto"/>
        </w:rPr>
        <w:t>(“ASU No. 2010-01”)</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2010-01 provides guidance on the accounting for distributions offering shareholders the choice of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stock. Under such guidance, the stock portion of the distribution is not considered to be a stock dividend, and for purposes of calculating earnings per share it is deemed a new share issuance not requiring retroactive restatement. This guidance is effective for the first reporting period, including interim periods, ending after December 15, 2009. It is not expected to have a material impact on United’s results of operations, financial position or disclosures.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In January 2010, the FASB issued Accounting Standards Update No. 2010-02, </w:t>
      </w:r>
      <w:r>
        <w:rPr>
          <w:rFonts w:ascii="Arial" w:cs="Arial" w:eastAsia="Arial" w:hAnsi="Arial"/>
          <w:sz w:val="16"/>
          <w:szCs w:val="16"/>
          <w:i w:val="1"/>
          <w:iCs w:val="1"/>
          <w:color w:val="auto"/>
        </w:rPr>
        <w:t>Accounting and Reporting for Decreases in Ownership of a Subsidiary</w:t>
      </w:r>
    </w:p>
    <w:p>
      <w:pPr>
        <w:spacing w:after="0" w:line="46"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i w:val="1"/>
          <w:iCs w:val="1"/>
          <w:color w:val="auto"/>
        </w:rPr>
        <w:t xml:space="preserve">– a Scope Clarification </w:t>
      </w:r>
      <w:r>
        <w:rPr>
          <w:rFonts w:ascii="Arial" w:cs="Arial" w:eastAsia="Arial" w:hAnsi="Arial"/>
          <w:sz w:val="16"/>
          <w:szCs w:val="16"/>
          <w:color w:val="auto"/>
        </w:rPr>
        <w:t>(“ASU No. 2010-02”). ASU No. 2010-02 amends FASB Accounting Standards Codification (“ASC”) Topic 810,</w:t>
      </w:r>
      <w:r>
        <w:rPr>
          <w:rFonts w:ascii="Arial" w:cs="Arial" w:eastAsia="Arial" w:hAnsi="Arial"/>
          <w:sz w:val="16"/>
          <w:szCs w:val="16"/>
          <w:i w:val="1"/>
          <w:iCs w:val="1"/>
          <w:color w:val="auto"/>
        </w:rPr>
        <w:t xml:space="preserve"> Consolidation, </w:t>
      </w:r>
      <w:r>
        <w:rPr>
          <w:rFonts w:ascii="Arial" w:cs="Arial" w:eastAsia="Arial" w:hAnsi="Arial"/>
          <w:sz w:val="16"/>
          <w:szCs w:val="16"/>
          <w:color w:val="auto"/>
        </w:rPr>
        <w:t>to clarify that deconsolidation accounting also applies to a subsidiary or group of assets that is a business or nonprofit activity.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guidance also requires additional disclosures concerning a retained investment in the period of a deconsolidation of a subsidiary or de-recognition of a group of assets. This guidance is effective beginning in the period an entity first adopts SFAS No. 160, </w:t>
      </w:r>
      <w:r>
        <w:rPr>
          <w:rFonts w:ascii="Arial" w:cs="Arial" w:eastAsia="Arial" w:hAnsi="Arial"/>
          <w:sz w:val="16"/>
          <w:szCs w:val="16"/>
          <w:i w:val="1"/>
          <w:iCs w:val="1"/>
          <w:color w:val="auto"/>
        </w:rPr>
        <w:t>Non-controlling Interests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if it was previously adopted, it is effective in the first interim or annual reporting period ending on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2009. ASU No. 2010-02 is not expected to have a material impact on United’s results of operations, financial position or disclosures.</w:t>
      </w:r>
    </w:p>
    <w:p>
      <w:pPr>
        <w:spacing w:after="0" w:line="19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 xml:space="preserve">In January 2010, the FASB issued Accounting Standards Update No. 2010-03, </w:t>
      </w:r>
      <w:r>
        <w:rPr>
          <w:rFonts w:ascii="Arial" w:cs="Arial" w:eastAsia="Arial" w:hAnsi="Arial"/>
          <w:sz w:val="18"/>
          <w:szCs w:val="18"/>
          <w:i w:val="1"/>
          <w:iCs w:val="1"/>
          <w:color w:val="auto"/>
        </w:rPr>
        <w:t>Oil and Gas Reserve Estimation and Disclosures</w:t>
      </w:r>
      <w:r>
        <w:rPr>
          <w:rFonts w:ascii="Arial" w:cs="Arial" w:eastAsia="Arial" w:hAnsi="Arial"/>
          <w:sz w:val="18"/>
          <w:szCs w:val="18"/>
          <w:color w:val="auto"/>
        </w:rPr>
        <w:t xml:space="preserve"> (“ASU No. 2010-03”) and ASU No. 2010-04, </w:t>
      </w:r>
      <w:r>
        <w:rPr>
          <w:rFonts w:ascii="Arial" w:cs="Arial" w:eastAsia="Arial" w:hAnsi="Arial"/>
          <w:sz w:val="18"/>
          <w:szCs w:val="18"/>
          <w:i w:val="1"/>
          <w:iCs w:val="1"/>
          <w:color w:val="auto"/>
        </w:rPr>
        <w:t>Technical Corrections to SEC Paragraphs</w:t>
      </w:r>
      <w:r>
        <w:rPr>
          <w:rFonts w:ascii="Arial" w:cs="Arial" w:eastAsia="Arial" w:hAnsi="Arial"/>
          <w:sz w:val="18"/>
          <w:szCs w:val="18"/>
          <w:color w:val="auto"/>
        </w:rPr>
        <w:t xml:space="preserve"> (ASU No. 2010-04”). Neither ASU No. 2010-03 nor ASU No. 2010-04 are expected to have an impact on United.</w:t>
      </w:r>
    </w:p>
    <w:p>
      <w:pPr>
        <w:spacing w:after="0" w:line="208"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 xml:space="preserve">In January 2010, the FASB issued Accounting Standards Update No. 2010-05, </w:t>
      </w:r>
      <w:r>
        <w:rPr>
          <w:rFonts w:ascii="Arial" w:cs="Arial" w:eastAsia="Arial" w:hAnsi="Arial"/>
          <w:sz w:val="17"/>
          <w:szCs w:val="17"/>
          <w:i w:val="1"/>
          <w:iCs w:val="1"/>
          <w:color w:val="auto"/>
        </w:rPr>
        <w:t>Escrowed Share Arrangements and the Presumption of Compensation</w:t>
      </w:r>
      <w:r>
        <w:rPr>
          <w:rFonts w:ascii="Arial" w:cs="Arial" w:eastAsia="Arial" w:hAnsi="Arial"/>
          <w:sz w:val="17"/>
          <w:szCs w:val="17"/>
          <w:color w:val="auto"/>
        </w:rPr>
        <w:t xml:space="preserve"> (“ASU No. 2010-05”). ASU No. 2010-05 officially incorporates into the FASB Codification the SEC staff’s position concerning escrowed share arrangements and the presumption that such arrangements are compensatory. This guidance was effective immediately as it simply incorporated Emerging Issues Task Force (“EITF”) Topic D-110, </w:t>
      </w:r>
      <w:r>
        <w:rPr>
          <w:rFonts w:ascii="Arial" w:cs="Arial" w:eastAsia="Arial" w:hAnsi="Arial"/>
          <w:sz w:val="17"/>
          <w:szCs w:val="17"/>
          <w:i w:val="1"/>
          <w:iCs w:val="1"/>
          <w:color w:val="auto"/>
        </w:rPr>
        <w:t>Escrowed Share Arrangements and the Presumption of Compensation,</w:t>
      </w:r>
      <w:r>
        <w:rPr>
          <w:rFonts w:ascii="Arial" w:cs="Arial" w:eastAsia="Arial" w:hAnsi="Arial"/>
          <w:sz w:val="17"/>
          <w:szCs w:val="17"/>
          <w:color w:val="auto"/>
        </w:rPr>
        <w:t xml:space="preserve"> into the FASB Codification. It is not expected to have a material impact on United’s results of operations, financial position or disclosures.</w:t>
      </w:r>
    </w:p>
    <w:p>
      <w:pPr>
        <w:spacing w:after="0" w:line="200"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color w:val="auto"/>
        </w:rPr>
        <w:t xml:space="preserve">In January 2010, the FASB issued Accounting Standards Update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(“ASU No. 2010-06”). ASU No. 2010-06 amends FASB ASC Topic 820-10-50,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 require additional information to be disclosed principally regarding Level 3 measurements and transfers to and from Level 1 and 2. In addition, enhanced disclosure is required concerning inputs and valuation techniques used to determine Level 2 and Level 3 measurements. This guidance is generally effective for interim and annual reporting periods beginning after December 15, 2009; however, requirements to disclose separately purchases, sales, issuances, and settlements in the Level 3 reconciliation are effective for fiscal years beginning after December 15, 2010 (and for interim periods within such years). ASU No. 2010-06 is not expected to have a material impact on United’s results of operations or financial position, and will have a minimal impact on its disclosures.</w:t>
      </w:r>
    </w:p>
    <w:p>
      <w:pPr>
        <w:spacing w:after="0" w:line="19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 xml:space="preserve">In January 2010, the FASB issued Accounting Standards Update No. 2010-07, </w:t>
      </w:r>
      <w:r>
        <w:rPr>
          <w:rFonts w:ascii="Arial" w:cs="Arial" w:eastAsia="Arial" w:hAnsi="Arial"/>
          <w:sz w:val="18"/>
          <w:szCs w:val="18"/>
          <w:i w:val="1"/>
          <w:iCs w:val="1"/>
          <w:color w:val="auto"/>
        </w:rPr>
        <w:t>Not-for-Profit Entities: Mergers and Acquisitions</w:t>
      </w:r>
      <w:r>
        <w:rPr>
          <w:rFonts w:ascii="Arial" w:cs="Arial" w:eastAsia="Arial" w:hAnsi="Arial"/>
          <w:sz w:val="18"/>
          <w:szCs w:val="18"/>
          <w:color w:val="auto"/>
        </w:rPr>
        <w:t xml:space="preserve"> (“ASU No. 2010-07”). This guidance is not expected to have an impact on United.</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 xml:space="preserve">In February 2010, the FASB issued Accounting Standards Update No. 2010-08, </w:t>
      </w:r>
      <w:r>
        <w:rPr>
          <w:rFonts w:ascii="Arial" w:cs="Arial" w:eastAsia="Arial" w:hAnsi="Arial"/>
          <w:sz w:val="18"/>
          <w:szCs w:val="18"/>
          <w:i w:val="1"/>
          <w:iCs w:val="1"/>
          <w:color w:val="auto"/>
        </w:rPr>
        <w:t>Technical Corrections to Various Topics</w:t>
      </w:r>
      <w:r>
        <w:rPr>
          <w:rFonts w:ascii="Arial" w:cs="Arial" w:eastAsia="Arial" w:hAnsi="Arial"/>
          <w:sz w:val="18"/>
          <w:szCs w:val="18"/>
          <w:color w:val="auto"/>
        </w:rPr>
        <w:t>, (“ASU No. 2010-08”). This Accounting Standards Update clarifies the guidance on embedded derivatives and hedging (Subtopic 815-15) by eliminating inconsistencies and outdated provisions. ASU No. 2010-08 is effective for United in the first quarter of 2010 and is not expected to have a material impact on United’s results of operations, financial position or disclosures.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7"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On June 19, 2009, the Bank purchased substantially all the assets and assumed substantially all the liabilities of Southern Community Bank (“SCB”) from the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on June 19, 2009. The transaction resulted in a cash payment of $31 million from the FDIC to the Bank. Further, the Bank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211"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 xml:space="preserve">The SCB acquisition was accounted for under the purchase method of accounting in accordance with Accounting Standards Codification Topic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The statement of net assets acquired as of June 19, 2009 and the resulting gain from acquisition are presented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Southern</w:t>
            </w:r>
          </w:p>
        </w:tc>
      </w:tr>
      <w:tr>
        <w:trPr>
          <w:trHeight w:val="216"/>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Community</w:t>
            </w:r>
          </w:p>
        </w:tc>
      </w:tr>
      <w:tr>
        <w:trPr>
          <w:trHeight w:val="241"/>
        </w:trPr>
        <w:tc>
          <w:tcPr>
            <w:tcW w:w="7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Bank</w:t>
            </w:r>
          </w:p>
        </w:tc>
      </w:tr>
      <w:tr>
        <w:trPr>
          <w:trHeight w:val="418"/>
        </w:trPr>
        <w:tc>
          <w:tcPr>
            <w:tcW w:w="7940" w:type="dxa"/>
            <w:vAlign w:val="bottom"/>
          </w:tcPr>
          <w:p>
            <w:pPr>
              <w:spacing w:after="0"/>
              <w:rPr>
                <w:sz w:val="20"/>
                <w:szCs w:val="20"/>
                <w:color w:val="auto"/>
              </w:rPr>
            </w:pPr>
            <w:r>
              <w:rPr>
                <w:rFonts w:ascii="Arial" w:cs="Arial" w:eastAsia="Arial" w:hAnsi="Arial"/>
                <w:sz w:val="18"/>
                <w:szCs w:val="18"/>
                <w:color w:val="auto"/>
              </w:rPr>
              <w:t>Assets acquired: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94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63,617</w:t>
            </w:r>
          </w:p>
        </w:tc>
      </w:tr>
      <w:tr>
        <w:trPr>
          <w:trHeight w:val="230"/>
        </w:trPr>
        <w:tc>
          <w:tcPr>
            <w:tcW w:w="7940" w:type="dxa"/>
            <w:vAlign w:val="bottom"/>
          </w:tcPr>
          <w:p>
            <w:pPr>
              <w:ind w:left="280"/>
              <w:spacing w:after="0"/>
              <w:rPr>
                <w:sz w:val="20"/>
                <w:szCs w:val="20"/>
                <w:color w:val="auto"/>
              </w:rPr>
            </w:pPr>
            <w:r>
              <w:rPr>
                <w:rFonts w:ascii="Arial" w:cs="Arial" w:eastAsia="Arial" w:hAnsi="Arial"/>
                <w:sz w:val="18"/>
                <w:szCs w:val="18"/>
                <w:color w:val="auto"/>
              </w:rPr>
              <w:t>Securities available for sale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80,149</w:t>
            </w:r>
          </w:p>
        </w:tc>
      </w:tr>
      <w:tr>
        <w:trPr>
          <w:trHeight w:val="418"/>
        </w:trPr>
        <w:tc>
          <w:tcPr>
            <w:tcW w:w="7940" w:type="dxa"/>
            <w:vAlign w:val="bottom"/>
          </w:tcPr>
          <w:p>
            <w:pPr>
              <w:ind w:left="280"/>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110,023</w:t>
            </w:r>
          </w:p>
        </w:tc>
      </w:tr>
      <w:tr>
        <w:trPr>
          <w:trHeight w:val="216"/>
        </w:trPr>
        <w:tc>
          <w:tcPr>
            <w:tcW w:w="7940" w:type="dxa"/>
            <w:vAlign w:val="bottom"/>
          </w:tcPr>
          <w:p>
            <w:pPr>
              <w:ind w:left="280"/>
              <w:spacing w:after="0"/>
              <w:rPr>
                <w:sz w:val="20"/>
                <w:szCs w:val="20"/>
                <w:color w:val="auto"/>
              </w:rPr>
            </w:pPr>
            <w:r>
              <w:rPr>
                <w:rFonts w:ascii="Arial" w:cs="Arial" w:eastAsia="Arial" w:hAnsi="Arial"/>
                <w:sz w:val="18"/>
                <w:szCs w:val="18"/>
                <w:color w:val="auto"/>
              </w:rPr>
              <w:t>Foreclosed property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25,913</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Estimated loss reimbursement from the FDIC</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94,550</w:t>
            </w:r>
          </w:p>
        </w:tc>
      </w:tr>
      <w:tr>
        <w:trPr>
          <w:trHeight w:val="202"/>
        </w:trPr>
        <w:tc>
          <w:tcPr>
            <w:tcW w:w="7940" w:type="dxa"/>
            <w:vAlign w:val="bottom"/>
          </w:tcPr>
          <w:p>
            <w:pPr>
              <w:ind w:left="520"/>
              <w:spacing w:after="0" w:line="201" w:lineRule="exact"/>
              <w:rPr>
                <w:sz w:val="20"/>
                <w:szCs w:val="20"/>
                <w:color w:val="auto"/>
              </w:rPr>
            </w:pPr>
            <w:r>
              <w:rPr>
                <w:rFonts w:ascii="Arial" w:cs="Arial" w:eastAsia="Arial" w:hAnsi="Arial"/>
                <w:sz w:val="18"/>
                <w:szCs w:val="18"/>
                <w:color w:val="auto"/>
              </w:rPr>
              <w:t>Covered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230,486</w:t>
            </w:r>
          </w:p>
        </w:tc>
      </w:tr>
      <w:tr>
        <w:trPr>
          <w:trHeight w:val="216"/>
        </w:trPr>
        <w:tc>
          <w:tcPr>
            <w:tcW w:w="7940" w:type="dxa"/>
            <w:vAlign w:val="bottom"/>
          </w:tcPr>
          <w:p>
            <w:pPr>
              <w:ind w:left="280"/>
              <w:spacing w:after="0"/>
              <w:rPr>
                <w:sz w:val="20"/>
                <w:szCs w:val="20"/>
                <w:color w:val="auto"/>
              </w:rPr>
            </w:pPr>
            <w:r>
              <w:rPr>
                <w:rFonts w:ascii="Arial" w:cs="Arial" w:eastAsia="Arial" w:hAnsi="Arial"/>
                <w:sz w:val="18"/>
                <w:szCs w:val="18"/>
                <w:color w:val="auto"/>
              </w:rPr>
              <w:t>Core deposit intangible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Accrued interest receivable and other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r>
      <w:tr>
        <w:trPr>
          <w:trHeight w:val="223"/>
        </w:trPr>
        <w:tc>
          <w:tcPr>
            <w:tcW w:w="7940" w:type="dxa"/>
            <w:vAlign w:val="bottom"/>
          </w:tcPr>
          <w:p>
            <w:pPr>
              <w:ind w:left="50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378,186</w:t>
            </w:r>
          </w:p>
        </w:tc>
      </w:tr>
      <w:tr>
        <w:trPr>
          <w:trHeight w:val="418"/>
        </w:trPr>
        <w:tc>
          <w:tcPr>
            <w:tcW w:w="794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940" w:type="dxa"/>
            <w:vAlign w:val="bottom"/>
          </w:tcPr>
          <w:p>
            <w:pPr>
              <w:ind w:left="28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309,437</w:t>
            </w:r>
          </w:p>
        </w:tc>
      </w:tr>
      <w:tr>
        <w:trPr>
          <w:trHeight w:val="216"/>
        </w:trPr>
        <w:tc>
          <w:tcPr>
            <w:tcW w:w="7940" w:type="dxa"/>
            <w:vAlign w:val="bottom"/>
          </w:tcPr>
          <w:p>
            <w:pPr>
              <w:ind w:left="280"/>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53,416</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Accrued interest payable and other 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r>
      <w:tr>
        <w:trPr>
          <w:trHeight w:val="223"/>
        </w:trPr>
        <w:tc>
          <w:tcPr>
            <w:tcW w:w="7940" w:type="dxa"/>
            <w:vAlign w:val="bottom"/>
          </w:tcPr>
          <w:p>
            <w:pPr>
              <w:ind w:left="500"/>
              <w:spacing w:after="0"/>
              <w:rPr>
                <w:sz w:val="20"/>
                <w:szCs w:val="20"/>
                <w:color w:val="auto"/>
              </w:rPr>
            </w:pPr>
            <w:r>
              <w:rPr>
                <w:rFonts w:ascii="Arial" w:cs="Arial" w:eastAsia="Arial" w:hAnsi="Arial"/>
                <w:sz w:val="18"/>
                <w:szCs w:val="18"/>
                <w:color w:val="auto"/>
              </w:rPr>
              <w:t>Total liabilities assumed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366,796</w:t>
            </w: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Net assets acquired / gain from acquisition</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r>
      <w:tr>
        <w:trPr>
          <w:trHeight w:val="21"/>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purchased assets and assumed liabilities were recorded at their respective acquisition date fair values and identifiable intangible assets were recorded at fair value. Fair values are preliminary and subject to refinement for up to one year after the closing date of a merger, as information becomes available relative to closing date fair values. A gain totaling $11.4 million resulted from the acquisition and is included as a component of fee revenue on the consolidated statement of income for the year ended December 31, 2009. The amount of the gain is equal to the amount by which the fair value of assets purchased exceeded the fair value of liabilities assumed. The results of operations prior to the acquisition are not included in United’s consolidated statement of income.</w:t>
      </w:r>
    </w:p>
    <w:p>
      <w:pPr>
        <w:spacing w:after="0" w:line="22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United made significant estimates and exercised significant judgment in accounting for the acquisition of SCB. Management engaged an independent third party to assist in determining the value of SCB’s loans. United also recorded an identifiable intangible asset representing the value of the core deposit customer base of SCB. In determining the value of the identifiable intangible asset, United estimated the average lives of depository accounts, future interest rate levels, the cost of servicing various deposit products, and other significant items. Management used quoted market prices and observable data to determine the fair value of investment securities. The fair values of FHLB advances, certificates of deposit and other borrowings that were assumed from SCB were determined based on discounted cash flows at current rates for similar instruments.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7" w:lineRule="exact"/>
        <w:rPr>
          <w:sz w:val="20"/>
          <w:szCs w:val="20"/>
          <w:color w:val="auto"/>
        </w:rPr>
      </w:pPr>
    </w:p>
    <w:p>
      <w:pPr>
        <w:jc w:val="both"/>
        <w:ind w:left="500"/>
        <w:spacing w:after="0" w:line="286" w:lineRule="auto"/>
        <w:rPr>
          <w:sz w:val="20"/>
          <w:szCs w:val="20"/>
          <w:color w:val="auto"/>
        </w:rPr>
      </w:pPr>
      <w:r>
        <w:rPr>
          <w:rFonts w:ascii="Arial" w:cs="Arial" w:eastAsia="Arial" w:hAnsi="Arial"/>
          <w:sz w:val="16"/>
          <w:szCs w:val="16"/>
          <w:color w:val="auto"/>
        </w:rPr>
        <w:t xml:space="preserve">Purchased loans acquired in a business combination are recorded at estimated fair value on their purchase date. The carryover of the related allowance for loan losses is prohibited. Purchased loans are accounted for under Accounting Standards Codification Topic 310, Subtopic 30, </w:t>
      </w:r>
      <w:r>
        <w:rPr>
          <w:rFonts w:ascii="Arial" w:cs="Arial" w:eastAsia="Arial" w:hAnsi="Arial"/>
          <w:sz w:val="16"/>
          <w:szCs w:val="16"/>
          <w:i w:val="1"/>
          <w:iCs w:val="1"/>
          <w:color w:val="auto"/>
        </w:rPr>
        <w:t>Loans or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Acquired with Deteriorated Credit Quality </w:t>
      </w:r>
      <w:r>
        <w:rPr>
          <w:rFonts w:ascii="Arial" w:cs="Arial" w:eastAsia="Arial" w:hAnsi="Arial"/>
          <w:sz w:val="16"/>
          <w:szCs w:val="16"/>
          <w:color w:val="auto"/>
        </w:rPr>
        <w:t>(“ASC 310-30”), when the loans have evidence of credit deterioration since origination and it is</w:t>
      </w:r>
      <w:r>
        <w:rPr>
          <w:rFonts w:ascii="Arial" w:cs="Arial" w:eastAsia="Arial" w:hAnsi="Arial"/>
          <w:sz w:val="16"/>
          <w:szCs w:val="16"/>
          <w:i w:val="1"/>
          <w:iCs w:val="1"/>
          <w:color w:val="auto"/>
        </w:rPr>
        <w:t xml:space="preserve"> </w:t>
      </w:r>
      <w:r>
        <w:rPr>
          <w:rFonts w:ascii="Arial" w:cs="Arial" w:eastAsia="Arial" w:hAnsi="Arial"/>
          <w:sz w:val="16"/>
          <w:szCs w:val="16"/>
          <w:color w:val="auto"/>
        </w:rPr>
        <w:t>probable at the date of acquisition that United will not collect all contractually required principal and interest payments. Evidence of credit quality deterioration as of the purchase date may include statistics such as past due and non-accrual status. Generally, acquired loans that meet United’s definition of non-accrual status fall within the scope of ASC 310-30. The difference between contractually required payments at acquisition and the cash flows expected to be collected at acquisition is referred to as the non-accretable difference, which is deducted from the carrying amount of loans. Subsequent decreases to the expected cash flows will generally result in a provision for loan losses. Subsequent increases in cash flows result in a reversal of the provision for loan losses to the extent of prior charges or a reversal of the non-accretable difference with a positive impact on interest revenue. Further, any excess of cash flows expected at acquisition over the estimated fair value is referred to as the accretable yield and is recognized into interest revenue over the remaining life of the loan, when there is reasonable expectation about the amount and timing of such cash flows.</w:t>
      </w:r>
    </w:p>
    <w:p>
      <w:pPr>
        <w:spacing w:after="0" w:line="194"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Under the loss sharing agreements, the portion of the losses expected to be indemnified by the FDIC is considered an indemnification asset in accordance with ASC 805.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which calls for the FDIC to reimburse 80 percent of the losses on acquired loans and foreclosed properties up to $109 million, and 95 percent of any losses that exceed $109 million. The indemnification asset is expected to be collected over a four year average life. No valuation allowance was required.</w:t>
      </w:r>
    </w:p>
    <w:p>
      <w:pPr>
        <w:spacing w:after="0" w:line="20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 The table below shows the components of covered assets at December 31, 2009:</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82"/>
              </w:rPr>
              <w:t>Purchased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tcPr>
          <w:p>
            <w:pPr>
              <w:ind w:left="1540"/>
              <w:spacing w:after="0"/>
              <w:rPr>
                <w:sz w:val="20"/>
                <w:szCs w:val="20"/>
                <w:color w:val="auto"/>
              </w:rPr>
            </w:pPr>
            <w:r>
              <w:rPr>
                <w:rFonts w:ascii="Arial" w:cs="Arial" w:eastAsia="Arial" w:hAnsi="Arial"/>
                <w:sz w:val="18"/>
                <w:szCs w:val="18"/>
                <w:b w:val="1"/>
                <w:bCs w:val="1"/>
                <w:color w:val="auto"/>
              </w:rPr>
              <w:t>Assets Covered by Loss Sharing Agreements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Impaired</w:t>
            </w:r>
          </w:p>
        </w:tc>
        <w:tc>
          <w:tcPr>
            <w:tcW w:w="34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Purchased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46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with the FDIC</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Loans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Loans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418"/>
        </w:trPr>
        <w:tc>
          <w:tcPr>
            <w:tcW w:w="646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8,731</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15,967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24,698</w:t>
            </w:r>
          </w:p>
        </w:tc>
      </w:tr>
      <w:tr>
        <w:trPr>
          <w:trHeight w:val="216"/>
        </w:trPr>
        <w:tc>
          <w:tcPr>
            <w:tcW w:w="6460" w:type="dxa"/>
            <w:vAlign w:val="bottom"/>
          </w:tcPr>
          <w:p>
            <w:pPr>
              <w:ind w:left="60"/>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40,564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40,564</w:t>
            </w:r>
          </w:p>
        </w:tc>
      </w:tr>
      <w:tr>
        <w:trPr>
          <w:trHeight w:val="216"/>
        </w:trPr>
        <w:tc>
          <w:tcPr>
            <w:tcW w:w="6460" w:type="dxa"/>
            <w:vAlign w:val="bottom"/>
          </w:tcPr>
          <w:p>
            <w:pPr>
              <w:ind w:left="60"/>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11,318</w:t>
            </w:r>
          </w:p>
        </w:tc>
        <w:tc>
          <w:tcPr>
            <w:tcW w:w="20" w:type="dxa"/>
            <w:vAlign w:val="bottom"/>
          </w:tcPr>
          <w:p>
            <w:pPr>
              <w:spacing w:after="0"/>
              <w:rPr>
                <w:sz w:val="18"/>
                <w:szCs w:val="18"/>
                <w:color w:val="auto"/>
              </w:rPr>
            </w:pPr>
          </w:p>
        </w:tc>
      </w:tr>
      <w:tr>
        <w:trPr>
          <w:trHeight w:val="216"/>
        </w:trPr>
        <w:tc>
          <w:tcPr>
            <w:tcW w:w="6460" w:type="dxa"/>
            <w:vAlign w:val="bottom"/>
          </w:tcPr>
          <w:p>
            <w:pPr>
              <w:ind w:left="60"/>
              <w:spacing w:after="0"/>
              <w:rPr>
                <w:sz w:val="20"/>
                <w:szCs w:val="20"/>
                <w:color w:val="auto"/>
              </w:rPr>
            </w:pPr>
            <w:r>
              <w:rPr>
                <w:rFonts w:ascii="Arial" w:cs="Arial" w:eastAsia="Arial" w:hAnsi="Arial"/>
                <w:sz w:val="18"/>
                <w:szCs w:val="18"/>
                <w:color w:val="auto"/>
              </w:rPr>
              <w:t>Commercial &amp; industrial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7,728</w:t>
            </w:r>
          </w:p>
        </w:tc>
        <w:tc>
          <w:tcPr>
            <w:tcW w:w="20" w:type="dxa"/>
            <w:vAlign w:val="bottom"/>
          </w:tcPr>
          <w:p>
            <w:pPr>
              <w:spacing w:after="0"/>
              <w:rPr>
                <w:sz w:val="18"/>
                <w:szCs w:val="18"/>
                <w:color w:val="auto"/>
              </w:rPr>
            </w:pPr>
          </w:p>
        </w:tc>
      </w:tr>
      <w:tr>
        <w:trPr>
          <w:trHeight w:val="237"/>
        </w:trPr>
        <w:tc>
          <w:tcPr>
            <w:tcW w:w="6460" w:type="dxa"/>
            <w:vAlign w:val="bottom"/>
          </w:tcPr>
          <w:p>
            <w:pPr>
              <w:ind w:left="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r>
      <w:tr>
        <w:trPr>
          <w:trHeight w:val="202"/>
        </w:trPr>
        <w:tc>
          <w:tcPr>
            <w:tcW w:w="6460" w:type="dxa"/>
            <w:vAlign w:val="bottom"/>
          </w:tcPr>
          <w:p>
            <w:pPr>
              <w:ind w:left="280"/>
              <w:spacing w:after="0" w:line="201" w:lineRule="exact"/>
              <w:rPr>
                <w:sz w:val="20"/>
                <w:szCs w:val="20"/>
                <w:color w:val="auto"/>
              </w:rPr>
            </w:pPr>
            <w:r>
              <w:rPr>
                <w:rFonts w:ascii="Arial" w:cs="Arial" w:eastAsia="Arial" w:hAnsi="Arial"/>
                <w:sz w:val="18"/>
                <w:szCs w:val="18"/>
                <w:color w:val="auto"/>
              </w:rPr>
              <w:t>Total covered loans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9,236</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75,861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85,097</w:t>
            </w:r>
          </w:p>
        </w:tc>
        <w:tc>
          <w:tcPr>
            <w:tcW w:w="20" w:type="dxa"/>
            <w:vAlign w:val="bottom"/>
          </w:tcPr>
          <w:p>
            <w:pPr>
              <w:spacing w:after="0"/>
              <w:rPr>
                <w:sz w:val="17"/>
                <w:szCs w:val="17"/>
                <w:color w:val="auto"/>
              </w:rPr>
            </w:pPr>
          </w:p>
        </w:tc>
      </w:tr>
      <w:tr>
        <w:trPr>
          <w:trHeight w:val="216"/>
        </w:trPr>
        <w:tc>
          <w:tcPr>
            <w:tcW w:w="6460" w:type="dxa"/>
            <w:vAlign w:val="bottom"/>
          </w:tcPr>
          <w:p>
            <w:pPr>
              <w:ind w:left="60"/>
              <w:spacing w:after="0"/>
              <w:rPr>
                <w:sz w:val="20"/>
                <w:szCs w:val="20"/>
                <w:color w:val="auto"/>
              </w:rPr>
            </w:pPr>
            <w:r>
              <w:rPr>
                <w:rFonts w:ascii="Arial" w:cs="Arial" w:eastAsia="Arial" w:hAnsi="Arial"/>
                <w:sz w:val="18"/>
                <w:szCs w:val="18"/>
                <w:color w:val="auto"/>
              </w:rPr>
              <w:t>Covered foreclosed property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33,882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33,882</w:t>
            </w:r>
          </w:p>
        </w:tc>
      </w:tr>
      <w:tr>
        <w:trPr>
          <w:trHeight w:val="237"/>
        </w:trPr>
        <w:tc>
          <w:tcPr>
            <w:tcW w:w="6460" w:type="dxa"/>
            <w:vAlign w:val="bottom"/>
          </w:tcPr>
          <w:p>
            <w:pPr>
              <w:ind w:left="60"/>
              <w:spacing w:after="0"/>
              <w:rPr>
                <w:sz w:val="20"/>
                <w:szCs w:val="20"/>
                <w:color w:val="auto"/>
              </w:rPr>
            </w:pPr>
            <w:r>
              <w:rPr>
                <w:rFonts w:ascii="Arial" w:cs="Arial" w:eastAsia="Arial" w:hAnsi="Arial"/>
                <w:sz w:val="18"/>
                <w:szCs w:val="18"/>
                <w:color w:val="auto"/>
              </w:rPr>
              <w:t>Estimated loss reimbursement from the FDIC</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66,959</w:t>
            </w:r>
          </w:p>
        </w:tc>
      </w:tr>
      <w:tr>
        <w:trPr>
          <w:trHeight w:val="216"/>
        </w:trPr>
        <w:tc>
          <w:tcPr>
            <w:tcW w:w="6460" w:type="dxa"/>
            <w:vAlign w:val="bottom"/>
          </w:tcPr>
          <w:p>
            <w:pPr>
              <w:ind w:left="280"/>
              <w:spacing w:after="0"/>
              <w:rPr>
                <w:sz w:val="20"/>
                <w:szCs w:val="20"/>
                <w:color w:val="auto"/>
              </w:rPr>
            </w:pPr>
            <w:r>
              <w:rPr>
                <w:rFonts w:ascii="Arial" w:cs="Arial" w:eastAsia="Arial" w:hAnsi="Arial"/>
                <w:sz w:val="18"/>
                <w:szCs w:val="18"/>
                <w:color w:val="auto"/>
              </w:rPr>
              <w:t>Total covered assets</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9,236</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100,841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185,938</w:t>
            </w:r>
          </w:p>
        </w:tc>
        <w:tc>
          <w:tcPr>
            <w:tcW w:w="20" w:type="dxa"/>
            <w:vAlign w:val="bottom"/>
          </w:tcPr>
          <w:p>
            <w:pPr>
              <w:spacing w:after="0"/>
              <w:rPr>
                <w:sz w:val="18"/>
                <w:szCs w:val="18"/>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208"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On the acquisition date, the preliminary estimate of the contractually required payments receivable for all ASC 310-30 loans acquired was $70.8 million, the cash flows expected to be collected were $24.5 million including interest, and the estimated fair value of the loans was $23.6 million. These amounts were determined based upon the estimated remaining life of the underlying loans, which includes the effects of estimated prepayments. At December 31, 2009, a majority of these loans were valued based on the liquidation value of the underlying collateral, because the expected cash flows are primarily based on the liquidation of the underlying collateral and the timing and amount of the cash flows could not be reasonably estimated. Certain amounts related to the ASC 310-30 loans are preliminary estimates and adjustments in future quarters may occur up to one year from the date of acquisition.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7"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On June 1, 2007, United acquired 100 percent of the outstanding common shares of Gwinnett Commercial Group, Inc. (“Gwinnett”), a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continued to expand its presence in metropolitan Atlanta and the acquisition of Gwinnett accomplished a long-standing strategic goal of encircling metro Atlanta.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209"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Core deposit intangibles related to the acquisitions are being amortized over a period of 10 years. Goodwill resulting from the acquisition of Gwinnett in 2007 will not be amortized or deductible for tax purposes.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reconciliation of the accrued merger costs is presented below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92"/>
              </w:rPr>
              <w:t>Amounts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Beginning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Purchase</w:t>
            </w:r>
          </w:p>
        </w:tc>
        <w:tc>
          <w:tcPr>
            <w:tcW w:w="1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Charged to</w:t>
            </w:r>
          </w:p>
        </w:tc>
        <w:tc>
          <w:tcPr>
            <w:tcW w:w="3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Amounts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6"/>
              </w:rPr>
              <w:t>Ending</w:t>
            </w:r>
          </w:p>
        </w:tc>
        <w:tc>
          <w:tcPr>
            <w:tcW w:w="0" w:type="dxa"/>
            <w:vAlign w:val="bottom"/>
          </w:tcPr>
          <w:p>
            <w:pPr>
              <w:spacing w:after="0"/>
              <w:rPr>
                <w:sz w:val="1"/>
                <w:szCs w:val="1"/>
                <w:color w:val="auto"/>
              </w:rPr>
            </w:pPr>
          </w:p>
        </w:tc>
      </w:tr>
      <w:tr>
        <w:trPr>
          <w:trHeight w:val="190"/>
        </w:trPr>
        <w:tc>
          <w:tcPr>
            <w:tcW w:w="4640" w:type="dxa"/>
            <w:vAlign w:val="bottom"/>
            <w:gridSpan w:val="3"/>
          </w:tcPr>
          <w:p>
            <w:pPr>
              <w:ind w:left="2020"/>
              <w:spacing w:after="0" w:line="190"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0"/>
              <w:spacing w:after="0" w:line="190" w:lineRule="exact"/>
              <w:rPr>
                <w:sz w:val="20"/>
                <w:szCs w:val="20"/>
                <w:color w:val="auto"/>
              </w:rPr>
            </w:pPr>
            <w:r>
              <w:rPr>
                <w:rFonts w:ascii="Arial" w:cs="Arial" w:eastAsia="Arial" w:hAnsi="Arial"/>
                <w:sz w:val="18"/>
                <w:szCs w:val="18"/>
                <w:color w:val="auto"/>
                <w:w w:val="86"/>
              </w:rPr>
              <w:t>Balance</w:t>
            </w:r>
          </w:p>
        </w:tc>
        <w:tc>
          <w:tcPr>
            <w:tcW w:w="320" w:type="dxa"/>
            <w:vAlign w:val="bottom"/>
          </w:tcPr>
          <w:p>
            <w:pPr>
              <w:spacing w:after="0"/>
              <w:rPr>
                <w:sz w:val="16"/>
                <w:szCs w:val="16"/>
                <w:color w:val="auto"/>
              </w:rPr>
            </w:pPr>
          </w:p>
        </w:tc>
        <w:tc>
          <w:tcPr>
            <w:tcW w:w="1140" w:type="dxa"/>
            <w:vAlign w:val="bottom"/>
            <w:gridSpan w:val="3"/>
          </w:tcPr>
          <w:p>
            <w:pPr>
              <w:jc w:val="right"/>
              <w:ind w:right="220"/>
              <w:spacing w:after="0" w:line="190" w:lineRule="exact"/>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90"/>
              </w:rPr>
              <w:t>Earnings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auto"/>
              </w:rPr>
              <w:t>Paid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0"/>
              <w:spacing w:after="0" w:line="190" w:lineRule="exact"/>
              <w:rPr>
                <w:sz w:val="20"/>
                <w:szCs w:val="20"/>
                <w:color w:val="auto"/>
              </w:rPr>
            </w:pPr>
            <w:r>
              <w:rPr>
                <w:rFonts w:ascii="Arial" w:cs="Arial" w:eastAsia="Arial" w:hAnsi="Arial"/>
                <w:sz w:val="18"/>
                <w:szCs w:val="18"/>
                <w:color w:val="auto"/>
                <w:w w:val="86"/>
              </w:rPr>
              <w:t>Balance</w:t>
            </w:r>
          </w:p>
        </w:tc>
        <w:tc>
          <w:tcPr>
            <w:tcW w:w="0" w:type="dxa"/>
            <w:vAlign w:val="bottom"/>
          </w:tcPr>
          <w:p>
            <w:pPr>
              <w:spacing w:after="0"/>
              <w:rPr>
                <w:sz w:val="1"/>
                <w:szCs w:val="1"/>
                <w:color w:val="auto"/>
              </w:rPr>
            </w:pPr>
          </w:p>
        </w:tc>
      </w:tr>
      <w:tr>
        <w:trPr>
          <w:trHeight w:val="28"/>
        </w:trPr>
        <w:tc>
          <w:tcPr>
            <w:tcW w:w="2020" w:type="dxa"/>
            <w:vAlign w:val="bottom"/>
            <w:vMerge w:val="restart"/>
          </w:tcPr>
          <w:p>
            <w:pPr>
              <w:spacing w:after="0"/>
              <w:rPr>
                <w:sz w:val="20"/>
                <w:szCs w:val="20"/>
                <w:color w:val="auto"/>
              </w:rPr>
            </w:pPr>
            <w:r>
              <w:rPr>
                <w:rFonts w:ascii="Arial" w:cs="Arial" w:eastAsia="Arial" w:hAnsi="Arial"/>
                <w:sz w:val="18"/>
                <w:szCs w:val="18"/>
                <w:color w:val="auto"/>
                <w:w w:val="87"/>
              </w:rPr>
              <w:t>Severance and related costs</w:t>
            </w:r>
          </w:p>
        </w:tc>
        <w:tc>
          <w:tcPr>
            <w:tcW w:w="360" w:type="dxa"/>
            <w:vAlign w:val="bottom"/>
            <w:tcBorders>
              <w:top w:val="single" w:sz="8" w:color="auto"/>
              <w:bottom w:val="single" w:sz="8" w:color="auto"/>
            </w:tcBorders>
            <w:vMerge w:val="restart"/>
          </w:tcPr>
          <w:p>
            <w:pPr>
              <w:spacing w:after="0"/>
              <w:rPr>
                <w:sz w:val="2"/>
                <w:szCs w:val="2"/>
                <w:color w:val="auto"/>
              </w:rPr>
            </w:pPr>
          </w:p>
        </w:tc>
        <w:tc>
          <w:tcPr>
            <w:tcW w:w="22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22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vMerge w:val="continue"/>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ind w:left="202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w w:val="87"/>
              </w:rPr>
              <w:t>Severance and related costs</w:t>
            </w:r>
          </w:p>
        </w:tc>
        <w:tc>
          <w:tcPr>
            <w:tcW w:w="360" w:type="dxa"/>
            <w:vAlign w:val="bottom"/>
            <w:tcBorders>
              <w:top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ind w:left="202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w w:val="87"/>
              </w:rPr>
              <w:t>Severance and related costs</w:t>
            </w:r>
          </w:p>
        </w:tc>
        <w:tc>
          <w:tcPr>
            <w:tcW w:w="360" w:type="dxa"/>
            <w:vAlign w:val="bottom"/>
            <w:tcBorders>
              <w:top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Contract termination costs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United paid approximately $177 million, $227 million and $276 million in interest on deposits and other borrowings during 2009, 2008 and 2007, respectively. In connection with United’s 2009 acquisition of SCB, assets with a fair value of $378 million were acquired and liabilities totaling approximately $367 million were assumed. In connection with United’s 2007 acquisition of Gwinnett, assets having a fair value of approximately $809 million were acquired and liabilities totaling approximately $595 million were assumed.</w:t>
      </w:r>
    </w:p>
    <w:p>
      <w:pPr>
        <w:spacing w:after="0" w:line="2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2009, 2008 and 2007, non-accrual loans having a value of $239.8 million, $132.0 million and $62.7 million, respectively, were transferred to other real estate. Also, during 2009, 2008 and 2007, United financed the sale of other real estate properties with loans totaling $10.8 million, $10.5 million and $8.3 million, respectively. Loans made by United to finance the sale of other real estate were made on terms substantially the same as other loans made by United.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w:t>
      </w:r>
    </w:p>
    <w:p>
      <w:pPr>
        <w:spacing w:after="0" w:line="27"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December 31, 2009 and 2008 are listed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5"/>
              </w:rPr>
              <w:t>Gross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w w:val="95"/>
              </w:rPr>
              <w:t>Gross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6"/>
              </w:rPr>
              <w:t>Amortized</w:t>
            </w:r>
          </w:p>
        </w:tc>
        <w:tc>
          <w:tcPr>
            <w:tcW w:w="2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0"/>
              </w:rPr>
              <w:t>Unrealized</w:t>
            </w:r>
          </w:p>
        </w:tc>
        <w:tc>
          <w:tcPr>
            <w:tcW w:w="2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2"/>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As of December 31, 2009</w:t>
            </w:r>
          </w:p>
        </w:tc>
        <w:tc>
          <w:tcPr>
            <w:tcW w:w="4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Cost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Gains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Losses</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18"/>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248,425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246,466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63,293</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1,156,035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1,197,222</w:t>
            </w:r>
          </w:p>
        </w:tc>
        <w:tc>
          <w:tcPr>
            <w:tcW w:w="0" w:type="dxa"/>
            <w:vAlign w:val="bottom"/>
          </w:tcPr>
          <w:p>
            <w:pPr>
              <w:spacing w:after="0"/>
              <w:rPr>
                <w:sz w:val="1"/>
                <w:szCs w:val="1"/>
                <w:color w:val="auto"/>
              </w:rPr>
            </w:pPr>
          </w:p>
        </w:tc>
      </w:tr>
      <w:tr>
        <w:trPr>
          <w:trHeight w:val="237"/>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432"/>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1,489,207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44,974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1,530,047</w:t>
            </w:r>
          </w:p>
        </w:tc>
        <w:tc>
          <w:tcPr>
            <w:tcW w:w="0" w:type="dxa"/>
            <w:vAlign w:val="bottom"/>
          </w:tcPr>
          <w:p>
            <w:pPr>
              <w:spacing w:after="0"/>
              <w:rPr>
                <w:sz w:val="1"/>
                <w:szCs w:val="1"/>
                <w:color w:val="auto"/>
              </w:rPr>
            </w:pPr>
          </w:p>
        </w:tc>
      </w:tr>
      <w:tr>
        <w:trPr>
          <w:trHeight w:val="21"/>
        </w:trPr>
        <w:tc>
          <w:tcPr>
            <w:tcW w:w="1880" w:type="dxa"/>
            <w:vAlign w:val="bottom"/>
            <w:vMerge w:val="restart"/>
          </w:tcPr>
          <w:p>
            <w:pPr>
              <w:spacing w:after="0"/>
              <w:rPr>
                <w:sz w:val="20"/>
                <w:szCs w:val="20"/>
                <w:color w:val="auto"/>
              </w:rPr>
            </w:pPr>
            <w:r>
              <w:rPr>
                <w:rFonts w:ascii="Arial" w:cs="Arial" w:eastAsia="Arial" w:hAnsi="Arial"/>
                <w:sz w:val="18"/>
                <w:szCs w:val="18"/>
                <w:color w:val="auto"/>
                <w:w w:val="91"/>
              </w:rPr>
              <w:t>As of December 31, 2008</w:t>
            </w:r>
          </w:p>
        </w:tc>
        <w:tc>
          <w:tcPr>
            <w:tcW w:w="41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1880" w:type="dxa"/>
            <w:vAlign w:val="bottom"/>
            <w:tcBorders>
              <w:bottom w:val="single" w:sz="8" w:color="auto"/>
            </w:tcBorders>
            <w:vMerge w:val="continue"/>
          </w:tcPr>
          <w:p>
            <w:pPr>
              <w:spacing w:after="0"/>
              <w:rPr>
                <w:sz w:val="24"/>
                <w:szCs w:val="24"/>
                <w:color w:val="auto"/>
              </w:rPr>
            </w:pPr>
          </w:p>
        </w:tc>
        <w:tc>
          <w:tcPr>
            <w:tcW w:w="4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166,263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168,385</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43,740</w:t>
            </w: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1,363,513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1,379,156</w:t>
            </w:r>
          </w:p>
        </w:tc>
        <w:tc>
          <w:tcPr>
            <w:tcW w:w="0" w:type="dxa"/>
            <w:vAlign w:val="bottom"/>
          </w:tcPr>
          <w:p>
            <w:pPr>
              <w:spacing w:after="0"/>
              <w:rPr>
                <w:sz w:val="1"/>
                <w:szCs w:val="1"/>
                <w:color w:val="auto"/>
              </w:rPr>
            </w:pPr>
          </w:p>
        </w:tc>
      </w:tr>
      <w:tr>
        <w:trPr>
          <w:trHeight w:val="237"/>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432"/>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1,599,505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29,026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11,344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1,617,187</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960" w:hanging="378"/>
        <w:spacing w:after="0"/>
        <w:tabs>
          <w:tab w:leader="none" w:pos="9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following summarizes securities in an unrealized loss position as of December 31, 2009 and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1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Less than 12 Months</w:t>
            </w:r>
          </w:p>
        </w:tc>
        <w:tc>
          <w:tcPr>
            <w:tcW w:w="160" w:type="dxa"/>
            <w:vAlign w:val="bottom"/>
          </w:tcPr>
          <w:p>
            <w:pPr>
              <w:spacing w:after="0"/>
              <w:rPr>
                <w:sz w:val="20"/>
                <w:szCs w:val="20"/>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8"/>
                <w:szCs w:val="18"/>
                <w:color w:val="auto"/>
                <w:w w:val="96"/>
              </w:rPr>
              <w:t>12 Months or More</w:t>
            </w:r>
          </w:p>
        </w:tc>
        <w:tc>
          <w:tcPr>
            <w:tcW w:w="140" w:type="dxa"/>
            <w:vAlign w:val="bottom"/>
          </w:tcPr>
          <w:p>
            <w:pPr>
              <w:spacing w:after="0"/>
              <w:rPr>
                <w:sz w:val="20"/>
                <w:szCs w:val="20"/>
                <w:color w:val="auto"/>
              </w:rPr>
            </w:pPr>
          </w:p>
        </w:tc>
        <w:tc>
          <w:tcPr>
            <w:tcW w:w="1100" w:type="dxa"/>
            <w:vAlign w:val="bottom"/>
            <w:gridSpan w:val="4"/>
          </w:tcPr>
          <w:p>
            <w:pPr>
              <w:ind w:left="62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88"/>
              </w:rPr>
              <w:t>Unrealized</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88"/>
              </w:rPr>
              <w:t>Unrealized</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3"/>
          </w:tcPr>
          <w:p>
            <w:pPr>
              <w:ind w:left="160"/>
              <w:spacing w:after="0" w:line="201" w:lineRule="exact"/>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w w:val="91"/>
              </w:rPr>
              <w:t>As of December 31, 2009</w:t>
            </w:r>
          </w:p>
        </w:tc>
        <w:tc>
          <w:tcPr>
            <w:tcW w:w="27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108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Loss</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0" w:type="dxa"/>
            <w:vAlign w:val="bottom"/>
          </w:tcPr>
          <w:p>
            <w:pPr>
              <w:spacing w:after="0"/>
              <w:rPr>
                <w:sz w:val="1"/>
                <w:szCs w:val="1"/>
                <w:color w:val="auto"/>
              </w:rPr>
            </w:pPr>
          </w:p>
        </w:tc>
      </w:tr>
      <w:tr>
        <w:trPr>
          <w:trHeight w:val="27"/>
        </w:trPr>
        <w:tc>
          <w:tcPr>
            <w:tcW w:w="18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151,838</w:t>
            </w:r>
          </w:p>
        </w:tc>
        <w:tc>
          <w:tcPr>
            <w:tcW w:w="3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151,838</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84,024</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22,358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106,382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238,210</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25,643</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263,853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vMerge w:val="restart"/>
          </w:tcPr>
          <w:p>
            <w:pPr>
              <w:spacing w:after="0"/>
              <w:rPr>
                <w:sz w:val="20"/>
                <w:szCs w:val="20"/>
                <w:color w:val="auto"/>
              </w:rPr>
            </w:pPr>
            <w:r>
              <w:rPr>
                <w:rFonts w:ascii="Arial" w:cs="Arial" w:eastAsia="Arial" w:hAnsi="Arial"/>
                <w:sz w:val="18"/>
                <w:szCs w:val="18"/>
                <w:color w:val="auto"/>
                <w:w w:val="91"/>
              </w:rPr>
              <w:t>As of December 31, 2008</w:t>
            </w:r>
          </w:p>
        </w:tc>
        <w:tc>
          <w:tcPr>
            <w:tcW w:w="27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1880" w:type="dxa"/>
            <w:vAlign w:val="bottom"/>
            <w:tcBorders>
              <w:bottom w:val="single" w:sz="8" w:color="auto"/>
            </w:tcBorders>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9,672</w:t>
            </w:r>
          </w:p>
        </w:tc>
        <w:tc>
          <w:tcPr>
            <w:tcW w:w="3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9,686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215,396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10,210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227,115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230,296</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both December 31, 2009 and 2008, securities with a carrying value of $1.5 billion were pledged to secure public deposits and FHLB advances.</w:t>
      </w:r>
    </w:p>
    <w:p>
      <w:pPr>
        <w:spacing w:after="0" w:line="264"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2009, United recorded impairment losses of $1.2 million on investments in financial institutions that failed or otherwise showed evidence of other-than-temporary impairment. No impairment charges were recognized during 2008 or 2007.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2" w:name="page73"/>
    <w:bookmarkEnd w:id="72"/>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472" w:hanging="472"/>
        <w:spacing w:after="0"/>
        <w:tabs>
          <w:tab w:leader="none" w:pos="47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 continued</w:t>
      </w:r>
    </w:p>
    <w:p>
      <w:pPr>
        <w:spacing w:after="0" w:line="27" w:lineRule="exact"/>
        <w:rPr>
          <w:rFonts w:ascii="Arial" w:cs="Arial" w:eastAsia="Arial" w:hAnsi="Arial"/>
          <w:sz w:val="18"/>
          <w:szCs w:val="18"/>
          <w:b w:val="1"/>
          <w:bCs w:val="1"/>
          <w:color w:val="auto"/>
        </w:rPr>
      </w:pPr>
    </w:p>
    <w:p>
      <w:pPr>
        <w:jc w:val="both"/>
        <w:ind w:left="49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2009, there were 55 available for sale securities that were in an unrealized loss position. United does not intend to sell nor believes it will be required to sell securities in an unrealized loss position prior to the recovery of its amortized cost basis. Unrealized losses at December 31, 2009 and 2008 were primarily attributable to changes in interest rates.</w:t>
      </w:r>
    </w:p>
    <w:p>
      <w:pPr>
        <w:spacing w:after="0" w:line="217" w:lineRule="exact"/>
        <w:rPr>
          <w:rFonts w:ascii="Arial" w:cs="Arial" w:eastAsia="Arial" w:hAnsi="Arial"/>
          <w:sz w:val="18"/>
          <w:szCs w:val="18"/>
          <w:b w:val="1"/>
          <w:bCs w:val="1"/>
          <w:color w:val="auto"/>
        </w:rPr>
      </w:pPr>
    </w:p>
    <w:p>
      <w:pPr>
        <w:ind w:left="4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amortized cost and fair value of the investment securities at December 31, 2009, by contractual maturity, are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97" w:lineRule="exact"/>
        <w:rPr>
          <w:sz w:val="20"/>
          <w:szCs w:val="20"/>
          <w:color w:val="auto"/>
        </w:rPr>
      </w:pPr>
    </w:p>
    <w:tbl>
      <w:tblPr>
        <w:tblLayout w:type="fixed"/>
        <w:tblInd w:w="1132" w:type="dxa"/>
        <w:tblCellMar>
          <w:top w:w="0" w:type="dxa"/>
          <w:left w:w="0" w:type="dxa"/>
          <w:bottom w:w="0" w:type="dxa"/>
          <w:right w:w="0" w:type="dxa"/>
        </w:tblCellMar>
      </w:tblPr>
      <w:tr>
        <w:trPr>
          <w:trHeight w:val="237"/>
        </w:trPr>
        <w:tc>
          <w:tcPr>
            <w:tcW w:w="658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Amortized Cost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Fair Value</w:t>
            </w:r>
          </w:p>
        </w:tc>
      </w:tr>
      <w:tr>
        <w:trPr>
          <w:trHeight w:val="418"/>
        </w:trPr>
        <w:tc>
          <w:tcPr>
            <w:tcW w:w="65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42,092</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180,492</w:t>
            </w: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23,882</w:t>
            </w:r>
          </w:p>
        </w:tc>
      </w:tr>
      <w:tr>
        <w:trPr>
          <w:trHeight w:val="223"/>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248,425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246,466</w:t>
            </w:r>
          </w:p>
        </w:tc>
      </w:tr>
      <w:tr>
        <w:trPr>
          <w:trHeight w:val="418"/>
        </w:trPr>
        <w:tc>
          <w:tcPr>
            <w:tcW w:w="65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18,710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21,233</w:t>
            </w: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r>
      <w:tr>
        <w:trPr>
          <w:trHeight w:val="223"/>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63,293</w:t>
            </w:r>
          </w:p>
        </w:tc>
      </w:tr>
      <w:tr>
        <w:trPr>
          <w:trHeight w:val="418"/>
        </w:trPr>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10,974</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7,827</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r>
      <w:tr>
        <w:trPr>
          <w:trHeight w:val="223"/>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r>
      <w:tr>
        <w:trPr>
          <w:trHeight w:val="418"/>
        </w:trPr>
        <w:tc>
          <w:tcPr>
            <w:tcW w:w="658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29,684</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64,039</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203,249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202,725</w:t>
            </w: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37,205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36,377</w:t>
            </w:r>
          </w:p>
        </w:tc>
      </w:tr>
      <w:tr>
        <w:trPr>
          <w:trHeight w:val="439"/>
        </w:trPr>
        <w:tc>
          <w:tcPr>
            <w:tcW w:w="65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1,156,035</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1,197,222</w:t>
            </w:r>
          </w:p>
        </w:tc>
      </w:tr>
      <w:tr>
        <w:trPr>
          <w:trHeight w:val="432"/>
        </w:trPr>
        <w:tc>
          <w:tcPr>
            <w:tcW w:w="6580" w:type="dxa"/>
            <w:vAlign w:val="bottom"/>
          </w:tcPr>
          <w:p>
            <w:pPr>
              <w:spacing w:after="0"/>
              <w:rPr>
                <w:sz w:val="24"/>
                <w:szCs w:val="24"/>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1,489,207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1,530,047</w:t>
            </w:r>
          </w:p>
        </w:tc>
      </w:tr>
      <w:tr>
        <w:trPr>
          <w:trHeight w:val="21"/>
        </w:trPr>
        <w:tc>
          <w:tcPr>
            <w:tcW w:w="6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have the right to call or prepay obligations with or without call or prepayment penalties.</w:t>
      </w:r>
    </w:p>
    <w:p>
      <w:pPr>
        <w:spacing w:after="0" w:line="197" w:lineRule="exact"/>
        <w:rPr>
          <w:sz w:val="20"/>
          <w:szCs w:val="20"/>
          <w:color w:val="auto"/>
        </w:rPr>
      </w:pPr>
    </w:p>
    <w:p>
      <w:pPr>
        <w:ind w:left="492"/>
        <w:spacing w:after="0"/>
        <w:rPr>
          <w:sz w:val="20"/>
          <w:szCs w:val="20"/>
          <w:color w:val="auto"/>
        </w:rPr>
      </w:pPr>
      <w:r>
        <w:rPr>
          <w:rFonts w:ascii="Arial" w:cs="Arial" w:eastAsia="Arial" w:hAnsi="Arial"/>
          <w:sz w:val="18"/>
          <w:szCs w:val="18"/>
          <w:color w:val="auto"/>
        </w:rPr>
        <w:t>Realized gains and losses are derived using the specific identification method for determining the cost of the securities sold.</w:t>
      </w:r>
    </w:p>
    <w:p>
      <w:pPr>
        <w:spacing w:after="0" w:line="25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 xml:space="preserve">The following summarizes securities sales activities for the years ended December 31, 2009, 2008 and 2007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12"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Proceeds from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328,968</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162,679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128,214</w:t>
            </w:r>
          </w:p>
        </w:tc>
      </w:tr>
      <w:tr>
        <w:trPr>
          <w:trHeight w:val="21"/>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Gross gains on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losses on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r>
        <w:trPr>
          <w:trHeight w:val="432"/>
        </w:trPr>
        <w:tc>
          <w:tcPr>
            <w:tcW w:w="458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2,756</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1"/>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1"/>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12"/>
          </w:cols>
          <w:pgMar w:left="248" w:top="364" w:right="239" w:bottom="703" w:gutter="0" w:footer="0" w:header="0"/>
        </w:sectPr>
      </w:pPr>
    </w:p>
    <w:p>
      <w:pPr>
        <w:spacing w:after="0" w:line="245"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64" w:right="239" w:bottom="703"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Major classifications of loans at December 31, 2009 and 2008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r>
      <w:tr>
        <w:trPr>
          <w:trHeight w:val="418"/>
        </w:trPr>
        <w:tc>
          <w:tcPr>
            <w:tcW w:w="68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1,779,398</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1,626,966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390,520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410,529</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362,566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499,663</w:t>
            </w:r>
          </w:p>
        </w:tc>
      </w:tr>
      <w:tr>
        <w:trPr>
          <w:trHeight w:val="202"/>
        </w:trPr>
        <w:tc>
          <w:tcPr>
            <w:tcW w:w="6800" w:type="dxa"/>
            <w:vAlign w:val="bottom"/>
          </w:tcPr>
          <w:p>
            <w:pPr>
              <w:ind w:left="240"/>
              <w:spacing w:after="0" w:line="201" w:lineRule="exact"/>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2,532,484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2,537,158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1,050,065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1,478,679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1,427,198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1,526,388</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Installment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162,636</w:t>
            </w:r>
          </w:p>
        </w:tc>
      </w:tr>
      <w:tr>
        <w:trPr>
          <w:trHeight w:val="432"/>
        </w:trPr>
        <w:tc>
          <w:tcPr>
            <w:tcW w:w="680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5,151,476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5,704,861</w:t>
            </w:r>
          </w:p>
        </w:tc>
      </w:tr>
      <w:tr>
        <w:trPr>
          <w:trHeight w:val="439"/>
        </w:trPr>
        <w:tc>
          <w:tcPr>
            <w:tcW w:w="680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155,602</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r>
      <w:tr>
        <w:trPr>
          <w:trHeight w:val="432"/>
        </w:trPr>
        <w:tc>
          <w:tcPr>
            <w:tcW w:w="680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4,995,874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5,582,590</w:t>
            </w:r>
          </w:p>
        </w:tc>
      </w:tr>
      <w:tr>
        <w:trPr>
          <w:trHeight w:val="21"/>
        </w:trPr>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Bank grants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214"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At December 31, 2009, United had $198.3 million of loans classified as impaired. Of that amount, $16.1 million had specific reserves of $3 million allocated and the remaining $182.2 million did not have specific reserves allocated because they had either been written down to net realizable value ($115.3 million in charge-offs) or had sufficient collateral so that no allowance was required. United had $142.3 million in loans classified as impaired at December 31, 2008. Of that amount, $49.7 million had specific reserves of $15.7 million allocated and the remaining $92.6 million did not require specific reserves or had been previously written down to net realizable value. United’s policy is to discontinue recognition of interest revenue for loans classified as impaired when those loans meet the criteria for nonaccrual status. The average balance of impaired loans for 2009, 2008 and 2007 was $229.1 million, $97.1 million, and $51.3 million, respectively. There was no interest revenue recognized on impaired loans in 2009 or 2008 Interest revenue recognized on impaired loans in 2007 was $3.7 million.</w:t>
      </w:r>
    </w:p>
    <w:p>
      <w:pPr>
        <w:spacing w:after="0" w:line="206"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substantially on the same terms, including interest rate and collateral, as those prevailing at the time for comparable transactions with other customers. The following is a summary of such loans outstanding and the activity in these loans for the year ended December 31, 2009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ind w:left="1720"/>
              <w:spacing w:after="0"/>
              <w:rPr>
                <w:sz w:val="20"/>
                <w:szCs w:val="20"/>
                <w:color w:val="auto"/>
              </w:rPr>
            </w:pPr>
            <w:r>
              <w:rPr>
                <w:rFonts w:ascii="Arial" w:cs="Arial" w:eastAsia="Arial" w:hAnsi="Arial"/>
                <w:sz w:val="18"/>
                <w:szCs w:val="18"/>
                <w:color w:val="auto"/>
              </w:rPr>
              <w:t>Balances at December 31, 2008</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820"/>
              <w:spacing w:after="0"/>
              <w:rPr>
                <w:sz w:val="20"/>
                <w:szCs w:val="20"/>
                <w:color w:val="auto"/>
              </w:rPr>
            </w:pPr>
            <w:r>
              <w:rPr>
                <w:rFonts w:ascii="Arial" w:cs="Arial" w:eastAsia="Arial" w:hAnsi="Arial"/>
                <w:sz w:val="18"/>
                <w:szCs w:val="18"/>
                <w:color w:val="auto"/>
              </w:rPr>
              <w:t>48,223</w:t>
            </w:r>
          </w:p>
        </w:tc>
        <w:tc>
          <w:tcPr>
            <w:tcW w:w="0" w:type="dxa"/>
            <w:vAlign w:val="bottom"/>
          </w:tcPr>
          <w:p>
            <w:pPr>
              <w:spacing w:after="0"/>
              <w:rPr>
                <w:sz w:val="1"/>
                <w:szCs w:val="1"/>
                <w:color w:val="auto"/>
              </w:rPr>
            </w:pPr>
          </w:p>
        </w:tc>
      </w:tr>
      <w:tr>
        <w:trPr>
          <w:trHeight w:val="216"/>
        </w:trPr>
        <w:tc>
          <w:tcPr>
            <w:tcW w:w="7320" w:type="dxa"/>
            <w:vAlign w:val="bottom"/>
          </w:tcPr>
          <w:p>
            <w:pPr>
              <w:ind w:left="1720"/>
              <w:spacing w:after="0"/>
              <w:rPr>
                <w:sz w:val="20"/>
                <w:szCs w:val="20"/>
                <w:color w:val="auto"/>
              </w:rPr>
            </w:pPr>
            <w:r>
              <w:rPr>
                <w:rFonts w:ascii="Arial" w:cs="Arial" w:eastAsia="Arial" w:hAnsi="Arial"/>
                <w:sz w:val="18"/>
                <w:szCs w:val="18"/>
                <w:color w:val="auto"/>
              </w:rPr>
              <w:t>New loans and advances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right"/>
              <w:ind w:right="1820"/>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16"/>
        </w:trPr>
        <w:tc>
          <w:tcPr>
            <w:tcW w:w="7320" w:type="dxa"/>
            <w:vAlign w:val="bottom"/>
          </w:tcPr>
          <w:p>
            <w:pPr>
              <w:ind w:left="1720"/>
              <w:spacing w:after="0"/>
              <w:rPr>
                <w:sz w:val="20"/>
                <w:szCs w:val="20"/>
                <w:color w:val="auto"/>
              </w:rPr>
            </w:pPr>
            <w:r>
              <w:rPr>
                <w:rFonts w:ascii="Arial" w:cs="Arial" w:eastAsia="Arial" w:hAnsi="Arial"/>
                <w:sz w:val="18"/>
                <w:szCs w:val="18"/>
                <w:color w:val="auto"/>
              </w:rPr>
              <w:t>Repayments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16"/>
        </w:trPr>
        <w:tc>
          <w:tcPr>
            <w:tcW w:w="7320" w:type="dxa"/>
            <w:vAlign w:val="bottom"/>
          </w:tcPr>
          <w:p>
            <w:pPr>
              <w:ind w:left="1720"/>
              <w:spacing w:after="0"/>
              <w:rPr>
                <w:sz w:val="20"/>
                <w:szCs w:val="20"/>
                <w:color w:val="auto"/>
              </w:rPr>
            </w:pPr>
            <w:r>
              <w:rPr>
                <w:rFonts w:ascii="Arial" w:cs="Arial" w:eastAsia="Arial" w:hAnsi="Arial"/>
                <w:sz w:val="18"/>
                <w:szCs w:val="18"/>
                <w:color w:val="auto"/>
              </w:rPr>
              <w:t>Renewals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37"/>
        </w:trPr>
        <w:tc>
          <w:tcPr>
            <w:tcW w:w="7320" w:type="dxa"/>
            <w:vAlign w:val="bottom"/>
          </w:tcPr>
          <w:p>
            <w:pPr>
              <w:ind w:left="1720"/>
              <w:spacing w:after="0"/>
              <w:rPr>
                <w:sz w:val="20"/>
                <w:szCs w:val="20"/>
                <w:color w:val="auto"/>
              </w:rPr>
            </w:pPr>
            <w:r>
              <w:rPr>
                <w:rFonts w:ascii="Arial" w:cs="Arial" w:eastAsia="Arial" w:hAnsi="Arial"/>
                <w:sz w:val="18"/>
                <w:szCs w:val="18"/>
                <w:color w:val="auto"/>
              </w:rPr>
              <w:t>Adjustment for changes in executive officers and directors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432"/>
        </w:trPr>
        <w:tc>
          <w:tcPr>
            <w:tcW w:w="7320" w:type="dxa"/>
            <w:vAlign w:val="bottom"/>
          </w:tcPr>
          <w:p>
            <w:pPr>
              <w:ind w:left="1860"/>
              <w:spacing w:after="0"/>
              <w:rPr>
                <w:sz w:val="20"/>
                <w:szCs w:val="20"/>
                <w:color w:val="auto"/>
              </w:rPr>
            </w:pPr>
            <w:r>
              <w:rPr>
                <w:rFonts w:ascii="Arial" w:cs="Arial" w:eastAsia="Arial" w:hAnsi="Arial"/>
                <w:sz w:val="18"/>
                <w:szCs w:val="18"/>
                <w:color w:val="auto"/>
              </w:rPr>
              <w:t>Balances at December 31, 2009</w:t>
            </w:r>
          </w:p>
        </w:tc>
        <w:tc>
          <w:tcPr>
            <w:tcW w:w="13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20,832</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5620"/>
              <w:spacing w:after="0"/>
              <w:rPr>
                <w:sz w:val="20"/>
                <w:szCs w:val="20"/>
                <w:color w:val="auto"/>
              </w:rPr>
            </w:pPr>
            <w:r>
              <w:rPr>
                <w:rFonts w:ascii="Arial" w:cs="Arial" w:eastAsia="Arial" w:hAnsi="Arial"/>
                <w:sz w:val="18"/>
                <w:szCs w:val="18"/>
                <w:color w:val="auto"/>
              </w:rPr>
              <w:t>70</w:t>
            </w: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4" w:name="page75"/>
    <w:bookmarkEnd w:id="74"/>
    <w:p>
      <w:pPr>
        <w:jc w:val="center"/>
        <w:ind w:right="-17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72" w:hanging="472"/>
        <w:spacing w:after="0"/>
        <w:tabs>
          <w:tab w:leader="none" w:pos="4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172"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r>
      <w:tr>
        <w:trPr>
          <w:trHeight w:val="202"/>
        </w:trPr>
        <w:tc>
          <w:tcPr>
            <w:tcW w:w="5860" w:type="dxa"/>
            <w:vAlign w:val="bottom"/>
          </w:tcPr>
          <w:p>
            <w:pPr>
              <w:ind w:left="20"/>
              <w:spacing w:after="0" w:line="201" w:lineRule="exact"/>
              <w:rPr>
                <w:sz w:val="20"/>
                <w:szCs w:val="20"/>
                <w:color w:val="auto"/>
              </w:rPr>
            </w:pPr>
            <w:r>
              <w:rPr>
                <w:rFonts w:ascii="Arial" w:cs="Arial" w:eastAsia="Arial" w:hAnsi="Arial"/>
                <w:sz w:val="18"/>
                <w:szCs w:val="18"/>
                <w:color w:val="auto"/>
              </w:rPr>
              <w:t>Balance beginning of period</w:t>
            </w:r>
          </w:p>
        </w:tc>
        <w:tc>
          <w:tcPr>
            <w:tcW w:w="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122,271</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66,566</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Allowance for loan losses acquired from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subsidiaries at merger date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7,091</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219,168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123,771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30,351</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12,995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7,022</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r>
      <w:tr>
        <w:trPr>
          <w:trHeight w:val="223"/>
        </w:trPr>
        <w:tc>
          <w:tcPr>
            <w:tcW w:w="5860" w:type="dxa"/>
            <w:vAlign w:val="bottom"/>
          </w:tcPr>
          <w:p>
            <w:pPr>
              <w:ind w:left="380"/>
              <w:spacing w:after="0"/>
              <w:rPr>
                <w:sz w:val="20"/>
                <w:szCs w:val="20"/>
                <w:color w:val="auto"/>
              </w:rPr>
            </w:pPr>
            <w:r>
              <w:rPr>
                <w:rFonts w:ascii="Arial" w:cs="Arial" w:eastAsia="Arial" w:hAnsi="Arial"/>
                <w:sz w:val="18"/>
                <w:szCs w:val="18"/>
                <w:color w:val="auto"/>
              </w:rPr>
              <w:t>Total loans charged-off</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286,306</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152,877</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41,694</w:t>
            </w:r>
          </w:p>
        </w:tc>
      </w:tr>
      <w:tr>
        <w:trPr>
          <w:trHeight w:val="202"/>
        </w:trPr>
        <w:tc>
          <w:tcPr>
            <w:tcW w:w="5860" w:type="dxa"/>
            <w:vAlign w:val="bottom"/>
          </w:tcPr>
          <w:p>
            <w:pPr>
              <w:ind w:left="20"/>
              <w:spacing w:after="0" w:line="201" w:lineRule="exact"/>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5860" w:type="dxa"/>
            <w:vAlign w:val="bottom"/>
          </w:tcPr>
          <w:p>
            <w:pPr>
              <w:ind w:left="380"/>
              <w:spacing w:after="0"/>
              <w:rPr>
                <w:sz w:val="20"/>
                <w:szCs w:val="20"/>
                <w:color w:val="auto"/>
              </w:rPr>
            </w:pPr>
            <w:r>
              <w:rPr>
                <w:rFonts w:ascii="Arial" w:cs="Arial" w:eastAsia="Arial" w:hAnsi="Arial"/>
                <w:sz w:val="18"/>
                <w:szCs w:val="18"/>
                <w:color w:val="auto"/>
              </w:rPr>
              <w:t>Total recoveries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r>
      <w:tr>
        <w:trPr>
          <w:trHeight w:val="223"/>
        </w:trPr>
        <w:tc>
          <w:tcPr>
            <w:tcW w:w="5860" w:type="dxa"/>
            <w:vAlign w:val="bottom"/>
          </w:tcPr>
          <w:p>
            <w:pPr>
              <w:ind w:left="380"/>
              <w:spacing w:after="0"/>
              <w:rPr>
                <w:sz w:val="20"/>
                <w:szCs w:val="20"/>
                <w:color w:val="auto"/>
              </w:rPr>
            </w:pPr>
            <w:r>
              <w:rPr>
                <w:rFonts w:ascii="Arial" w:cs="Arial" w:eastAsia="Arial" w:hAnsi="Arial"/>
                <w:sz w:val="18"/>
                <w:szCs w:val="18"/>
                <w:color w:val="auto"/>
              </w:rPr>
              <w:t>Net charge-offs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151,152</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39,834</w:t>
            </w:r>
          </w:p>
        </w:tc>
      </w:tr>
      <w:tr>
        <w:trPr>
          <w:trHeight w:val="432"/>
        </w:trPr>
        <w:tc>
          <w:tcPr>
            <w:tcW w:w="58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155,602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122,271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89,423</w:t>
            </w:r>
          </w:p>
        </w:tc>
      </w:tr>
      <w:tr>
        <w:trPr>
          <w:trHeight w:val="21"/>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At December 31, 2009 and 2008, loans with a carrying value of $1.5 billion and $1.9 billion were pledged as collateral to secure FHLB advances and other contingent funding sources.</w:t>
      </w:r>
    </w:p>
    <w:p>
      <w:pPr>
        <w:spacing w:after="0" w:line="193" w:lineRule="exact"/>
        <w:rPr>
          <w:sz w:val="20"/>
          <w:szCs w:val="20"/>
          <w:color w:val="auto"/>
        </w:rPr>
      </w:pPr>
    </w:p>
    <w:p>
      <w:pPr>
        <w:ind w:left="472" w:hanging="472"/>
        <w:spacing w:after="0"/>
        <w:tabs>
          <w:tab w:leader="none" w:pos="47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7" w:lineRule="exact"/>
        <w:rPr>
          <w:sz w:val="20"/>
          <w:szCs w:val="20"/>
          <w:color w:val="auto"/>
        </w:rPr>
      </w:pPr>
    </w:p>
    <w:p>
      <w:pPr>
        <w:ind w:left="172"/>
        <w:spacing w:after="0"/>
        <w:rPr>
          <w:sz w:val="20"/>
          <w:szCs w:val="20"/>
          <w:color w:val="auto"/>
        </w:rPr>
      </w:pPr>
      <w:r>
        <w:rPr>
          <w:rFonts w:ascii="Arial" w:cs="Arial" w:eastAsia="Arial" w:hAnsi="Arial"/>
          <w:sz w:val="18"/>
          <w:szCs w:val="18"/>
          <w:color w:val="auto"/>
        </w:rPr>
        <w:t xml:space="preserve">Premises and equipment at December 31, 2009 and 2008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1712" w:type="dxa"/>
        <w:tblCellMar>
          <w:top w:w="0" w:type="dxa"/>
          <w:left w:w="0" w:type="dxa"/>
          <w:bottom w:w="0" w:type="dxa"/>
          <w:right w:w="0" w:type="dxa"/>
        </w:tblCellMar>
      </w:tblPr>
      <w:tr>
        <w:trPr>
          <w:trHeight w:val="237"/>
        </w:trPr>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r>
      <w:tr>
        <w:trPr>
          <w:trHeight w:val="418"/>
        </w:trPr>
        <w:tc>
          <w:tcPr>
            <w:tcW w:w="542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80,377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78,874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110,062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100,162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74,002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70,930</w:t>
            </w: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432"/>
        </w:trPr>
        <w:tc>
          <w:tcPr>
            <w:tcW w:w="5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264,981</w:t>
            </w: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251,940</w:t>
            </w:r>
          </w:p>
        </w:tc>
      </w:tr>
      <w:tr>
        <w:trPr>
          <w:trHeight w:val="439"/>
        </w:trPr>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82,943</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72,780</w:t>
            </w:r>
          </w:p>
        </w:tc>
      </w:tr>
      <w:tr>
        <w:trPr>
          <w:trHeight w:val="432"/>
        </w:trPr>
        <w:tc>
          <w:tcPr>
            <w:tcW w:w="542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182,038</w:t>
            </w:r>
          </w:p>
        </w:tc>
        <w:tc>
          <w:tcPr>
            <w:tcW w:w="36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179,160</w:t>
            </w:r>
          </w:p>
        </w:tc>
      </w:tr>
      <w:tr>
        <w:trPr>
          <w:trHeight w:val="21"/>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Depreciation expense was approximately $11.3 million, $11.8 million and $10.6 million for 2009, 2008 and 2007, respectively.</w:t>
      </w:r>
    </w:p>
    <w:p>
      <w:pPr>
        <w:spacing w:after="0" w:line="25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2"/>
          </w:cols>
          <w:pgMar w:left="248" w:top="364" w:right="3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changes in goodwill for the years ended December 31, 2009 and 2008 is presented below, </w:t>
      </w: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20"/>
                <w:szCs w:val="20"/>
                <w:color w:val="auto"/>
              </w:rPr>
            </w:pPr>
          </w:p>
        </w:tc>
      </w:tr>
      <w:tr>
        <w:trPr>
          <w:trHeight w:val="418"/>
        </w:trPr>
        <w:tc>
          <w:tcPr>
            <w:tcW w:w="448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305,590</w:t>
            </w:r>
          </w:p>
        </w:tc>
        <w:tc>
          <w:tcPr>
            <w:tcW w:w="32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306,086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Purchase adjustments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210,590</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60" w:type="dxa"/>
            <w:vAlign w:val="bottom"/>
          </w:tcPr>
          <w:p>
            <w:pPr>
              <w:spacing w:after="0"/>
              <w:rPr>
                <w:sz w:val="18"/>
                <w:szCs w:val="18"/>
                <w:color w:val="auto"/>
              </w:rPr>
            </w:pP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During the first quarter of 2009, United updated its annual goodwill impairment assessment as a result of its stock price falling significantly below tangible book value. As a result of the updated assessment, goodwill was deemed to be impaired and written down to its estimated fair value. The impairment charge of $70 million was recognized as an expense in the first quarter of 2009 consolidated statement of income. Although conditions in the second quarter of 2009 did not lead management to believe that further impairment existed, due to further weakness in United’s loan portfolio and management’s expectation for higher credit losses, goodwill was tested again for impairment in the third quarter of 2009. An additional impairment charge of $25 million was taken as a result of the third quarter assessment. No impairment was recognized in the fourth quarter as a result of United’s annual goodwill impairment test conducted as of December 31, 2009. For the year ended December 31, 2009, total goodwill impairment charges amounted to $95 million.</w:t>
      </w:r>
    </w:p>
    <w:p>
      <w:pPr>
        <w:spacing w:after="0" w:line="21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United has only one operating segment and all of the goodwill is included in that segment; therefore goodwill was tested for impairment for United as a whole. The first step (Step 1) of the goodwill impairment assessment was to determine the fair value of United as a whole and compare the result to the book value of equity. If the fair value resulting from Step 1 exceeded the book value of equity, then goodwill would not have been impaired. If the fair value was less than book value, then Step 2 of the goodwill impairment assessment had to be completed. Step 2 consisted of valuing all the assets and liabilities, including separately identifiable intangible assets, in order to determine the fair value of goodwill. The fair value of goodwill is the difference between the value of United determined in Step 1 and the value of the net assets and liabilities determined in Step 2. If the fair value of goodwill exceeds the book value, goodwill is not impaired. If the fair value of goodwill is less than the book value, goodwill is impaired by the amount by which book value exceeds fair value.</w:t>
      </w:r>
    </w:p>
    <w:p>
      <w:pPr>
        <w:spacing w:after="0" w:line="21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techniques used to determine fair value of United in Step 1 included a discounted cash flow analysis based on United’s long-term earnings forecast, the guideline public companies method that considered the implied value of United by comparing United to a select peer group of public companies and their current market capitalizations, adjusted for differences between the companies, and the merger and acquisition method that considered the amount an acquiring company might be willing to pay to gain control of United based on multiples of tangible book value paid by acquirers in recent merger and acquisition transactions.</w:t>
      </w:r>
    </w:p>
    <w:p>
      <w:pPr>
        <w:spacing w:after="0" w:line="21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interim assessments performed in the first and third quarters of 2009 both indicated that the fair value of United was less than the book value, so United proceeded to Step 2. United’s Step 2 analysis indicated that the book value of goodwill exceeded the fair value by $70 million in the first quarter of 2009 and $25 million in the third quarter of 2009, leading to the impairment charges. In arriving at the impairment charges, United made a number of valuation assumptions.</w:t>
      </w:r>
    </w:p>
    <w:p>
      <w:pPr>
        <w:spacing w:after="0" w:line="21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most significant assumption in determining the estimated fair value of United as a whole and the amount of any resulting impairment was the discount rate used in the discounted cash flows valuation method. The discount rate selected for the fourth, third and first quarter of 2009 assessments were 15.5%, 15% and 15%, respectively, which considered a risk-free rate of return that was adjusted for the industry median beta, equity risk and size premiums, and a company-specific risk premium. The increase in the discount rate used in the annual impairment assessment at December 31, 2009 was due to a higher long-term risk-free rate.</w:t>
      </w:r>
    </w:p>
    <w:p>
      <w:pPr>
        <w:spacing w:after="0" w:line="21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An increase in the fourth quarter 2009 discount rate of one percentage point would result in a decrease in the estimated value of United of approximately $34 million, which would have indicated goodwill impairment of approximately $29 million. A decrease of one percentage point would result in an increase in the estimated value of United of approximately $41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Other significant valuation assumptions used related to valuing the loan portfolio. The key assumptions involved in valuing the non-performing portion of the loan portfolio included estimating future cash flows. The key assumptions involved in valuing the performing portion of the loan portfolio included determining a default rate and a rate of loss upon default. Changing these assumptions, or any other key assumptions, could have a material impact on the amount of goodwill impairment.</w:t>
      </w:r>
    </w:p>
    <w:p>
      <w:pPr>
        <w:spacing w:after="0" w:line="217" w:lineRule="exact"/>
        <w:rPr>
          <w:sz w:val="20"/>
          <w:szCs w:val="20"/>
          <w:color w:val="auto"/>
        </w:rPr>
      </w:pPr>
    </w:p>
    <w:p>
      <w:pPr>
        <w:jc w:val="both"/>
        <w:ind w:left="500" w:right="20"/>
        <w:spacing w:after="0" w:line="279" w:lineRule="auto"/>
        <w:rPr>
          <w:sz w:val="20"/>
          <w:szCs w:val="20"/>
          <w:color w:val="auto"/>
        </w:rPr>
      </w:pPr>
      <w:r>
        <w:rPr>
          <w:rFonts w:ascii="Arial" w:cs="Arial" w:eastAsia="Arial" w:hAnsi="Arial"/>
          <w:sz w:val="17"/>
          <w:szCs w:val="17"/>
          <w:color w:val="auto"/>
        </w:rPr>
        <w:t>United performed its regularly scheduled annual goodwill assessment in the fourth quarter of 2009 with no resulting goodwill impairment charge. Conditions that could cause additional impairment charges include further deterioration in United’s financial performance and our outlook for future performance, changes in long-term interest rates used to determine the discount rate for the discounted cash flows valuation method or lower stock price valuations for United or the peer group of banks used in the guideline public companies valuation method.</w:t>
      </w:r>
    </w:p>
    <w:p>
      <w:pPr>
        <w:spacing w:after="0" w:line="19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United has finite-lived intangible assets capitalized on its balance sheet in the form of core deposit intangibles. These intangible assets are amortized over their estimated useful lives of no more than 15 years.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summary of core deposit intangible assets as of December 31, 2009 and 2008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00" w:type="dxa"/>
            <w:vAlign w:val="bottom"/>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32,652</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31,152</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18,046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23"/>
        </w:trPr>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Net carrying amount</w:t>
            </w:r>
          </w:p>
        </w:tc>
        <w:tc>
          <w:tcPr>
            <w:tcW w:w="16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14,606</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Amortization expense on finite-lived intangible assets was $3.1 million in 2009, $3.0 million for 2008 and $2.7 million for 2007. Amortization expense for each of the years 2010 through 2014 is estimated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16"/>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2011</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16"/>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2012</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16"/>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2013</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30"/>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2014</w:t>
            </w:r>
          </w:p>
        </w:tc>
        <w:tc>
          <w:tcPr>
            <w:tcW w:w="1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1,349</w:t>
            </w:r>
          </w:p>
        </w:tc>
      </w:tr>
    </w:tbl>
    <w:p>
      <w:pPr>
        <w:spacing w:after="0" w:line="225"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At December 31, 2009, the contractual maturities of time deposits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Maturing In:</w:t>
            </w:r>
          </w:p>
        </w:tc>
        <w:tc>
          <w:tcPr>
            <w:tcW w:w="38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2010</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$ 3,100,865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396,271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2012</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154,447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17,867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2014</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16,962</w:t>
            </w: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r>
      <w:tr>
        <w:trPr>
          <w:trHeight w:val="432"/>
        </w:trPr>
        <w:tc>
          <w:tcPr>
            <w:tcW w:w="92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$ 3,692,890</w:t>
            </w:r>
          </w:p>
        </w:tc>
      </w:tr>
      <w:tr>
        <w:trPr>
          <w:trHeight w:val="21"/>
        </w:trPr>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At December 31, 2009, United held $759 million in certificates of deposit obtained through the efforts of third party brokers. At December 31, 2008, United had $793 million of such certificates of deposit. The daily average balance of these brokered deposits totaled $756 million and $565 million in 2009 and 2008, respectively. The weighted average rates paid during 2009 and 2008 were 2.78% and 4.16%, respectively, and the weighted average rate as of December 31, 2009 was 3.05%. These deposits generally have maturity dates ranging from 1 week to 3 years.</w:t>
      </w:r>
    </w:p>
    <w:p>
      <w:pPr>
        <w:spacing w:after="0" w:line="19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At December 31, 2009 and 2008, $1.3 million and $1.9 million in overdrawn deposit accounts were reclassified as loans. No specific allowance for loan losses was deemed necessary for these accounts at December 31, 2009 and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At December 31, 2009, the United had advances totaling $115 million from the FHLB of which $114 million were fixed rate advances and the remaining $125,000 was variable. At December 31, 2008, United had advances totaling $235 million of which $55 million were fixed rate advances and the remaining $180 million were variable. Interest payments and principal payments are due at various maturity dates with interest rates up to 4.49% at December 31, 2009. At December 31, 2009, the weighted average interest rate on FHLB advances was 4.16%, compared to 2.94% as of December 31, 2008. The FHLB advances are collateralized by commercial (secured by real estate) and residential mortgage loans, investment securities and FHLB stock.</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2009,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Amount</w:t>
            </w:r>
          </w:p>
        </w:tc>
        <w:tc>
          <w:tcPr>
            <w:tcW w:w="1800" w:type="dxa"/>
            <w:vAlign w:val="bottom"/>
          </w:tcPr>
          <w:p>
            <w:pPr>
              <w:spacing w:after="0"/>
              <w:rPr>
                <w:sz w:val="18"/>
                <w:szCs w:val="18"/>
                <w:color w:val="auto"/>
              </w:rPr>
            </w:pPr>
          </w:p>
        </w:tc>
      </w:tr>
      <w:tr>
        <w:trPr>
          <w:trHeight w:val="23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Maturing In:</w:t>
            </w:r>
          </w:p>
        </w:tc>
        <w:tc>
          <w:tcPr>
            <w:tcW w:w="410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Maturing</w:t>
            </w:r>
          </w:p>
        </w:tc>
        <w:tc>
          <w:tcPr>
            <w:tcW w:w="300" w:type="dxa"/>
            <w:vAlign w:val="bottom"/>
          </w:tcPr>
          <w:p>
            <w:pPr>
              <w:spacing w:after="0"/>
              <w:rPr>
                <w:sz w:val="20"/>
                <w:szCs w:val="20"/>
                <w:color w:val="auto"/>
              </w:rPr>
            </w:pP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Current Rate Range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2010</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10,079</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3.14% - 3.14%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2012</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74,297</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4.05% - 4.49%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2014</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30,000</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2.85% - 4.49%</w:t>
            </w: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114,501</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
        </w:trPr>
        <w:tc>
          <w:tcPr>
            <w:tcW w:w="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Timing of principal payments may differ from the maturity schedule shown above as some advances include call options that allow the FHLB to require repayment prior to the maturity date.</w:t>
      </w:r>
    </w:p>
    <w:p>
      <w:pPr>
        <w:spacing w:after="0" w:line="193" w:lineRule="exact"/>
        <w:rPr>
          <w:sz w:val="20"/>
          <w:szCs w:val="20"/>
          <w:color w:val="auto"/>
        </w:rPr>
      </w:pPr>
    </w:p>
    <w:p>
      <w:pPr>
        <w:ind w:left="480" w:hanging="472"/>
        <w:spacing w:after="0"/>
        <w:tabs>
          <w:tab w:leader="none" w:pos="4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a number of sources of short-term borrowings to meet its liquidity needs including federal funds purchased, repurchase agreements, Federal Reserve discount window borrowings and the Federal Reserve’s Term Auction Facility (“TAF”) programs. The table below shows the amounts of short-term borrowings outstanding by type at December 31, 2009 and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r>
      <w:tr>
        <w:trPr>
          <w:trHeight w:val="418"/>
        </w:trPr>
        <w:tc>
          <w:tcPr>
            <w:tcW w:w="448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8,197</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101,389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100,214</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101,389</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108,411</w:t>
            </w:r>
          </w:p>
        </w:tc>
        <w:tc>
          <w:tcPr>
            <w:tcW w:w="20" w:type="dxa"/>
            <w:vAlign w:val="bottom"/>
          </w:tcPr>
          <w:p>
            <w:pPr>
              <w:spacing w:after="0"/>
              <w:rPr>
                <w:sz w:val="18"/>
                <w:szCs w:val="18"/>
                <w:color w:val="auto"/>
              </w:rPr>
            </w:pP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Term Auction Facility</w:t>
      </w:r>
    </w:p>
    <w:p>
      <w:pPr>
        <w:spacing w:after="0" w:line="2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United periodically obtains funds from the Federal Reserve through its TAF program. The funds are obtained through a bid process. United’s discount window and TAF funds are collateralized by commercial loans with maturities ranging from overnight to two weeks. Interest rates on these funds are comparable to the targeted federal funds rate.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Long-term Debt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Long-term debt at December 31, 2009 and 2008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4"/>
              </w:rPr>
              <w:t>Stated</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Earliest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Issue</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Maturity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Call</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2008</w:t>
            </w:r>
          </w:p>
        </w:tc>
        <w:tc>
          <w:tcPr>
            <w:tcW w:w="300" w:type="dxa"/>
            <w:vAlign w:val="bottom"/>
          </w:tcPr>
          <w:p>
            <w:pPr>
              <w:spacing w:after="0"/>
              <w:rPr>
                <w:sz w:val="20"/>
                <w:szCs w:val="20"/>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Date</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3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Interest Rate</w:t>
            </w:r>
          </w:p>
        </w:tc>
        <w:tc>
          <w:tcPr>
            <w:tcW w:w="140" w:type="dxa"/>
            <w:vAlign w:val="bottom"/>
          </w:tcPr>
          <w:p>
            <w:pPr>
              <w:spacing w:after="0"/>
              <w:rPr>
                <w:sz w:val="20"/>
                <w:szCs w:val="20"/>
                <w:color w:val="auto"/>
              </w:rPr>
            </w:pPr>
          </w:p>
        </w:tc>
      </w:tr>
      <w:tr>
        <w:trPr>
          <w:trHeight w:val="418"/>
        </w:trPr>
        <w:tc>
          <w:tcPr>
            <w:tcW w:w="4300" w:type="dxa"/>
            <w:vAlign w:val="bottom"/>
          </w:tcPr>
          <w:p>
            <w:pPr>
              <w:spacing w:after="0"/>
              <w:rPr>
                <w:sz w:val="20"/>
                <w:szCs w:val="20"/>
                <w:color w:val="auto"/>
              </w:rPr>
            </w:pPr>
            <w:r>
              <w:rPr>
                <w:rFonts w:ascii="Arial" w:cs="Arial" w:eastAsia="Arial" w:hAnsi="Arial"/>
                <w:sz w:val="18"/>
                <w:szCs w:val="18"/>
                <w:color w:val="auto"/>
              </w:rPr>
              <w:t>2002 subordinated debentures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31,500</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2002</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2012</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6.750%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2003 subordinated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2003</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2015</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140" w:type="dxa"/>
            <w:vAlign w:val="bottom"/>
          </w:tcPr>
          <w:p>
            <w:pPr>
              <w:spacing w:after="0"/>
              <w:rPr>
                <w:sz w:val="18"/>
                <w:szCs w:val="18"/>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2008 subordinated debentures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2015</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2008</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LIBOR + 4.00</w:t>
            </w: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Total subordinated debentures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United Community Capital Trust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21,650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21,650</w:t>
            </w:r>
          </w:p>
        </w:tc>
        <w:tc>
          <w:tcPr>
            <w:tcW w:w="90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1998</w:t>
            </w:r>
          </w:p>
        </w:tc>
        <w:tc>
          <w:tcPr>
            <w:tcW w:w="92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89"/>
              </w:rPr>
              <w:t>2028</w:t>
            </w:r>
          </w:p>
        </w:tc>
        <w:tc>
          <w:tcPr>
            <w:tcW w:w="92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89"/>
              </w:rPr>
              <w:t>2008</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8.125</w:t>
            </w:r>
          </w:p>
        </w:tc>
        <w:tc>
          <w:tcPr>
            <w:tcW w:w="140" w:type="dxa"/>
            <w:vAlign w:val="bottom"/>
          </w:tcPr>
          <w:p>
            <w:pPr>
              <w:spacing w:after="0"/>
              <w:rPr>
                <w:sz w:val="17"/>
                <w:szCs w:val="17"/>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United Community Statutory Trust 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5,155</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2000</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2030</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10.600</w:t>
            </w:r>
          </w:p>
        </w:tc>
        <w:tc>
          <w:tcPr>
            <w:tcW w:w="14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10,309</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2000</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2030</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11.295</w:t>
            </w:r>
          </w:p>
        </w:tc>
        <w:tc>
          <w:tcPr>
            <w:tcW w:w="14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4,382</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2034</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2009</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Prime + 1.00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United Community Statutory Trust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11,787</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2038</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8"/>
                <w:szCs w:val="18"/>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United Community Statutory Trust III</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2038</w:t>
            </w:r>
          </w:p>
        </w:tc>
        <w:tc>
          <w:tcPr>
            <w:tcW w:w="9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2013</w:t>
            </w:r>
          </w:p>
        </w:tc>
        <w:tc>
          <w:tcPr>
            <w:tcW w:w="3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Prime + 3.00</w:t>
            </w: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Total trust preferred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54,486</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150,066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150,986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is paid semiannually for all subordinated debentures and trust preferred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Subordinated Debentures</w:t>
      </w:r>
    </w:p>
    <w:p>
      <w:pPr>
        <w:spacing w:after="0" w:line="2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Subordinated debentures qualify as Tier II capital under risk based capital guidelines. The 2003 subordinated debentures are callable at par on September 30, 2010 and September 30 of each year thereafter. If not called, the interest rate increases to 7.50% and remains at that rate until maturity or until it is called. The 2008 subordinated debentures are callable at any time. United acquired $1 million of the 2002 subordinated debentures through its acquisition of Southern Community Bank and retired them upon acquisition.</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Trust Preferred Securities</w:t>
      </w:r>
    </w:p>
    <w:p>
      <w:pPr>
        <w:spacing w:after="0" w:line="2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Trust preferred securities qualify as Tier I capital under risk based capital guidelines subject to certain limitations. The trust preferred securities are mandatorily redeemable upon maturity, or upon earlier redemption at a premium as provided in the indentures.</w:t>
      </w:r>
    </w:p>
    <w:p>
      <w:pPr>
        <w:spacing w:after="0" w:line="21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trust preferred securities issued under United Community Statutory Trust II and United Community Statutory Trust III are callable at par any time after October 31, 2013. These trust preferred securities have attached warrants that allow the holder to redeem the trust preferred securities in exchange for common stock at the exercise price of $20 per share. The warrants can be exercised at any time prior to October 31, 2013, the fifth anniversary of their issuance, at which time the warrants expire.</w:t>
      </w:r>
    </w:p>
    <w:p>
      <w:pPr>
        <w:spacing w:after="0" w:line="200" w:lineRule="exact"/>
        <w:rPr>
          <w:sz w:val="20"/>
          <w:szCs w:val="20"/>
          <w:color w:val="auto"/>
        </w:rPr>
      </w:pPr>
    </w:p>
    <w:p>
      <w:pPr>
        <w:spacing w:after="0" w:line="253"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United is required to report on the face of the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2009, 2008 and 2007, United paid dividends to Series A preferred stockholders totaling $14,000, $16,000 and $18,000, respectively. Additionally, in 2009 and 2008, United accrued dividends of $10.2 million and $708,000, respectively, on Series B preferred stock. The preferred stock dividends were subtracted from net (loss) income in order to arrive at net (loss) income available to common shareholders. There is no dilution from dilutive securities for the years ended December 31, 2009 and 2008, due to the antidilutive effect of the net loss for those periods.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sets forth the computation of basic and diluted earnings per common share for the years ended December 31, 2009, 2008 and 2007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Net (loss) income available to common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(238,569)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(64,174)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57,975</w:t>
            </w:r>
          </w:p>
        </w:tc>
        <w:tc>
          <w:tcPr>
            <w:tcW w:w="0" w:type="dxa"/>
            <w:vAlign w:val="bottom"/>
          </w:tcPr>
          <w:p>
            <w:pPr>
              <w:spacing w:after="0"/>
              <w:rPr>
                <w:sz w:val="1"/>
                <w:szCs w:val="1"/>
                <w:color w:val="auto"/>
              </w:rPr>
            </w:pPr>
          </w:p>
        </w:tc>
      </w:tr>
      <w:tr>
        <w:trPr>
          <w:trHeight w:val="21"/>
        </w:trPr>
        <w:tc>
          <w:tcPr>
            <w:tcW w:w="4840" w:type="dxa"/>
            <w:vAlign w:val="bottom"/>
            <w:vMerge w:val="restart"/>
          </w:tcPr>
          <w:p>
            <w:pPr>
              <w:spacing w:after="0"/>
              <w:rPr>
                <w:sz w:val="20"/>
                <w:szCs w:val="20"/>
                <w:color w:val="auto"/>
              </w:rPr>
            </w:pPr>
            <w:r>
              <w:rPr>
                <w:rFonts w:ascii="Arial" w:cs="Arial" w:eastAsia="Arial" w:hAnsi="Arial"/>
                <w:sz w:val="18"/>
                <w:szCs w:val="18"/>
                <w:color w:val="auto"/>
              </w:rPr>
              <w:t>(Loss) earnings per common share:</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418"/>
        </w:trPr>
        <w:tc>
          <w:tcPr>
            <w:tcW w:w="484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7"/>
        </w:trPr>
        <w:tc>
          <w:tcPr>
            <w:tcW w:w="4840" w:type="dxa"/>
            <w:vAlign w:val="bottom"/>
          </w:tcPr>
          <w:p>
            <w:pPr>
              <w:ind w:left="320"/>
              <w:spacing w:after="0"/>
              <w:rPr>
                <w:sz w:val="20"/>
                <w:szCs w:val="20"/>
                <w:color w:val="auto"/>
              </w:rPr>
            </w:pPr>
            <w:r>
              <w:rPr>
                <w:rFonts w:ascii="Arial" w:cs="Arial" w:eastAsia="Arial" w:hAnsi="Arial"/>
                <w:sz w:val="18"/>
                <w:szCs w:val="18"/>
                <w:color w:val="auto"/>
              </w:rPr>
              <w:t>Warrants</w:t>
            </w: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46,593</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(benefit) expense for the years ended December 31, 2009, 2008 and 2007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(40,340)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(24,099)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45,827</w:t>
            </w:r>
          </w:p>
        </w:tc>
        <w:tc>
          <w:tcPr>
            <w:tcW w:w="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(53,885)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(14,228)</w:t>
            </w: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32"/>
        </w:trPr>
        <w:tc>
          <w:tcPr>
            <w:tcW w:w="5920" w:type="dxa"/>
            <w:vAlign w:val="bottom"/>
          </w:tcPr>
          <w:p>
            <w:pPr>
              <w:ind w:left="320"/>
              <w:spacing w:after="0"/>
              <w:rPr>
                <w:sz w:val="20"/>
                <w:szCs w:val="20"/>
                <w:color w:val="auto"/>
              </w:rPr>
            </w:pPr>
            <w:r>
              <w:rPr>
                <w:rFonts w:ascii="Arial" w:cs="Arial" w:eastAsia="Arial" w:hAnsi="Arial"/>
                <w:sz w:val="18"/>
                <w:szCs w:val="18"/>
                <w:color w:val="auto"/>
              </w:rPr>
              <w:t>Total income tax (benefit)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(90,353)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(37,665)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31,599</w:t>
            </w:r>
          </w:p>
        </w:tc>
        <w:tc>
          <w:tcPr>
            <w:tcW w:w="60" w:type="dxa"/>
            <w:vAlign w:val="bottom"/>
          </w:tcPr>
          <w:p>
            <w:pPr>
              <w:spacing w:after="0"/>
              <w:rPr>
                <w:sz w:val="24"/>
                <w:szCs w:val="24"/>
                <w:color w:val="auto"/>
              </w:rPr>
            </w:pPr>
          </w:p>
        </w:tc>
      </w:tr>
      <w:tr>
        <w:trPr>
          <w:trHeight w:val="21"/>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differences between the provision for income taxes and the amount computed by applying the statutory federal income tax rate of 35% to (loss)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income 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0" w:type="dxa"/>
            <w:vAlign w:val="bottom"/>
          </w:tcPr>
          <w:p>
            <w:pPr>
              <w:ind w:left="1140"/>
              <w:spacing w:after="0"/>
              <w:rPr>
                <w:sz w:val="20"/>
                <w:szCs w:val="20"/>
                <w:color w:val="auto"/>
              </w:rPr>
            </w:pPr>
            <w:r>
              <w:rPr>
                <w:rFonts w:ascii="Arial" w:cs="Arial" w:eastAsia="Arial" w:hAnsi="Arial"/>
                <w:sz w:val="18"/>
                <w:szCs w:val="18"/>
                <w:color w:val="auto"/>
              </w:rPr>
              <w:t>Pretax (loss) earnings at statutory rates</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(111,538)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(35,390)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31,357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140"/>
              <w:spacing w:after="0"/>
              <w:rPr>
                <w:sz w:val="20"/>
                <w:szCs w:val="20"/>
                <w:color w:val="auto"/>
              </w:rPr>
            </w:pPr>
            <w:r>
              <w:rPr>
                <w:rFonts w:ascii="Arial" w:cs="Arial" w:eastAsia="Arial" w:hAnsi="Arial"/>
                <w:sz w:val="18"/>
                <w:szCs w:val="18"/>
                <w:color w:val="auto"/>
              </w:rPr>
              <w:t>Add (deduct):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State taxes, net of federal benefit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Nondeductible goodwill impairment charges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Bank owned life insurance earnings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18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Adjustment to reserve for uncertain tax positions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Tax-exempt interest revenue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18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Nondeductible interest expense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Tax credits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18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Incentive stock option expense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80"/>
              <w:spacing w:after="0"/>
              <w:rPr>
                <w:sz w:val="20"/>
                <w:szCs w:val="20"/>
                <w:color w:val="auto"/>
              </w:rPr>
            </w:pPr>
            <w:r>
              <w:rPr>
                <w:rFonts w:ascii="Arial" w:cs="Arial" w:eastAsia="Arial" w:hAnsi="Arial"/>
                <w:sz w:val="18"/>
                <w:szCs w:val="18"/>
                <w:color w:val="auto"/>
              </w:rPr>
              <w:t>Change in valuation allowance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8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11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200" w:type="dxa"/>
            <w:vAlign w:val="bottom"/>
          </w:tcPr>
          <w:p>
            <w:pPr>
              <w:ind w:left="1380"/>
              <w:spacing w:after="0"/>
              <w:rPr>
                <w:sz w:val="20"/>
                <w:szCs w:val="20"/>
                <w:color w:val="auto"/>
              </w:rPr>
            </w:pPr>
            <w:r>
              <w:rPr>
                <w:rFonts w:ascii="Arial" w:cs="Arial" w:eastAsia="Arial" w:hAnsi="Arial"/>
                <w:sz w:val="18"/>
                <w:szCs w:val="18"/>
                <w:color w:val="auto"/>
              </w:rPr>
              <w:t>Total income tax (benefit) expense</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(90,353)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(37,665)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840" w:type="dxa"/>
            <w:vAlign w:val="bottom"/>
            <w:vMerge w:val="restart"/>
          </w:tcPr>
          <w:p>
            <w:pPr>
              <w:jc w:val="right"/>
              <w:ind w:right="1150"/>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2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7" w:lineRule="exact"/>
        <w:rPr>
          <w:rFonts w:ascii="Arial" w:cs="Arial" w:eastAsia="Arial" w:hAnsi="Arial"/>
          <w:sz w:val="18"/>
          <w:szCs w:val="18"/>
          <w:b w:val="1"/>
          <w:bCs w:val="1"/>
          <w:color w:val="auto"/>
        </w:rPr>
      </w:pPr>
    </w:p>
    <w:p>
      <w:pPr>
        <w:ind w:left="5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following summarizes the sources and expected tax consequences of future taxable deductions (revenue) which comprise the net deferred tax asset at December 31, 2009 and 2008, which is included in other assets (in thousands):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Allowances for loan losses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60,656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47,421</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5,659</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5,059</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Reserve for losses on foreclosed properties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Nonqualified share based compensation</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Investment in low income housing tax credit partnerships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37"/>
        </w:trPr>
        <w:tc>
          <w:tcPr>
            <w:tcW w:w="706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439"/>
        </w:trPr>
        <w:tc>
          <w:tcPr>
            <w:tcW w:w="706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123,440</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64,407</w:t>
            </w:r>
          </w:p>
        </w:tc>
      </w:tr>
      <w:tr>
        <w:trPr>
          <w:trHeight w:val="418"/>
        </w:trPr>
        <w:tc>
          <w:tcPr>
            <w:tcW w:w="7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Unrealized gains on cash flow hedges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27,761</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6,708</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6,332</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5,976</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Loan origination costs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Gain from acquisition of Southern Community Bank</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439"/>
        </w:trPr>
        <w:tc>
          <w:tcPr>
            <w:tcW w:w="706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50,330</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50,329</w:t>
            </w:r>
          </w:p>
        </w:tc>
      </w:tr>
      <w:tr>
        <w:trPr>
          <w:trHeight w:val="439"/>
        </w:trPr>
        <w:tc>
          <w:tcPr>
            <w:tcW w:w="70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7060" w:type="dxa"/>
            <w:vAlign w:val="bottom"/>
          </w:tcPr>
          <w:p>
            <w:pPr>
              <w:ind w:left="460"/>
              <w:spacing w:after="0"/>
              <w:rPr>
                <w:sz w:val="20"/>
                <w:szCs w:val="20"/>
                <w:color w:val="auto"/>
              </w:rPr>
            </w:pPr>
            <w:r>
              <w:rPr>
                <w:rFonts w:ascii="Arial" w:cs="Arial" w:eastAsia="Arial" w:hAnsi="Arial"/>
                <w:sz w:val="18"/>
                <w:szCs w:val="18"/>
                <w:color w:val="auto"/>
              </w:rPr>
              <w:t>Net deferred tax asset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69,238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14,078</w:t>
            </w:r>
          </w:p>
        </w:tc>
      </w:tr>
      <w:tr>
        <w:trPr>
          <w:trHeight w:val="21"/>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right="20"/>
        <w:spacing w:after="0" w:line="288" w:lineRule="auto"/>
        <w:rPr>
          <w:sz w:val="20"/>
          <w:szCs w:val="20"/>
          <w:color w:val="auto"/>
        </w:rPr>
      </w:pPr>
      <w:r>
        <w:rPr>
          <w:rFonts w:ascii="Arial" w:cs="Arial" w:eastAsia="Arial" w:hAnsi="Arial"/>
          <w:sz w:val="16"/>
          <w:szCs w:val="16"/>
          <w:color w:val="auto"/>
        </w:rPr>
        <w:t xml:space="preserve">At December 31, 2009, United had net deferred tax assets of $69.2 million, including a valuation allowance of $3.9 million related to state tax credits that are expected to expire unused.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2009, United’s management believes that it is more likely than not that, with the exception of the state tax credits that are expected to expire unused due to a relatively short carry forward period of three years, it will be able to realize its deferred tax benefits through its ability to carry losses forward to future profitable years. Despite recent losses and the challenging economic environment, United has a history of strong earnings, is well capitalized, and has expectations of future taxable income. The deferred tax assets are analyzed quarterly for changes affecting realizabilty, and there can be no guarantee that a valuation allowance will not be necessary in future periods.</w:t>
      </w:r>
    </w:p>
    <w:p>
      <w:pPr>
        <w:spacing w:after="0" w:line="196" w:lineRule="exact"/>
        <w:rPr>
          <w:sz w:val="20"/>
          <w:szCs w:val="20"/>
          <w:color w:val="auto"/>
        </w:rPr>
      </w:pPr>
    </w:p>
    <w:p>
      <w:pPr>
        <w:jc w:val="both"/>
        <w:ind w:left="500" w:right="40"/>
        <w:spacing w:after="0" w:line="277" w:lineRule="auto"/>
        <w:rPr>
          <w:sz w:val="20"/>
          <w:szCs w:val="20"/>
          <w:color w:val="auto"/>
        </w:rPr>
      </w:pPr>
      <w:r>
        <w:rPr>
          <w:rFonts w:ascii="Arial" w:cs="Arial" w:eastAsia="Arial" w:hAnsi="Arial"/>
          <w:sz w:val="18"/>
          <w:szCs w:val="18"/>
          <w:color w:val="auto"/>
        </w:rPr>
        <w:t>During 2009, United received refunds of previously paid income taxes of $26.1 million. During 2008 and 2007, United made income tax payments of approximately $15.2 million and $50.4 million, respectively.</w:t>
      </w:r>
    </w:p>
    <w:p>
      <w:pPr>
        <w:spacing w:after="0" w:line="197" w:lineRule="exact"/>
        <w:rPr>
          <w:sz w:val="20"/>
          <w:szCs w:val="20"/>
          <w:color w:val="auto"/>
        </w:rPr>
      </w:pPr>
    </w:p>
    <w:p>
      <w:pPr>
        <w:jc w:val="both"/>
        <w:ind w:left="500" w:right="20"/>
        <w:spacing w:after="0" w:line="297" w:lineRule="auto"/>
        <w:rPr>
          <w:sz w:val="20"/>
          <w:szCs w:val="20"/>
          <w:color w:val="auto"/>
        </w:rPr>
      </w:pPr>
      <w:r>
        <w:rPr>
          <w:rFonts w:ascii="Arial" w:cs="Arial" w:eastAsia="Arial" w:hAnsi="Arial"/>
          <w:sz w:val="16"/>
          <w:szCs w:val="16"/>
          <w:color w:val="auto"/>
        </w:rPr>
        <w:t>At December 31, 2009, United had state net operating loss carryforwards of approximately $734,000 that begin to expire in 2020; approximately $15.5 million that begin to expire in 2023, and approximately $193.1 million that begin to expire in 2024, if not previously utilized. United has state tax credit carryforwards of approximately $9.7 million that begin to expire in 2010, if not previously utilized. United has $86.3 million in Federal net operating loss carryforwards that begin to expire in 2029, if not previously utilized. United has $1.0 million of Federal general business tax credits that begin to expire in 2028, if not previously utilized as well as $2.4 million in federal alternative minimum tax credits which have no expiration date.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81" w:name="page82"/>
    <w:bookmarkEnd w:id="81"/>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72" w:hanging="472"/>
        <w:spacing w:after="0"/>
        <w:tabs>
          <w:tab w:leader="none" w:pos="4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7" w:lineRule="exact"/>
        <w:rPr>
          <w:rFonts w:ascii="Arial" w:cs="Arial" w:eastAsia="Arial" w:hAnsi="Arial"/>
          <w:sz w:val="18"/>
          <w:szCs w:val="18"/>
          <w:b w:val="1"/>
          <w:bCs w:val="1"/>
          <w:color w:val="auto"/>
        </w:rPr>
      </w:pPr>
    </w:p>
    <w:p>
      <w:pPr>
        <w:ind w:left="492" w:right="540"/>
        <w:spacing w:after="0" w:line="524"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amount of unrecognized tax benefits as of December 31, 2009, 2008 and 2007 are $8.3 million, $9.3 million, and $4.7 million, respectively. A reconciliation of the beginning and ending unrecognized tax benefit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1132"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0"/>
                <w:szCs w:val="20"/>
                <w:color w:val="auto"/>
              </w:rPr>
            </w:pPr>
          </w:p>
        </w:tc>
      </w:tr>
      <w:tr>
        <w:trPr>
          <w:trHeight w:val="418"/>
        </w:trPr>
        <w:tc>
          <w:tcPr>
            <w:tcW w:w="59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9,336</w:t>
            </w:r>
          </w:p>
        </w:tc>
        <w:tc>
          <w:tcPr>
            <w:tcW w:w="18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4,729</w:t>
            </w:r>
          </w:p>
        </w:tc>
        <w:tc>
          <w:tcPr>
            <w:tcW w:w="1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Decreases based on tax positions related to prior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Decreases based on settlements with taxing authorities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8,252</w:t>
            </w:r>
          </w:p>
        </w:tc>
        <w:tc>
          <w:tcPr>
            <w:tcW w:w="18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9,336</w:t>
            </w:r>
          </w:p>
        </w:tc>
        <w:tc>
          <w:tcPr>
            <w:tcW w:w="1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4,729</w:t>
            </w:r>
          </w:p>
        </w:tc>
        <w:tc>
          <w:tcPr>
            <w:tcW w:w="60" w:type="dxa"/>
            <w:vAlign w:val="bottom"/>
          </w:tcPr>
          <w:p>
            <w:pPr>
              <w:spacing w:after="0"/>
              <w:rPr>
                <w:sz w:val="24"/>
                <w:szCs w:val="24"/>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92"/>
        <w:spacing w:after="0" w:line="277" w:lineRule="auto"/>
        <w:rPr>
          <w:sz w:val="20"/>
          <w:szCs w:val="20"/>
          <w:color w:val="auto"/>
        </w:rPr>
      </w:pPr>
      <w:r>
        <w:rPr>
          <w:rFonts w:ascii="Arial" w:cs="Arial" w:eastAsia="Arial" w:hAnsi="Arial"/>
          <w:sz w:val="18"/>
          <w:szCs w:val="18"/>
          <w:color w:val="auto"/>
        </w:rPr>
        <w:t>Approximately $5.4 million of this amount would increase income from continuing operations, and thus affect United’s effective tax rate, if ultimately recognized into income.</w:t>
      </w:r>
    </w:p>
    <w:p>
      <w:pPr>
        <w:spacing w:after="0" w:line="197" w:lineRule="exact"/>
        <w:rPr>
          <w:sz w:val="20"/>
          <w:szCs w:val="20"/>
          <w:color w:val="auto"/>
        </w:rPr>
      </w:pPr>
    </w:p>
    <w:p>
      <w:pPr>
        <w:jc w:val="both"/>
        <w:ind w:left="492"/>
        <w:spacing w:after="0" w:line="257"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 total amount of interest and penalties recorded in the income statement for the years ended December 31, 2008 and 2007 was $880,000 and $207,000, respectively. In 2009, United recognized a net reduction of previously recorded penalties and interest of $148,000, primarily as a result of the settlement of an uncertain tax position. The amount accrued for interest and penalties at December 31, 2009 and 2008 was $1.4 million and $1.5 million, respectively.</w:t>
      </w:r>
    </w:p>
    <w:p>
      <w:pPr>
        <w:spacing w:after="0" w:line="215" w:lineRule="exact"/>
        <w:rPr>
          <w:sz w:val="20"/>
          <w:szCs w:val="20"/>
          <w:color w:val="auto"/>
        </w:rPr>
      </w:pPr>
    </w:p>
    <w:p>
      <w:pPr>
        <w:jc w:val="both"/>
        <w:ind w:left="492"/>
        <w:spacing w:after="0" w:line="255" w:lineRule="auto"/>
        <w:rPr>
          <w:sz w:val="20"/>
          <w:szCs w:val="20"/>
          <w:color w:val="auto"/>
        </w:rPr>
      </w:pPr>
      <w:r>
        <w:rPr>
          <w:rFonts w:ascii="Arial" w:cs="Arial" w:eastAsia="Arial" w:hAnsi="Arial"/>
          <w:sz w:val="18"/>
          <w:szCs w:val="18"/>
          <w:color w:val="auto"/>
        </w:rPr>
        <w:t>United is currently under examination by a state taxing authority. Based on the outcome of this examination,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the financial statements. United anticipates that this audit may be finalized in the next 12 months. However, based on the status of the examination and the protocol of finalizing audits by the taxing authority, which could include formal legal proceedings, at this time it is not possible to estimate the effect of such changes, if any, to previously recorded uncertain tax positions.</w:t>
      </w:r>
    </w:p>
    <w:p>
      <w:pPr>
        <w:spacing w:after="0" w:line="220" w:lineRule="exact"/>
        <w:rPr>
          <w:sz w:val="20"/>
          <w:szCs w:val="20"/>
          <w:color w:val="auto"/>
        </w:rPr>
      </w:pPr>
    </w:p>
    <w:p>
      <w:pPr>
        <w:jc w:val="both"/>
        <w:ind w:left="492"/>
        <w:spacing w:after="0" w:line="279" w:lineRule="auto"/>
        <w:rPr>
          <w:sz w:val="20"/>
          <w:szCs w:val="20"/>
          <w:color w:val="auto"/>
        </w:rPr>
      </w:pPr>
      <w:r>
        <w:rPr>
          <w:rFonts w:ascii="Arial" w:cs="Arial" w:eastAsia="Arial" w:hAnsi="Arial"/>
          <w:sz w:val="17"/>
          <w:szCs w:val="17"/>
          <w:color w:val="auto"/>
        </w:rPr>
        <w:t>United and its subsidiaries file a consolidated U.S. federal income tax return, as well as filing various returns in the states where its banking offices are located. United’s Georgia-filed state income tax returns are no longer subject to examination by taxing authorities for years before 2003. United’s North Carolina-filed state income tax returns are no longer subject to examination by taxing authorities for years before 2009. The federal and remaining state filed income tax returns are no longer subject to examination by taxing authorities for years before 2006.</w:t>
      </w:r>
    </w:p>
    <w:p>
      <w:pPr>
        <w:spacing w:after="0" w:line="200" w:lineRule="exact"/>
        <w:rPr>
          <w:sz w:val="20"/>
          <w:szCs w:val="20"/>
          <w:color w:val="auto"/>
        </w:rPr>
      </w:pPr>
    </w:p>
    <w:p>
      <w:pPr>
        <w:spacing w:after="0" w:line="238" w:lineRule="exact"/>
        <w:rPr>
          <w:sz w:val="20"/>
          <w:szCs w:val="20"/>
          <w:color w:val="auto"/>
        </w:rPr>
      </w:pPr>
    </w:p>
    <w:p>
      <w:pPr>
        <w:ind w:left="472" w:hanging="472"/>
        <w:spacing w:after="0"/>
        <w:tabs>
          <w:tab w:leader="none" w:pos="47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7" w:lineRule="exact"/>
        <w:rPr>
          <w:rFonts w:ascii="Arial" w:cs="Arial" w:eastAsia="Arial" w:hAnsi="Arial"/>
          <w:sz w:val="18"/>
          <w:szCs w:val="18"/>
          <w:b w:val="1"/>
          <w:bCs w:val="1"/>
          <w:color w:val="auto"/>
        </w:rPr>
      </w:pPr>
    </w:p>
    <w:p>
      <w:pPr>
        <w:jc w:val="both"/>
        <w:ind w:left="492"/>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dollar-for-dollar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Compensation expense related to the Plan totaled $3.3 million, $3.4 million and $3.3 million in 2009, 2008 and 2007, respectively. The Plan allows employees to choose to invest among a number of investment options, including United’s common stock. During 2009, 2008 and 2007, the Plan purchased 255,727, 134,792 and 71,577 shares, respectively, directly from United at the average of the high and low stock price on the date of purchase.</w:t>
      </w:r>
    </w:p>
    <w:p>
      <w:pPr>
        <w:spacing w:after="0" w:line="197" w:lineRule="exact"/>
        <w:rPr>
          <w:rFonts w:ascii="Arial" w:cs="Arial" w:eastAsia="Arial" w:hAnsi="Arial"/>
          <w:sz w:val="18"/>
          <w:szCs w:val="18"/>
          <w:b w:val="1"/>
          <w:bCs w:val="1"/>
          <w:color w:val="auto"/>
        </w:rPr>
      </w:pPr>
    </w:p>
    <w:p>
      <w:pPr>
        <w:ind w:left="49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provides defined post-retirement benefits to certain executive officers and other key employees. Expenses incurred for these post-retirement benefits were approximately $1,730,000, $1,421,000 and $860,000 for 2009, 2008 and 2007, respectively.</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continued</w:t>
      </w:r>
    </w:p>
    <w:p>
      <w:pPr>
        <w:spacing w:after="0" w:line="27" w:lineRule="exact"/>
        <w:rPr>
          <w:rFonts w:ascii="Arial" w:cs="Arial" w:eastAsia="Arial" w:hAnsi="Arial"/>
          <w:sz w:val="18"/>
          <w:szCs w:val="18"/>
          <w:b w:val="1"/>
          <w:bCs w:val="1"/>
          <w:color w:val="auto"/>
        </w:rPr>
      </w:pPr>
    </w:p>
    <w:p>
      <w:pPr>
        <w:jc w:val="both"/>
        <w:ind w:left="5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United sponsors a non-qualified deferred compensation plan for its executive officers, certain other key employees and members of its, and its community banks’ Boards of Directors. The deferred compensation plan provides for the pre-tax deferral of compensation, fees and other specified benefits. The deferred compensation plan permits each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2009, 2008 and 2007, United recognized $12,000, $133,000 and $147,000, respectively, in matching contributions for this provision of the deferred compensation plan. The Board of Directors may elect to make a discretionary contribution to any or all participants.</w:t>
      </w:r>
    </w:p>
    <w:p>
      <w:pPr>
        <w:spacing w:after="0" w:line="200" w:lineRule="exact"/>
        <w:rPr>
          <w:rFonts w:ascii="Arial" w:cs="Arial" w:eastAsia="Arial" w:hAnsi="Arial"/>
          <w:sz w:val="18"/>
          <w:szCs w:val="18"/>
          <w:b w:val="1"/>
          <w:bCs w:val="1"/>
          <w:color w:val="auto"/>
        </w:rPr>
      </w:pPr>
    </w:p>
    <w:p>
      <w:pPr>
        <w:spacing w:after="0" w:line="234" w:lineRule="exact"/>
        <w:rPr>
          <w:rFonts w:ascii="Arial" w:cs="Arial" w:eastAsia="Arial" w:hAnsi="Arial"/>
          <w:sz w:val="18"/>
          <w:szCs w:val="18"/>
          <w:b w:val="1"/>
          <w:bCs w:val="1"/>
          <w:color w:val="auto"/>
        </w:rPr>
      </w:pPr>
    </w:p>
    <w:p>
      <w:pPr>
        <w:ind w:left="480" w:hanging="472"/>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Management Objective of Using Derivatives</w:t>
      </w:r>
    </w:p>
    <w:p>
      <w:pPr>
        <w:spacing w:after="0" w:line="9"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20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December 31, 2009 and 2008 </w:t>
      </w:r>
      <w:r>
        <w:rPr>
          <w:rFonts w:ascii="Arial" w:cs="Arial" w:eastAsia="Arial" w:hAnsi="Arial"/>
          <w:sz w:val="18"/>
          <w:szCs w:val="18"/>
          <w:i w:val="1"/>
          <w:iCs w:val="1"/>
          <w:color w:val="auto"/>
        </w:rPr>
        <w:t>(in thousands).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Derivatives Designated as Hedging Instruments under ASC 815</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7"/>
              </w:rPr>
              <w:t>Fair Value</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7"/>
                <w:szCs w:val="17"/>
                <w:color w:val="auto"/>
              </w:rPr>
            </w:pPr>
          </w:p>
        </w:tc>
        <w:tc>
          <w:tcPr>
            <w:tcW w:w="1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7"/>
                <w:szCs w:val="17"/>
                <w:color w:val="auto"/>
              </w:rPr>
            </w:pPr>
          </w:p>
        </w:tc>
      </w:tr>
      <w:tr>
        <w:trPr>
          <w:trHeight w:val="241"/>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2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2008</w:t>
            </w:r>
          </w:p>
        </w:tc>
        <w:tc>
          <w:tcPr>
            <w:tcW w:w="20" w:type="dxa"/>
            <w:vAlign w:val="bottom"/>
          </w:tcPr>
          <w:p>
            <w:pPr>
              <w:spacing w:after="0"/>
              <w:rPr>
                <w:sz w:val="20"/>
                <w:szCs w:val="20"/>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w w:val="95"/>
              </w:rPr>
              <w:t>Asset derivatives</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10,692</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81,612</w:t>
            </w:r>
          </w:p>
        </w:tc>
      </w:tr>
      <w:tr>
        <w:trPr>
          <w:trHeight w:val="21"/>
        </w:trPr>
        <w:tc>
          <w:tcPr>
            <w:tcW w:w="1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United’s objectives in using interest rate derivatives are to add stability to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December 31, 2009, United had two interest rate swaps with an aggregate notional amount of $100 million and one interest rate floor with an aggregate notional amount of $100 million that were designated as cash flow hedges of interest rate risk.</w:t>
      </w:r>
    </w:p>
    <w:p>
      <w:pPr>
        <w:spacing w:after="0" w:line="21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2009 and 2008, such derivatives were used to hedge the variable cash flows associated with existing prime-based, variable-rate loans. The ineffective portion of the change in fair value of the derivatives is recognized directly in earnings. No hedge ineffectiveness was recognized on derivative financial instruments designated as cash flow hedges during the year ended December 31, 2008. For the year ended December 31, 2009, $3,000 was recognized in other expense related to ineffectiveness of cash flow hedges as described in the following paragraph.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7" w:lineRule="exact"/>
        <w:rPr>
          <w:rFonts w:ascii="Arial" w:cs="Arial" w:eastAsia="Arial" w:hAnsi="Arial"/>
          <w:sz w:val="18"/>
          <w:szCs w:val="18"/>
          <w:b w:val="1"/>
          <w:bCs w:val="1"/>
          <w:color w:val="auto"/>
        </w:rPr>
      </w:pPr>
    </w:p>
    <w:p>
      <w:pPr>
        <w:jc w:val="both"/>
        <w:ind w:left="5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Amounts reported in accumulated other comprehensive income related to derivatives will be reclassified to interest revenue as interest payments are received on United’s prime-based, variable-rate loans. During the year ended December 31, 2009, United accelerated the reclassification of an unrealized loss in accumulated other comprehensive income of $3,000 to earnings, as a result of the hedged forecasted transactions becoming probable not to occur. During the next twelve months, United estimates that an additional $18.6 million will be reclassified as an increase to interest revenue.</w:t>
      </w:r>
    </w:p>
    <w:p>
      <w:pPr>
        <w:spacing w:after="0" w:line="1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Hedges of Interest Rate Risk</w:t>
      </w:r>
    </w:p>
    <w:p>
      <w:pPr>
        <w:spacing w:after="0" w:line="27" w:lineRule="exact"/>
        <w:rPr>
          <w:rFonts w:ascii="Arial" w:cs="Arial" w:eastAsia="Arial" w:hAnsi="Arial"/>
          <w:sz w:val="18"/>
          <w:szCs w:val="18"/>
          <w:b w:val="1"/>
          <w:bCs w:val="1"/>
          <w:color w:val="auto"/>
        </w:rPr>
      </w:pPr>
    </w:p>
    <w:p>
      <w:pPr>
        <w:jc w:val="both"/>
        <w:ind w:left="50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December 31, 2009, United had three interest rate swaps with an aggregate notional amount of $195 million that were designated as fair value hedges of interest rate risk.</w:t>
      </w:r>
    </w:p>
    <w:p>
      <w:pPr>
        <w:spacing w:after="0" w:line="189"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years ended December 31, 2009 and 2008, United recognized net (losses)/gains of $(393,000) and $139,000, respectively, related to ineffectiveness of the fair value hedging relationships. The net impact of United’s fair value hedges to interest expense was a net reduction of interest expense of $6.2 million and $2.1 million for the years ended December 31, 2009 and 2008, respectively, related to United’s fair value hedges, which includes net settlements on the derivatives.</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tables below present the effect of United’s derivative financial instruments on the consolidated statement of income for the years ended December 31, 2009 and 2008.</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3000" w:type="dxa"/>
            <w:vAlign w:val="bottom"/>
            <w:gridSpan w:val="5"/>
          </w:tcPr>
          <w:p>
            <w:pPr>
              <w:ind w:left="300"/>
              <w:spacing w:after="0"/>
              <w:rPr>
                <w:sz w:val="20"/>
                <w:szCs w:val="20"/>
                <w:color w:val="auto"/>
              </w:rPr>
            </w:pPr>
            <w:r>
              <w:rPr>
                <w:rFonts w:ascii="Arial" w:cs="Arial" w:eastAsia="Arial" w:hAnsi="Arial"/>
                <w:sz w:val="18"/>
                <w:szCs w:val="18"/>
                <w:b w:val="1"/>
                <w:bCs w:val="1"/>
                <w:color w:val="auto"/>
                <w:w w:val="89"/>
              </w:rPr>
              <w:t>Amount of Gain (Loss) Recognized</w:t>
            </w:r>
          </w:p>
        </w:tc>
      </w:tr>
      <w:tr>
        <w:trPr>
          <w:trHeight w:val="241"/>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Recognized in Income</w:t>
            </w:r>
          </w:p>
        </w:tc>
        <w:tc>
          <w:tcPr>
            <w:tcW w:w="300" w:type="dxa"/>
            <w:vAlign w:val="bottom"/>
          </w:tcPr>
          <w:p>
            <w:pPr>
              <w:spacing w:after="0"/>
              <w:rPr>
                <w:sz w:val="20"/>
                <w:szCs w:val="20"/>
                <w:color w:val="auto"/>
              </w:rPr>
            </w:pPr>
          </w:p>
        </w:tc>
        <w:tc>
          <w:tcPr>
            <w:tcW w:w="2700" w:type="dxa"/>
            <w:vAlign w:val="bottom"/>
            <w:gridSpan w:val="4"/>
          </w:tcPr>
          <w:p>
            <w:pPr>
              <w:ind w:left="400"/>
              <w:spacing w:after="0"/>
              <w:rPr>
                <w:sz w:val="20"/>
                <w:szCs w:val="20"/>
                <w:color w:val="auto"/>
              </w:rPr>
            </w:pPr>
            <w:r>
              <w:rPr>
                <w:rFonts w:ascii="Arial" w:cs="Arial" w:eastAsia="Arial" w:hAnsi="Arial"/>
                <w:sz w:val="18"/>
                <w:szCs w:val="18"/>
                <w:b w:val="1"/>
                <w:bCs w:val="1"/>
                <w:color w:val="auto"/>
              </w:rPr>
              <w:t>in Income on Derivative</w:t>
            </w:r>
          </w:p>
        </w:tc>
      </w:tr>
      <w:tr>
        <w:trPr>
          <w:trHeight w:val="223"/>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on Derivative</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720" w:hanging="296"/>
        <w:spacing w:after="0" w:line="299" w:lineRule="auto"/>
        <w:rPr>
          <w:sz w:val="20"/>
          <w:szCs w:val="20"/>
          <w:color w:val="auto"/>
        </w:rPr>
      </w:pPr>
      <w:r>
        <w:rPr>
          <w:rFonts w:ascii="Arial" w:cs="Arial" w:eastAsia="Arial" w:hAnsi="Arial"/>
          <w:sz w:val="16"/>
          <w:szCs w:val="16"/>
          <w:b w:val="1"/>
          <w:bCs w:val="1"/>
          <w:color w:val="auto"/>
        </w:rPr>
        <w:t>Amount of Gain (Loss) Recognized in Income on Hedged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-4445</wp:posOffset>
            </wp:positionV>
            <wp:extent cx="1672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ind w:left="80"/>
        <w:spacing w:after="0"/>
        <w:tabs>
          <w:tab w:leader="none" w:pos="160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17145</wp:posOffset>
            </wp:positionV>
            <wp:extent cx="1672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6860" w:space="440"/>
            <w:col w:w="4120"/>
          </w:cols>
          <w:pgMar w:left="240" w:top="364" w:right="239" w:bottom="1440" w:gutter="0" w:footer="0" w:header="0"/>
          <w:type w:val="continuous"/>
        </w:sectPr>
      </w:pPr>
    </w:p>
    <w:p>
      <w:pPr>
        <w:spacing w:after="0" w:line="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Other fee revenue</w:t>
            </w:r>
          </w:p>
        </w:tc>
        <w:tc>
          <w:tcPr>
            <w:tcW w:w="5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
        </w:trPr>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rPr>
              <w:t>Other expense</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(3,177)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6,313</w:t>
            </w:r>
          </w:p>
        </w:tc>
        <w:tc>
          <w:tcPr>
            <w:tcW w:w="4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2,612</w:t>
            </w: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(6,173)</w:t>
            </w:r>
          </w:p>
        </w:tc>
      </w:tr>
      <w:tr>
        <w:trPr>
          <w:trHeight w:val="21"/>
        </w:trPr>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Amount of Gain (Loss)</w:t>
            </w:r>
          </w:p>
        </w:tc>
        <w:tc>
          <w:tcPr>
            <w:tcW w:w="2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Location of Gain (Loss)</w:t>
            </w:r>
          </w:p>
        </w:tc>
        <w:tc>
          <w:tcPr>
            <w:tcW w:w="12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r>
      <w:tr>
        <w:trPr>
          <w:trHeight w:val="216"/>
        </w:trPr>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0"/>
              </w:rPr>
              <w:t>Recognized in Other</w:t>
            </w:r>
          </w:p>
        </w:tc>
        <w:tc>
          <w:tcPr>
            <w:tcW w:w="2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Reclassified from</w:t>
            </w:r>
          </w:p>
        </w:tc>
        <w:tc>
          <w:tcPr>
            <w:tcW w:w="12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Reclassified from Accumulated</w:t>
            </w:r>
          </w:p>
        </w:tc>
      </w:tr>
      <w:tr>
        <w:trPr>
          <w:trHeight w:val="216"/>
        </w:trPr>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Comprehensive Income</w:t>
            </w:r>
          </w:p>
        </w:tc>
        <w:tc>
          <w:tcPr>
            <w:tcW w:w="2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Accumulated Other</w:t>
            </w:r>
          </w:p>
        </w:tc>
        <w:tc>
          <w:tcPr>
            <w:tcW w:w="12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Other Comprehensive Income</w:t>
            </w:r>
          </w:p>
        </w:tc>
      </w:tr>
      <w:tr>
        <w:trPr>
          <w:trHeight w:val="216"/>
        </w:trPr>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on Derivative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Comprehensive Income</w:t>
            </w:r>
          </w:p>
        </w:tc>
        <w:tc>
          <w:tcPr>
            <w:tcW w:w="120" w:type="dxa"/>
            <w:vAlign w:val="bottom"/>
          </w:tcPr>
          <w:p>
            <w:pPr>
              <w:spacing w:after="0"/>
              <w:rPr>
                <w:sz w:val="18"/>
                <w:szCs w:val="18"/>
                <w:color w:val="auto"/>
              </w:rPr>
            </w:pPr>
          </w:p>
        </w:tc>
        <w:tc>
          <w:tcPr>
            <w:tcW w:w="176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w w:val="91"/>
              </w:rPr>
              <w:t>into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1"/>
              </w:rPr>
              <w:t>(Effective Portion)</w:t>
            </w:r>
          </w:p>
        </w:tc>
        <w:tc>
          <w:tcPr>
            <w:tcW w:w="2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into Income</w:t>
            </w:r>
          </w:p>
        </w:tc>
        <w:tc>
          <w:tcPr>
            <w:tcW w:w="120" w:type="dxa"/>
            <w:vAlign w:val="bottom"/>
          </w:tcPr>
          <w:p>
            <w:pPr>
              <w:spacing w:after="0"/>
              <w:rPr>
                <w:sz w:val="20"/>
                <w:szCs w:val="20"/>
                <w:color w:val="auto"/>
              </w:rPr>
            </w:pPr>
          </w:p>
        </w:tc>
        <w:tc>
          <w:tcPr>
            <w:tcW w:w="27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(Effective Portion)</w:t>
            </w:r>
          </w:p>
        </w:tc>
      </w:tr>
      <w:tr>
        <w:trPr>
          <w:trHeight w:val="223"/>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(Effective Portion)</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Interest rate products</w:t>
            </w:r>
          </w:p>
        </w:tc>
        <w:tc>
          <w:tcPr>
            <w:tcW w:w="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(1,453)</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83,057</w:t>
            </w:r>
          </w:p>
        </w:tc>
        <w:tc>
          <w:tcPr>
            <w:tcW w:w="262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36,793</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27,347</w:t>
            </w:r>
          </w:p>
        </w:tc>
      </w:tr>
      <w:tr>
        <w:trPr>
          <w:trHeight w:val="237"/>
        </w:trPr>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tcPr>
          <w:p>
            <w:pPr>
              <w:ind w:left="22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0"/>
              </w:rPr>
              <w:t>(1,453)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83,057</w:t>
            </w: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27,347</w:t>
            </w:r>
          </w:p>
        </w:tc>
        <w:tc>
          <w:tcPr>
            <w:tcW w:w="100" w:type="dxa"/>
            <w:vAlign w:val="bottom"/>
          </w:tcPr>
          <w:p>
            <w:pPr>
              <w:spacing w:after="0"/>
              <w:rPr>
                <w:sz w:val="18"/>
                <w:szCs w:val="18"/>
                <w:color w:val="auto"/>
              </w:rPr>
            </w:pPr>
          </w:p>
        </w:tc>
      </w:tr>
      <w:tr>
        <w:trPr>
          <w:trHeight w:val="21"/>
        </w:trPr>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500" w:right="7420" w:hanging="492"/>
        <w:spacing w:after="0" w:line="293" w:lineRule="auto"/>
        <w:tabs>
          <w:tab w:leader="none" w:pos="49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Derivatives and Hedging Activities, continued Credit-risk-related Contingent Features</w:t>
      </w:r>
    </w:p>
    <w:p>
      <w:pPr>
        <w:spacing w:after="0" w:line="1" w:lineRule="exact"/>
        <w:rPr>
          <w:rFonts w:ascii="Arial" w:cs="Arial" w:eastAsia="Arial" w:hAnsi="Arial"/>
          <w:sz w:val="16"/>
          <w:szCs w:val="16"/>
          <w:b w:val="1"/>
          <w:bCs w:val="1"/>
          <w:color w:val="auto"/>
        </w:rPr>
      </w:pPr>
    </w:p>
    <w:p>
      <w:pPr>
        <w:jc w:val="both"/>
        <w:ind w:left="5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217" w:lineRule="exact"/>
        <w:rPr>
          <w:rFonts w:ascii="Arial" w:cs="Arial" w:eastAsia="Arial" w:hAnsi="Arial"/>
          <w:sz w:val="16"/>
          <w:szCs w:val="16"/>
          <w:b w:val="1"/>
          <w:bCs w:val="1"/>
          <w:color w:val="auto"/>
        </w:rPr>
      </w:pPr>
    </w:p>
    <w:p>
      <w:pPr>
        <w:jc w:val="both"/>
        <w:ind w:left="50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the counterparty could terminate the derivative positions and United would be required to settle its obligations under the agreements.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I leverage ratio of 5.0%, a minimum Tier I risk-based capital ratio of 6.0%, and a minimum total risk-based capital ratio of 10%, it could be declared in default on its derivative obligations. In addition, United has agreements with its derivative counterparties that require United’s debt to maintain an investment grade credit rating from each of the major credit rating agencies. If United’s credit rating is reduced below investment grade, then a termination event is deemed to have occurred and the non-affected counterparty shall have the right, but not the obligation, to terminate all affected transactions under the agreement. As of December 31, 2009, United did not have any derivatives in a net liability position.</w:t>
      </w:r>
    </w:p>
    <w:p>
      <w:pPr>
        <w:spacing w:after="0" w:line="200" w:lineRule="exact"/>
        <w:rPr>
          <w:rFonts w:ascii="Arial" w:cs="Arial" w:eastAsia="Arial" w:hAnsi="Arial"/>
          <w:sz w:val="16"/>
          <w:szCs w:val="16"/>
          <w:b w:val="1"/>
          <w:bCs w:val="1"/>
          <w:color w:val="auto"/>
        </w:rPr>
      </w:pPr>
    </w:p>
    <w:p>
      <w:pPr>
        <w:spacing w:after="0" w:line="246" w:lineRule="exact"/>
        <w:rPr>
          <w:rFonts w:ascii="Arial" w:cs="Arial" w:eastAsia="Arial" w:hAnsi="Arial"/>
          <w:sz w:val="16"/>
          <w:szCs w:val="16"/>
          <w:b w:val="1"/>
          <w:bCs w:val="1"/>
          <w:color w:val="auto"/>
        </w:rPr>
      </w:pPr>
    </w:p>
    <w:p>
      <w:pPr>
        <w:jc w:val="both"/>
        <w:ind w:left="500" w:right="9360" w:hanging="492"/>
        <w:spacing w:after="0" w:line="293" w:lineRule="auto"/>
        <w:tabs>
          <w:tab w:leader="none" w:pos="49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u w:val="single" w:color="auto"/>
          <w:color w:val="auto"/>
        </w:rPr>
        <w:t>Capital Requirements</w:t>
      </w:r>
    </w:p>
    <w:p>
      <w:pPr>
        <w:spacing w:after="0" w:line="1" w:lineRule="exact"/>
        <w:rPr>
          <w:rFonts w:ascii="Arial" w:cs="Arial" w:eastAsia="Arial" w:hAnsi="Arial"/>
          <w:sz w:val="16"/>
          <w:szCs w:val="16"/>
          <w:b w:val="1"/>
          <w:bCs w:val="1"/>
          <w:color w:val="auto"/>
        </w:rPr>
      </w:pPr>
    </w:p>
    <w:p>
      <w:pPr>
        <w:jc w:val="both"/>
        <w:ind w:left="50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221" w:lineRule="exact"/>
        <w:rPr>
          <w:rFonts w:ascii="Arial" w:cs="Arial" w:eastAsia="Arial" w:hAnsi="Arial"/>
          <w:sz w:val="16"/>
          <w:szCs w:val="16"/>
          <w:b w:val="1"/>
          <w:bCs w:val="1"/>
          <w:color w:val="auto"/>
        </w:rPr>
      </w:pPr>
    </w:p>
    <w:p>
      <w:pPr>
        <w:ind w:left="5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Quantitative measures (as defined) established by regulation to ensure capital adequacy require United and the Bank to maintain minimum amounts and ratios of Total capital and Tier I capital to risk-weighted assets, and of Tier I capital to average assets.</w:t>
      </w:r>
    </w:p>
    <w:p>
      <w:pPr>
        <w:spacing w:after="0" w:line="197" w:lineRule="exact"/>
        <w:rPr>
          <w:rFonts w:ascii="Arial" w:cs="Arial" w:eastAsia="Arial" w:hAnsi="Arial"/>
          <w:sz w:val="16"/>
          <w:szCs w:val="16"/>
          <w:b w:val="1"/>
          <w:bCs w:val="1"/>
          <w:color w:val="auto"/>
        </w:rPr>
      </w:pPr>
    </w:p>
    <w:p>
      <w:pPr>
        <w:jc w:val="both"/>
        <w:ind w:left="50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As of December 31, 2009, the Bank was categorized as well-capitalized under the regulatory framework for prompt corrective action. To be categorized as well-capitalized, the Bank must exceed the well-capitalized guideline ratios, as set forth in the table and meet certain other requirements. Management believes that the Bank exceeded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I risk-based capital ratio of 6% and a minimum Total risk-based capital ratio of 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Minimum amounts required for capital adequacy purposes and to be well-capitalized under prompt corrective action provisions are presented below for United and the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300" w:type="dxa"/>
            <w:vAlign w:val="bottom"/>
            <w:gridSpan w:val="4"/>
          </w:tcPr>
          <w:p>
            <w:pPr>
              <w:ind w:left="620"/>
              <w:spacing w:after="0"/>
              <w:rPr>
                <w:sz w:val="20"/>
                <w:szCs w:val="20"/>
                <w:color w:val="auto"/>
              </w:rPr>
            </w:pPr>
            <w:r>
              <w:rPr>
                <w:rFonts w:ascii="Arial" w:cs="Arial" w:eastAsia="Arial" w:hAnsi="Arial"/>
                <w:sz w:val="18"/>
                <w:szCs w:val="18"/>
                <w:color w:val="auto"/>
              </w:rPr>
              <w:t>Regulatory</w:t>
            </w:r>
          </w:p>
        </w:tc>
        <w:tc>
          <w:tcPr>
            <w:tcW w:w="12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United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ind w:left="720"/>
              <w:spacing w:after="0"/>
              <w:rPr>
                <w:sz w:val="20"/>
                <w:szCs w:val="20"/>
                <w:color w:val="auto"/>
              </w:rPr>
            </w:pPr>
            <w:r>
              <w:rPr>
                <w:rFonts w:ascii="Arial" w:cs="Arial" w:eastAsia="Arial" w:hAnsi="Arial"/>
                <w:sz w:val="18"/>
                <w:szCs w:val="18"/>
                <w:color w:val="auto"/>
              </w:rPr>
              <w:t>United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280" w:type="dxa"/>
            <w:vAlign w:val="bottom"/>
          </w:tcPr>
          <w:p>
            <w:pPr>
              <w:spacing w:after="0"/>
              <w:rPr>
                <w:sz w:val="20"/>
                <w:szCs w:val="20"/>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rPr>
              <w:t>Guidelines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(consolidated)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(bank)</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Well</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22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Minimum</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Capitalized</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2008</w:t>
            </w:r>
          </w:p>
        </w:tc>
        <w:tc>
          <w:tcPr>
            <w:tcW w:w="26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Risk-based ratios:</w:t>
            </w: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Tier I capital</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780" w:type="dxa"/>
            <w:vAlign w:val="bottom"/>
          </w:tcPr>
          <w:p>
            <w:pPr>
              <w:ind w:left="540"/>
              <w:spacing w:after="0"/>
              <w:rPr>
                <w:sz w:val="20"/>
                <w:szCs w:val="20"/>
                <w:color w:val="auto"/>
              </w:rPr>
            </w:pPr>
            <w:r>
              <w:rPr>
                <w:rFonts w:ascii="Arial" w:cs="Arial" w:eastAsia="Arial" w:hAnsi="Arial"/>
                <w:sz w:val="18"/>
                <w:szCs w:val="18"/>
                <w:color w:val="auto"/>
                <w:w w:val="87"/>
              </w:rPr>
              <w:t>8.0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Leverage ratio</w:t>
            </w:r>
          </w:p>
        </w:tc>
        <w:tc>
          <w:tcPr>
            <w:tcW w:w="780" w:type="dxa"/>
            <w:vAlign w:val="bottom"/>
          </w:tcPr>
          <w:p>
            <w:pPr>
              <w:ind w:left="540"/>
              <w:spacing w:after="0"/>
              <w:rPr>
                <w:sz w:val="20"/>
                <w:szCs w:val="20"/>
                <w:color w:val="auto"/>
              </w:rPr>
            </w:pPr>
            <w:r>
              <w:rPr>
                <w:rFonts w:ascii="Arial" w:cs="Arial" w:eastAsia="Arial" w:hAnsi="Arial"/>
                <w:sz w:val="18"/>
                <w:szCs w:val="18"/>
                <w:color w:val="auto"/>
                <w:w w:val="87"/>
              </w:rPr>
              <w:t>3.0</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r>
      <w:tr>
        <w:trPr>
          <w:trHeight w:val="418"/>
        </w:trPr>
        <w:tc>
          <w:tcPr>
            <w:tcW w:w="2280" w:type="dxa"/>
            <w:vAlign w:val="bottom"/>
          </w:tcPr>
          <w:p>
            <w:pPr>
              <w:ind w:left="180"/>
              <w:spacing w:after="0"/>
              <w:rPr>
                <w:sz w:val="20"/>
                <w:szCs w:val="20"/>
                <w:color w:val="auto"/>
              </w:rPr>
            </w:pPr>
            <w:r>
              <w:rPr>
                <w:rFonts w:ascii="Arial" w:cs="Arial" w:eastAsia="Arial" w:hAnsi="Arial"/>
                <w:sz w:val="18"/>
                <w:szCs w:val="18"/>
                <w:color w:val="auto"/>
              </w:rPr>
              <w:t>Tier I capital</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$ 679,552</w:t>
            </w:r>
          </w:p>
        </w:tc>
        <w:tc>
          <w:tcPr>
            <w:tcW w:w="26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671,667</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$ 720,075</w:t>
            </w:r>
          </w:p>
        </w:tc>
        <w:tc>
          <w:tcPr>
            <w:tcW w:w="2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690,905</w:t>
            </w:r>
          </w:p>
        </w:tc>
        <w:tc>
          <w:tcPr>
            <w:tcW w:w="160" w:type="dxa"/>
            <w:vAlign w:val="bottom"/>
          </w:tcPr>
          <w:p>
            <w:pPr>
              <w:spacing w:after="0"/>
              <w:rPr>
                <w:sz w:val="24"/>
                <w:szCs w:val="24"/>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826,251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831,046</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819,415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797,079</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Cash, Dividend, Loan and Other Restrictions</w:t>
      </w:r>
    </w:p>
    <w:p>
      <w:pPr>
        <w:spacing w:after="0" w:line="23" w:lineRule="exact"/>
        <w:rPr>
          <w:sz w:val="20"/>
          <w:szCs w:val="20"/>
          <w:color w:val="auto"/>
        </w:rPr>
      </w:pPr>
    </w:p>
    <w:p>
      <w:pPr>
        <w:jc w:val="both"/>
        <w:ind w:left="500"/>
        <w:spacing w:after="0" w:line="277" w:lineRule="auto"/>
        <w:rPr>
          <w:sz w:val="20"/>
          <w:szCs w:val="20"/>
          <w:color w:val="auto"/>
        </w:rPr>
      </w:pPr>
      <w:r>
        <w:rPr>
          <w:rFonts w:ascii="Arial" w:cs="Arial" w:eastAsia="Arial" w:hAnsi="Arial"/>
          <w:sz w:val="17"/>
          <w:szCs w:val="17"/>
          <w:color w:val="auto"/>
        </w:rPr>
        <w:t>At December 31, 2009 and 2008, the Bank did not have a required reserve balance at the Federal Reserve Bank. place certain restrictions on dividends paid by the Bank to United. At December 31, 2009, the Bank did distribution to United in the form of dividends without requesting regulatory approval.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0" w:firstLine="2"/>
        <w:spacing w:after="0" w:line="342" w:lineRule="auto"/>
        <w:rPr>
          <w:sz w:val="20"/>
          <w:szCs w:val="20"/>
          <w:color w:val="auto"/>
        </w:rPr>
      </w:pPr>
      <w:r>
        <w:rPr>
          <w:rFonts w:ascii="Arial" w:cs="Arial" w:eastAsia="Arial" w:hAnsi="Arial"/>
          <w:sz w:val="16"/>
          <w:szCs w:val="16"/>
          <w:color w:val="auto"/>
        </w:rPr>
        <w:t>Federal and state banking regulations not have any earnings available for</w:t>
      </w:r>
    </w:p>
    <w:p>
      <w:pPr>
        <w:spacing w:after="0" w:line="366" w:lineRule="exact"/>
        <w:rPr>
          <w:sz w:val="20"/>
          <w:szCs w:val="20"/>
          <w:color w:val="auto"/>
        </w:rPr>
      </w:pPr>
    </w:p>
    <w:p>
      <w:pPr>
        <w:sectPr>
          <w:pgSz w:w="11900" w:h="16838" w:orient="portrait"/>
          <w:cols w:equalWidth="0" w:num="2">
            <w:col w:w="8620" w:space="80"/>
            <w:col w:w="2720"/>
          </w:cols>
          <w:pgMar w:left="240" w:top="364" w:right="239" w:bottom="1440" w:gutter="0" w:footer="0" w:header="0"/>
          <w:type w:val="continuous"/>
        </w:sectPr>
      </w:pPr>
    </w:p>
    <w:p>
      <w:pPr>
        <w:jc w:val="both"/>
        <w:ind w:left="500"/>
        <w:spacing w:after="0" w:line="269" w:lineRule="auto"/>
        <w:rPr>
          <w:sz w:val="20"/>
          <w:szCs w:val="20"/>
          <w:color w:val="auto"/>
        </w:rPr>
      </w:pPr>
      <w:r>
        <w:rPr>
          <w:rFonts w:ascii="Arial" w:cs="Arial" w:eastAsia="Arial" w:hAnsi="Arial"/>
          <w:sz w:val="17"/>
          <w:szCs w:val="17"/>
          <w:color w:val="auto"/>
        </w:rPr>
        <w:t>On December 5, 2008, United entered into a Letter Agreement and Securities Purchase Agreement (the “Purchase Agreement”) with the U.S. Treasury Department (“Treasury”) under the Troubled Asset Relief Program (“TARP”) Capital Purchase Program discussed below, pursuant to which United sold (i) 180,000 shares of United’s Fixed Rate Cumulative Perpetual Preferred Stock, Series B (the “Series B Preferred Stock”) and (ii) a warrant (the “Warrant”) to purchase 2,132,701 shares (1,099,542 shares, as adjusted for subsequent stock dividends and a 50% reduction following United’s recent stock offering) of United’s common stock for an aggregate purchase price of $180 million in cash. Pursuant to the terms of the Purchase Agreement, the ability of United to declare or pay dividends or distributions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21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200" w:lineRule="exact"/>
        <w:rPr>
          <w:sz w:val="20"/>
          <w:szCs w:val="20"/>
          <w:color w:val="auto"/>
        </w:rPr>
      </w:pPr>
    </w:p>
    <w:p>
      <w:pPr>
        <w:spacing w:after="0" w:line="247"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21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summarizes, as of December 31, 2009 and 2008, the contract amount of off-balance sheet instruments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94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2009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2008</w:t>
            </w: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Financial instruments whose contract amounts represent credit risk:</w:t>
            </w:r>
          </w:p>
        </w:tc>
        <w:tc>
          <w:tcPr>
            <w:tcW w:w="10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  569,408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733,278</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Commercial letters of credit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22,624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25,132</w:t>
            </w:r>
          </w:p>
        </w:tc>
      </w:tr>
    </w:tbl>
    <w:p>
      <w:pPr>
        <w:spacing w:after="0" w:line="22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22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Commercial letters of credit are issued to facilitate commerce and typically result in the commitment being drawn on when the underlying transaction is consummated between the customer and the third party. Those guarantees are primarily issued to local businesses. The credit risk involved in issuing letters of credit is essentially the same as that involved in extending loan facilities to customers. The Bank holds real estate, certificates of deposit, and other acceptable collateral as security supporting those commitments for which collateral is deemed necessary. The extent of collateral held for those commitments varies.</w:t>
      </w:r>
    </w:p>
    <w:p>
      <w:pPr>
        <w:spacing w:after="0" w:line="21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53"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21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A</w:t>
      </w:r>
    </w:p>
    <w:p>
      <w:pPr>
        <w:spacing w:after="0" w:line="23" w:lineRule="exact"/>
        <w:rPr>
          <w:rFonts w:ascii="Arial" w:cs="Arial" w:eastAsia="Arial" w:hAnsi="Arial"/>
          <w:sz w:val="18"/>
          <w:szCs w:val="18"/>
          <w:b w:val="1"/>
          <w:bCs w:val="1"/>
          <w:color w:val="auto"/>
        </w:rPr>
      </w:pPr>
    </w:p>
    <w:p>
      <w:pPr>
        <w:jc w:val="both"/>
        <w:ind w:left="5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At December 31, 2009 and 2008, there were 21,700 and 25,800 Series A preferred shares, respectively, issued and outstanding, which were issued as non-cumulative preferred stock. The dividend rate of the Series A preferred stock is 6% per annum, provided a dividend has been declared for the common shares. The holders of the Series A preferred stock maintain a liquidation preference to the common stockholder. The Series A preferred stock has no voting rights and United may redeem the Series A preferred stock for an amount equal to the stated value plus the accrued dividend.</w:t>
      </w:r>
    </w:p>
    <w:p>
      <w:pPr>
        <w:spacing w:after="0" w:line="18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B</w:t>
      </w:r>
    </w:p>
    <w:p>
      <w:pPr>
        <w:spacing w:after="0" w:line="23"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December 5, 2008, United sold 180,000 shares of Series B Preferred Stock with the Warrant to purchase 2,132,701 shares (2,199,084 shares adjusted for stock dividends declared subsequent to issuance) of common stock, to Treasury under Treasury’s Capital Purchase Program. The proceeds from the sale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accretion of the discount recorded on the Series B Preferred Stock that resulted from allocating a portion of the proceeds to the Warrant is accreted directly to retained earnings over a five-year period applying a level yield, and is reported on the consolidated statement of income in the determination of the amount of net (loss) income available to common shareholders. The exercise price of the Warrant is $12.66 ($12.28 as adjusted for stock dividends declared subsequent to issuance) and it is exercisable at any time on or before December 5, 2018. According to the terms of the agreement with Treasury, the number of shares issuable under the Warrant was reduced by 50% due to the sale of $211.1 million in qualifying common equity in the third quarter of 2009. As a result, the number of shares issuable under the warrant was reduced to 1,099,542.</w:t>
      </w:r>
    </w:p>
    <w:p>
      <w:pPr>
        <w:spacing w:after="0" w:line="197"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Series B Preferred Stock qualifies as Tier I capital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ectPr>
          <w:pgSz w:w="11900" w:h="16838" w:orient="portrait"/>
          <w:cols w:equalWidth="0" w:num="1">
            <w:col w:w="11420"/>
          </w:cols>
          <w:pgMar w:left="240" w:top="36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United’s Board of Directors had previously authorized the repurchase of up to 3,000,000 shares of United’s outstanding common stock for general corporate purposes. During 2007, United purchased 2,000,000 shares at an average price of $23.03. No shares were purchased during 2009 or 2008 other than shares delivered to United for the purpose of exercising stock options. United’s share repurchase authorization expired on December 31, 2008.</w:t>
      </w:r>
    </w:p>
    <w:p>
      <w:pPr>
        <w:spacing w:after="0" w:line="216" w:lineRule="exact"/>
        <w:rPr>
          <w:rFonts w:ascii="Arial" w:cs="Arial" w:eastAsia="Arial" w:hAnsi="Arial"/>
          <w:sz w:val="18"/>
          <w:szCs w:val="18"/>
          <w:b w:val="1"/>
          <w:bCs w:val="1"/>
          <w:color w:val="auto"/>
        </w:rPr>
      </w:pPr>
    </w:p>
    <w:p>
      <w:pPr>
        <w:jc w:val="both"/>
        <w:ind w:left="5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2007, the shareholders approved the Amended and Restated 2000 Key Employee Stock Option Plan (“2000 Plan”). Under the terms of the 2000 Plan, awards of 2,500,000 options, restricted stock awards, stock awards, performance share awards or stock appreciation rights could be granted for shares of United’s common stock.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United or certain other conditions are met (as defined in the plan document). As of December 31, 2009, approximately 996,000 awards could be granted under the 2000 Plan.</w:t>
      </w:r>
    </w:p>
    <w:p>
      <w:pPr>
        <w:spacing w:after="0" w:line="191" w:lineRule="exact"/>
        <w:rPr>
          <w:rFonts w:ascii="Arial" w:cs="Arial" w:eastAsia="Arial" w:hAnsi="Arial"/>
          <w:sz w:val="18"/>
          <w:szCs w:val="18"/>
          <w:b w:val="1"/>
          <w:bCs w:val="1"/>
          <w:color w:val="auto"/>
        </w:rPr>
      </w:pPr>
    </w:p>
    <w:p>
      <w:pPr>
        <w:ind w:lef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Certain acquired companies had stock option plans for their key employees with provisions similar to United’s plan. Options under acquired plans were converted at the exchange ratio effective for common shares. No options are available for grant under any of the acquired plans.</w:t>
      </w:r>
    </w:p>
    <w:p>
      <w:pPr>
        <w:spacing w:after="0" w:line="17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2009, 2008 and 2007 consisted of the following:</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19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w w:val="93"/>
              </w:rPr>
              <w:t>Options</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2"/>
              </w:rPr>
              <w:t>Weighted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30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2"/>
              </w:rPr>
              <w:t>Weighted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c>
          <w:tcPr>
            <w:tcW w:w="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Aggregate</w:t>
            </w: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Grant Date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c>
          <w:tcPr>
            <w:tcW w:w="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Intrinsic</w:t>
            </w:r>
          </w:p>
        </w:tc>
        <w:tc>
          <w:tcPr>
            <w:tcW w:w="1220" w:type="dxa"/>
            <w:vAlign w:val="bottom"/>
          </w:tcPr>
          <w:p>
            <w:pPr>
              <w:spacing w:after="0"/>
              <w:rPr>
                <w:sz w:val="18"/>
                <w:szCs w:val="18"/>
                <w:color w:val="auto"/>
              </w:rPr>
            </w:pPr>
          </w:p>
        </w:tc>
      </w:tr>
      <w:tr>
        <w:trPr>
          <w:trHeight w:val="237"/>
        </w:trPr>
        <w:tc>
          <w:tcPr>
            <w:tcW w:w="34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2"/>
              </w:rPr>
              <w:t>Price</w:t>
            </w:r>
          </w:p>
        </w:tc>
        <w:tc>
          <w:tcPr>
            <w:tcW w:w="3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Term (Yrs.)</w:t>
            </w:r>
          </w:p>
        </w:tc>
        <w:tc>
          <w:tcPr>
            <w:tcW w:w="3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2"/>
              </w:rPr>
              <w:t>Value (000’s)</w:t>
            </w:r>
          </w:p>
        </w:tc>
        <w:tc>
          <w:tcPr>
            <w:tcW w:w="1220" w:type="dxa"/>
            <w:vAlign w:val="bottom"/>
          </w:tcPr>
          <w:p>
            <w:pPr>
              <w:spacing w:after="0"/>
              <w:rPr>
                <w:sz w:val="20"/>
                <w:szCs w:val="20"/>
                <w:color w:val="auto"/>
              </w:rPr>
            </w:pPr>
          </w:p>
        </w:tc>
      </w:tr>
      <w:tr>
        <w:trPr>
          <w:trHeight w:val="202"/>
        </w:trPr>
        <w:tc>
          <w:tcPr>
            <w:tcW w:w="3420" w:type="dxa"/>
            <w:vAlign w:val="bottom"/>
          </w:tcPr>
          <w:p>
            <w:pPr>
              <w:ind w:left="1140"/>
              <w:spacing w:after="0" w:line="201" w:lineRule="exact"/>
              <w:rPr>
                <w:sz w:val="20"/>
                <w:szCs w:val="20"/>
                <w:color w:val="auto"/>
              </w:rPr>
            </w:pPr>
            <w:r>
              <w:rPr>
                <w:rFonts w:ascii="Arial" w:cs="Arial" w:eastAsia="Arial" w:hAnsi="Arial"/>
                <w:sz w:val="18"/>
                <w:szCs w:val="18"/>
                <w:color w:val="auto"/>
              </w:rPr>
              <w:t>December 31, 2006</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78,440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25.85</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2,549,823</w:t>
            </w:r>
          </w:p>
        </w:tc>
        <w:tc>
          <w:tcPr>
            <w:tcW w:w="3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19.05</w:t>
            </w: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48,400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605,700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24.34</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(150,078)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11.33</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3420" w:type="dxa"/>
            <w:vAlign w:val="bottom"/>
          </w:tcPr>
          <w:p>
            <w:pPr>
              <w:ind w:left="1380"/>
              <w:spacing w:after="0"/>
              <w:rPr>
                <w:sz w:val="20"/>
                <w:szCs w:val="20"/>
                <w:color w:val="auto"/>
              </w:rPr>
            </w:pPr>
            <w:r>
              <w:rPr>
                <w:rFonts w:ascii="Arial" w:cs="Arial" w:eastAsia="Arial" w:hAnsi="Arial"/>
                <w:sz w:val="18"/>
                <w:szCs w:val="18"/>
                <w:color w:val="auto"/>
              </w:rPr>
              <w:t>Cancelled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29.07</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(92,888)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420" w:type="dxa"/>
            <w:vAlign w:val="bottom"/>
          </w:tcPr>
          <w:p>
            <w:pPr>
              <w:ind w:left="1140"/>
              <w:spacing w:after="0" w:line="201" w:lineRule="exact"/>
              <w:rPr>
                <w:sz w:val="20"/>
                <w:szCs w:val="20"/>
                <w:color w:val="auto"/>
              </w:rPr>
            </w:pPr>
            <w:r>
              <w:rPr>
                <w:rFonts w:ascii="Arial" w:cs="Arial" w:eastAsia="Arial" w:hAnsi="Arial"/>
                <w:sz w:val="18"/>
                <w:szCs w:val="18"/>
                <w:color w:val="auto"/>
              </w:rPr>
              <w:t>December 31, 2007</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29.26</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2,912,557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21.57</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Stock dividend</w:t>
            </w:r>
          </w:p>
        </w:tc>
        <w:tc>
          <w:tcPr>
            <w:tcW w:w="74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51,582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31,097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597,750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26.99</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(87,941)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3420" w:type="dxa"/>
            <w:vAlign w:val="bottom"/>
          </w:tcPr>
          <w:p>
            <w:pPr>
              <w:ind w:left="1380"/>
              <w:spacing w:after="0"/>
              <w:rPr>
                <w:sz w:val="20"/>
                <w:szCs w:val="20"/>
                <w:color w:val="auto"/>
              </w:rPr>
            </w:pPr>
            <w:r>
              <w:rPr>
                <w:rFonts w:ascii="Arial" w:cs="Arial" w:eastAsia="Arial" w:hAnsi="Arial"/>
                <w:sz w:val="18"/>
                <w:szCs w:val="18"/>
                <w:color w:val="auto"/>
              </w:rPr>
              <w:t>Cancelled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(123,247)</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2"/>
        </w:trPr>
        <w:tc>
          <w:tcPr>
            <w:tcW w:w="3420" w:type="dxa"/>
            <w:vAlign w:val="bottom"/>
          </w:tcPr>
          <w:p>
            <w:pPr>
              <w:ind w:left="1140"/>
              <w:spacing w:after="0" w:line="201" w:lineRule="exact"/>
              <w:rPr>
                <w:sz w:val="20"/>
                <w:szCs w:val="20"/>
                <w:color w:val="auto"/>
              </w:rPr>
            </w:pPr>
            <w:r>
              <w:rPr>
                <w:rFonts w:ascii="Arial" w:cs="Arial" w:eastAsia="Arial" w:hAnsi="Arial"/>
                <w:sz w:val="18"/>
                <w:szCs w:val="18"/>
                <w:color w:val="auto"/>
              </w:rPr>
              <w:t>December 31, 2008</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89,498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24.17</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3,350,701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19.99</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Stock dividend</w:t>
            </w:r>
          </w:p>
        </w:tc>
        <w:tc>
          <w:tcPr>
            <w:tcW w:w="74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79,489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106,000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354,450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ind w:left="138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3420" w:type="dxa"/>
            <w:vAlign w:val="bottom"/>
          </w:tcPr>
          <w:p>
            <w:pPr>
              <w:ind w:left="1380"/>
              <w:spacing w:after="0"/>
              <w:rPr>
                <w:sz w:val="20"/>
                <w:szCs w:val="20"/>
                <w:color w:val="auto"/>
              </w:rPr>
            </w:pPr>
            <w:r>
              <w:rPr>
                <w:rFonts w:ascii="Arial" w:cs="Arial" w:eastAsia="Arial" w:hAnsi="Arial"/>
                <w:sz w:val="18"/>
                <w:szCs w:val="18"/>
                <w:color w:val="auto"/>
              </w:rPr>
              <w:t>Cancelled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30.38</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(120,750)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3420" w:type="dxa"/>
            <w:vAlign w:val="bottom"/>
          </w:tcPr>
          <w:p>
            <w:pPr>
              <w:ind w:left="1140"/>
              <w:spacing w:after="0" w:line="196" w:lineRule="exact"/>
              <w:rPr>
                <w:sz w:val="20"/>
                <w:szCs w:val="20"/>
                <w:color w:val="auto"/>
              </w:rPr>
            </w:pPr>
            <w:r>
              <w:rPr>
                <w:rFonts w:ascii="Arial" w:cs="Arial" w:eastAsia="Arial" w:hAnsi="Arial"/>
                <w:sz w:val="18"/>
                <w:szCs w:val="18"/>
                <w:color w:val="auto"/>
              </w:rPr>
              <w:t>December 31, 2009</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12.86</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3,663,453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18.30</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5.60</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r>
      <w:tr>
        <w:trPr>
          <w:trHeight w:val="21"/>
        </w:trPr>
        <w:tc>
          <w:tcPr>
            <w:tcW w:w="3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26"/>
        </w:trPr>
        <w:tc>
          <w:tcPr>
            <w:tcW w:w="4320" w:type="dxa"/>
            <w:vAlign w:val="bottom"/>
            <w:gridSpan w:val="3"/>
          </w:tcPr>
          <w:p>
            <w:pPr>
              <w:ind w:left="1140"/>
              <w:spacing w:after="0"/>
              <w:rPr>
                <w:sz w:val="20"/>
                <w:szCs w:val="20"/>
                <w:color w:val="auto"/>
              </w:rPr>
            </w:pPr>
            <w:r>
              <w:rPr>
                <w:rFonts w:ascii="Arial" w:cs="Arial" w:eastAsia="Arial" w:hAnsi="Arial"/>
                <w:sz w:val="18"/>
                <w:szCs w:val="18"/>
                <w:color w:val="auto"/>
              </w:rPr>
              <w:t>Exerciseable at December 31, 2009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2,463,595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r>
      <w:tr>
        <w:trPr>
          <w:trHeight w:val="21"/>
        </w:trPr>
        <w:tc>
          <w:tcPr>
            <w:tcW w:w="3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01"/>
        </w:trPr>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gridSpan w:val="2"/>
          </w:tcPr>
          <w:p>
            <w:pPr>
              <w:jc w:val="right"/>
              <w:ind w:right="63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8"/>
        </w:trPr>
        <w:tc>
          <w:tcPr>
            <w:tcW w:w="3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stock options outstanding at December 31, 2009:</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5"/>
          </w:tcPr>
          <w:p>
            <w:pPr>
              <w:ind w:left="40"/>
              <w:spacing w:after="0"/>
              <w:rPr>
                <w:sz w:val="20"/>
                <w:szCs w:val="20"/>
                <w:color w:val="auto"/>
              </w:rPr>
            </w:pPr>
            <w:r>
              <w:rPr>
                <w:rFonts w:ascii="Arial" w:cs="Arial" w:eastAsia="Arial" w:hAnsi="Arial"/>
                <w:sz w:val="18"/>
                <w:szCs w:val="18"/>
                <w:color w:val="auto"/>
              </w:rPr>
              <w:t>Options Outstanding</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gridSpan w:val="5"/>
          </w:tcPr>
          <w:p>
            <w:pPr>
              <w:ind w:left="380"/>
              <w:spacing w:after="0"/>
              <w:rPr>
                <w:sz w:val="20"/>
                <w:szCs w:val="20"/>
                <w:color w:val="auto"/>
              </w:rPr>
            </w:pPr>
            <w:r>
              <w:rPr>
                <w:rFonts w:ascii="Arial" w:cs="Arial" w:eastAsia="Arial" w:hAnsi="Arial"/>
                <w:sz w:val="18"/>
                <w:szCs w:val="18"/>
                <w:color w:val="auto"/>
              </w:rPr>
              <w:t>Options Exercisable</w:t>
            </w:r>
          </w:p>
        </w:tc>
      </w:tr>
      <w:tr>
        <w:trPr>
          <w:trHeight w:val="202"/>
        </w:trPr>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Weighted</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Average</w:t>
            </w:r>
          </w:p>
        </w:tc>
        <w:tc>
          <w:tcPr>
            <w:tcW w:w="3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7"/>
                <w:szCs w:val="17"/>
                <w:color w:val="auto"/>
              </w:rPr>
            </w:pPr>
          </w:p>
        </w:tc>
      </w:tr>
      <w:tr>
        <w:trPr>
          <w:trHeight w:val="230"/>
        </w:trPr>
        <w:tc>
          <w:tcPr>
            <w:tcW w:w="1020" w:type="dxa"/>
            <w:vAlign w:val="bottom"/>
          </w:tcPr>
          <w:p>
            <w:pPr>
              <w:jc w:val="right"/>
              <w:ind w:right="17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Range</w:t>
            </w:r>
          </w:p>
        </w:tc>
        <w:tc>
          <w:tcPr>
            <w:tcW w:w="4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Average Price</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Remaining Life</w:t>
            </w:r>
          </w:p>
        </w:tc>
        <w:tc>
          <w:tcPr>
            <w:tcW w:w="38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020" w:type="dxa"/>
            <w:vAlign w:val="bottom"/>
            <w:gridSpan w:val="3"/>
          </w:tcPr>
          <w:p>
            <w:pPr>
              <w:spacing w:after="0"/>
              <w:rPr>
                <w:sz w:val="20"/>
                <w:szCs w:val="20"/>
                <w:color w:val="auto"/>
              </w:rPr>
            </w:pPr>
            <w:r>
              <w:rPr>
                <w:rFonts w:ascii="Arial" w:cs="Arial" w:eastAsia="Arial" w:hAnsi="Arial"/>
                <w:sz w:val="18"/>
                <w:szCs w:val="18"/>
                <w:color w:val="auto"/>
                <w:w w:val="88"/>
              </w:rPr>
              <w:t>Average Price</w:t>
            </w:r>
          </w:p>
        </w:tc>
      </w:tr>
      <w:tr>
        <w:trPr>
          <w:trHeight w:val="27"/>
        </w:trPr>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8"/>
        </w:trPr>
        <w:tc>
          <w:tcPr>
            <w:tcW w:w="1020" w:type="dxa"/>
            <w:vAlign w:val="bottom"/>
          </w:tcPr>
          <w:p>
            <w:pPr>
              <w:jc w:val="right"/>
              <w:spacing w:after="0"/>
              <w:rPr>
                <w:sz w:val="20"/>
                <w:szCs w:val="20"/>
                <w:color w:val="auto"/>
              </w:rPr>
            </w:pPr>
            <w:r>
              <w:rPr>
                <w:rFonts w:ascii="Arial" w:cs="Arial" w:eastAsia="Arial" w:hAnsi="Arial"/>
                <w:sz w:val="18"/>
                <w:szCs w:val="18"/>
                <w:color w:val="auto"/>
              </w:rPr>
              <w:t>399,769</w:t>
            </w:r>
          </w:p>
        </w:tc>
        <w:tc>
          <w:tcPr>
            <w:tcW w:w="3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4"/>
              </w:rPr>
              <w:t>$ 5.00 - 7.50</w:t>
            </w:r>
          </w:p>
        </w:tc>
        <w:tc>
          <w:tcPr>
            <w:tcW w:w="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3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8.43</w:t>
            </w:r>
          </w:p>
        </w:tc>
        <w:tc>
          <w:tcPr>
            <w:tcW w:w="38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46,035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665,947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- 12.50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11.90</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655,032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11.92</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573,636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- 15.00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13.31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8.28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148,331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13.35</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387,068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- 17.50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15.81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377,339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15.82</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404,469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- 22.50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21.52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403,689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21.52</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241,227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- 25.00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23.12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238,888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23.12</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957,438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- 30.00</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28.70</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6.83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573,371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28.46</w:t>
            </w:r>
          </w:p>
        </w:tc>
      </w:tr>
      <w:tr>
        <w:trPr>
          <w:trHeight w:val="237"/>
        </w:trPr>
        <w:tc>
          <w:tcPr>
            <w:tcW w:w="1020" w:type="dxa"/>
            <w:vAlign w:val="bottom"/>
          </w:tcPr>
          <w:p>
            <w:pPr>
              <w:jc w:val="right"/>
              <w:spacing w:after="0"/>
              <w:rPr>
                <w:sz w:val="20"/>
                <w:szCs w:val="20"/>
                <w:color w:val="auto"/>
              </w:rPr>
            </w:pPr>
            <w:r>
              <w:rPr>
                <w:rFonts w:ascii="Arial" w:cs="Arial" w:eastAsia="Arial" w:hAnsi="Arial"/>
                <w:sz w:val="18"/>
                <w:szCs w:val="18"/>
                <w:color w:val="auto"/>
              </w:rPr>
              <w:t>33,899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- 33.50</w:t>
            </w: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30.49</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6.61</w:t>
            </w:r>
          </w:p>
        </w:tc>
        <w:tc>
          <w:tcPr>
            <w:tcW w:w="3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20,910</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30.55</w:t>
            </w:r>
          </w:p>
        </w:tc>
      </w:tr>
      <w:tr>
        <w:trPr>
          <w:trHeight w:val="432"/>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3,663,453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5.00 - 33.50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18.30</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5.60</w:t>
            </w:r>
          </w:p>
        </w:tc>
        <w:tc>
          <w:tcPr>
            <w:tcW w:w="38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2,463,595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19.18</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weighted average fair value of options granted in 2009, 2008 and 2007 was $2.85, $2.88 and $8.25, respectively. The fair value of each option granted was estimated on the date of grant using the Black-Scholes model. The key assumptions used to determine the fair value of options are presented in the table below:</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2009</w:t>
            </w:r>
          </w:p>
        </w:tc>
        <w:tc>
          <w:tcPr>
            <w:tcW w:w="40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Risk free rate</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45"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United’s stock trading history began in March of 2002 when United listed on the Nasdaq Global Select Market. For 2009, expected volatility was determined using United’s historical monthly volatility over a period of 25 quarters ending December 31, 2008. For 2008 and 2007, expected volatility was determined using United’s historical monthly volatility over the period beginning in March of 2002 through the end of the last completed year. Compensation expense relating to options of $2.8 million, $3.0 million and $2.8 million, respectively, was included in earnings in 2009, 2008 and 2007. A deferred income tax benefit related to stock option expense of $1,040,000, $941,000 and $713,000 was included in the determination of income tax expense in 2009, 2008 and 2007, respectively.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2009, 2008 and 2007, was $1,000, $404,000 and $2.4 million, respectively.</w:t>
      </w:r>
    </w:p>
    <w:p>
      <w:pPr>
        <w:spacing w:after="0" w:line="20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in 2009, 2008 and 2007 was $886,000, $865,000, and $757,000, respectively. The total intrinsic value of restricted stock at December 31, 2009 was $568,000.</w:t>
      </w:r>
    </w:p>
    <w:p>
      <w:pPr>
        <w:spacing w:after="0" w:line="19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As of December 31, 2009, there was $5.0 million of unrecognized compensation cost related to nonvested stock options and restricted stock granted under the 2000 Plan. The cost is expected to be recognized over a weighted-average period of 1.21 years. The aggregate grant date fair value of options and restricted stock that vested during 2009 was $3.6 million.</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During 2009, 2008 and 2007, 48,906 shares, 100,757 shares and 40,419 shares, respectively, were issued in connection with the DRIP.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At December 31, 2009 and 2008, United had 221,906 shares and 129,304 shares, respectively, of its common stock that was issuable under the deferred compensation plan.</w:t>
      </w:r>
    </w:p>
    <w:p>
      <w:pPr>
        <w:spacing w:after="0" w:line="2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table below shows the components of accumulated other comprehensive income at December 31, 2009 and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00" w:type="dxa"/>
            <w:vAlign w:val="bottom"/>
          </w:tcPr>
          <w:p>
            <w:pPr>
              <w:spacing w:after="0"/>
              <w:rPr>
                <w:sz w:val="20"/>
                <w:szCs w:val="20"/>
                <w:color w:val="auto"/>
              </w:rPr>
            </w:pPr>
            <w:r>
              <w:rPr>
                <w:rFonts w:ascii="Arial" w:cs="Arial" w:eastAsia="Arial" w:hAnsi="Arial"/>
                <w:sz w:val="18"/>
                <w:szCs w:val="18"/>
                <w:color w:val="auto"/>
              </w:rPr>
              <w:t>Unrealized gains on securities available for sale, net of tax</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25,567</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Unrealized gains on derivative financial instruments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500"/>
              <w:spacing w:after="0"/>
              <w:rPr>
                <w:sz w:val="20"/>
                <w:szCs w:val="20"/>
                <w:color w:val="auto"/>
              </w:rPr>
            </w:pPr>
            <w:r>
              <w:rPr>
                <w:rFonts w:ascii="Arial" w:cs="Arial" w:eastAsia="Arial" w:hAnsi="Arial"/>
                <w:sz w:val="18"/>
                <w:szCs w:val="18"/>
                <w:color w:val="auto"/>
              </w:rPr>
              <w:t>qualifying as cash flow hedges, net of tax</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22,068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23"/>
        </w:trPr>
        <w:tc>
          <w:tcPr>
            <w:tcW w:w="5900" w:type="dxa"/>
            <w:vAlign w:val="bottom"/>
            <w:vMerge w:val="restart"/>
          </w:tcPr>
          <w:p>
            <w:pPr>
              <w:ind w:left="6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47,635</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Fair Value Hierarchy</w:t>
      </w:r>
    </w:p>
    <w:p>
      <w:pPr>
        <w:spacing w:after="0" w:line="36" w:lineRule="exact"/>
        <w:rPr>
          <w:rFonts w:ascii="Arial" w:cs="Arial" w:eastAsia="Arial" w:hAnsi="Arial"/>
          <w:sz w:val="18"/>
          <w:szCs w:val="18"/>
          <w:b w:val="1"/>
          <w:bCs w:val="1"/>
          <w:color w:val="auto"/>
        </w:rPr>
      </w:pPr>
    </w:p>
    <w:p>
      <w:pPr>
        <w:ind w:left="980" w:right="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upon quoted prices (unadjusted) in active markets for identical assets or liabilities that United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224"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(other than quoted prices), such as interest rates, foreign exchange rates, and yield curves that are observable at commonly quoted intervals.</w:t>
      </w:r>
    </w:p>
    <w:p>
      <w:pPr>
        <w:spacing w:after="0" w:line="23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Securities Available for Sale</w:t>
      </w:r>
    </w:p>
    <w:p>
      <w:pPr>
        <w:spacing w:after="0" w:line="23"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(21) Fair Value,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Deferred Compensation Plan Assets and Liabilities</w:t>
      </w:r>
    </w:p>
    <w:p>
      <w:pPr>
        <w:spacing w:after="0" w:line="9"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Mortgage Loans Held for Sale</w:t>
      </w:r>
    </w:p>
    <w:p>
      <w:pPr>
        <w:spacing w:after="0" w:line="23"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As such, United classifies loans subjected to nonrecurring fair value adjustments as Level 2.</w:t>
      </w:r>
    </w:p>
    <w:p>
      <w:pPr>
        <w:spacing w:after="0" w:line="2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Loans</w:t>
      </w:r>
    </w:p>
    <w:p>
      <w:pPr>
        <w:spacing w:after="0" w:line="23" w:lineRule="exact"/>
        <w:rPr>
          <w:rFonts w:ascii="Arial" w:cs="Arial" w:eastAsia="Arial" w:hAnsi="Arial"/>
          <w:sz w:val="18"/>
          <w:szCs w:val="18"/>
          <w:b w:val="1"/>
          <w:bCs w:val="1"/>
          <w:color w:val="auto"/>
        </w:rPr>
      </w:pPr>
    </w:p>
    <w:p>
      <w:pPr>
        <w:jc w:val="both"/>
        <w:ind w:left="50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At December 31, 2009, substantially all of the total impaired loans were evaluated based on the fair value of the collateral.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Foreclosed Assets</w:t>
      </w:r>
    </w:p>
    <w:p>
      <w:pPr>
        <w:spacing w:after="0" w:line="23" w:lineRule="exact"/>
        <w:rPr>
          <w:rFonts w:ascii="Arial" w:cs="Arial" w:eastAsia="Arial" w:hAnsi="Arial"/>
          <w:sz w:val="18"/>
          <w:szCs w:val="18"/>
          <w:b w:val="1"/>
          <w:bCs w:val="1"/>
          <w:color w:val="auto"/>
        </w:rPr>
      </w:pPr>
    </w:p>
    <w:p>
      <w:pPr>
        <w:jc w:val="both"/>
        <w:ind w:left="50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8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Goodwill and Other Intangible Assets</w:t>
      </w:r>
    </w:p>
    <w:p>
      <w:pPr>
        <w:spacing w:after="0" w:line="23"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20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Derivative Financial Instruments</w:t>
      </w:r>
    </w:p>
    <w:p>
      <w:pPr>
        <w:spacing w:after="0" w:line="23" w:lineRule="exact"/>
        <w:rPr>
          <w:rFonts w:ascii="Arial" w:cs="Arial" w:eastAsia="Arial" w:hAnsi="Arial"/>
          <w:sz w:val="18"/>
          <w:szCs w:val="18"/>
          <w:b w:val="1"/>
          <w:bCs w:val="1"/>
          <w:color w:val="auto"/>
        </w:rPr>
      </w:pPr>
    </w:p>
    <w:p>
      <w:pPr>
        <w:jc w:val="both"/>
        <w:ind w:left="5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Fair Value, continued</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22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2009,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Assets and Liabilities Measured at Fair Value on a Recurring Basis</w:t>
      </w:r>
    </w:p>
    <w:p>
      <w:pPr>
        <w:spacing w:after="0" w:line="23"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December 31, 2009 and 2008,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December 31, 2009</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Level 2</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1,491,155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38,892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1,530,047</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Deferred compensation plan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30"/>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1,501,847</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38,892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1,545,557</w:t>
            </w: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5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Deferred compensation plan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46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December 31, 2008</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Level 2</w:t>
            </w:r>
          </w:p>
        </w:tc>
        <w:tc>
          <w:tcPr>
            <w:tcW w:w="12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1,606,590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10,597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1,617,187</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Deferred compensation plan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37"/>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81,611</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81,611</w:t>
            </w:r>
          </w:p>
        </w:tc>
        <w:tc>
          <w:tcPr>
            <w:tcW w:w="0" w:type="dxa"/>
            <w:vAlign w:val="bottom"/>
          </w:tcPr>
          <w:p>
            <w:pPr>
              <w:spacing w:after="0"/>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3,646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1,688,201</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10,597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1,702,444</w:t>
            </w: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5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ind w:left="160"/>
              <w:spacing w:after="0"/>
              <w:rPr>
                <w:sz w:val="20"/>
                <w:szCs w:val="20"/>
                <w:color w:val="auto"/>
              </w:rPr>
            </w:pPr>
            <w:r>
              <w:rPr>
                <w:rFonts w:ascii="Arial" w:cs="Arial" w:eastAsia="Arial" w:hAnsi="Arial"/>
                <w:sz w:val="18"/>
                <w:szCs w:val="18"/>
                <w:color w:val="auto"/>
              </w:rPr>
              <w:t>Deferred compensation plan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3,646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3,646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3"/>
          </w:tcPr>
          <w:p>
            <w:pPr>
              <w:jc w:val="right"/>
              <w:ind w:right="218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60" w:type="dxa"/>
            <w:vAlign w:val="bottom"/>
            <w:gridSpan w:val="4"/>
          </w:tcPr>
          <w:p>
            <w:pPr>
              <w:jc w:val="right"/>
              <w:ind w:right="1900"/>
              <w:spacing w:after="0"/>
              <w:rPr>
                <w:sz w:val="20"/>
                <w:szCs w:val="20"/>
                <w:color w:val="auto"/>
              </w:rPr>
            </w:pPr>
            <w:r>
              <w:rPr>
                <w:rFonts w:ascii="Arial" w:cs="Arial" w:eastAsia="Arial" w:hAnsi="Arial"/>
                <w:sz w:val="18"/>
                <w:szCs w:val="18"/>
                <w:color w:val="auto"/>
                <w:w w:val="95"/>
              </w:rPr>
              <w:t>Available for Sale</w:t>
            </w:r>
          </w:p>
        </w:tc>
        <w:tc>
          <w:tcPr>
            <w:tcW w:w="0" w:type="dxa"/>
            <w:vAlign w:val="bottom"/>
          </w:tcPr>
          <w:p>
            <w:pPr>
              <w:spacing w:after="0"/>
              <w:rPr>
                <w:sz w:val="1"/>
                <w:szCs w:val="1"/>
                <w:color w:val="auto"/>
              </w:rPr>
            </w:pPr>
          </w:p>
        </w:tc>
      </w:tr>
      <w:tr>
        <w:trPr>
          <w:trHeight w:val="202"/>
        </w:trPr>
        <w:tc>
          <w:tcPr>
            <w:tcW w:w="7400" w:type="dxa"/>
            <w:vAlign w:val="bottom"/>
          </w:tcPr>
          <w:p>
            <w:pPr>
              <w:ind w:left="1720"/>
              <w:spacing w:after="0" w:line="201" w:lineRule="exact"/>
              <w:rPr>
                <w:sz w:val="20"/>
                <w:szCs w:val="20"/>
                <w:color w:val="auto"/>
              </w:rPr>
            </w:pPr>
            <w:r>
              <w:rPr>
                <w:rFonts w:ascii="Arial" w:cs="Arial" w:eastAsia="Arial" w:hAnsi="Arial"/>
                <w:sz w:val="18"/>
                <w:szCs w:val="18"/>
                <w:color w:val="auto"/>
              </w:rPr>
              <w:t>Balance at January 1, 2009</w:t>
            </w:r>
          </w:p>
        </w:tc>
        <w:tc>
          <w:tcPr>
            <w:tcW w:w="760" w:type="dxa"/>
            <w:vAlign w:val="bottom"/>
          </w:tcPr>
          <w:p>
            <w:pPr>
              <w:spacing w:after="0"/>
              <w:rPr>
                <w:sz w:val="17"/>
                <w:szCs w:val="17"/>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10,597</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80"/>
              <w:spacing w:after="0"/>
              <w:rPr>
                <w:sz w:val="20"/>
                <w:szCs w:val="20"/>
                <w:color w:val="auto"/>
              </w:rPr>
            </w:pPr>
            <w:r>
              <w:rPr>
                <w:rFonts w:ascii="Arial" w:cs="Arial" w:eastAsia="Arial" w:hAnsi="Arial"/>
                <w:sz w:val="18"/>
                <w:szCs w:val="18"/>
                <w:color w:val="auto"/>
              </w:rPr>
              <w:t>Amounts included in earnings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3"/>
          </w:tcPr>
          <w:p>
            <w:pPr>
              <w:jc w:val="right"/>
              <w:ind w:right="17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7400" w:type="dxa"/>
            <w:vAlign w:val="bottom"/>
          </w:tcPr>
          <w:p>
            <w:pPr>
              <w:ind w:left="1880"/>
              <w:spacing w:after="0"/>
              <w:rPr>
                <w:sz w:val="20"/>
                <w:szCs w:val="20"/>
                <w:color w:val="auto"/>
              </w:rPr>
            </w:pPr>
            <w:r>
              <w:rPr>
                <w:rFonts w:ascii="Arial" w:cs="Arial" w:eastAsia="Arial" w:hAnsi="Arial"/>
                <w:sz w:val="18"/>
                <w:szCs w:val="18"/>
                <w:color w:val="auto"/>
              </w:rPr>
              <w:t>Purchases, sales, issuances, settlements, maturities, paydowns, net</w:t>
            </w:r>
          </w:p>
        </w:tc>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28,332</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0" w:type="dxa"/>
            <w:vAlign w:val="bottom"/>
          </w:tcPr>
          <w:p>
            <w:pPr>
              <w:ind w:left="1720"/>
              <w:spacing w:after="0"/>
              <w:rPr>
                <w:sz w:val="20"/>
                <w:szCs w:val="20"/>
                <w:color w:val="auto"/>
              </w:rPr>
            </w:pPr>
            <w:r>
              <w:rPr>
                <w:rFonts w:ascii="Arial" w:cs="Arial" w:eastAsia="Arial" w:hAnsi="Arial"/>
                <w:sz w:val="18"/>
                <w:szCs w:val="18"/>
                <w:color w:val="auto"/>
              </w:rPr>
              <w:t>Balance at December 31, 2009</w:t>
            </w:r>
          </w:p>
        </w:tc>
        <w:tc>
          <w:tcPr>
            <w:tcW w:w="98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38,892</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00" w:type="dxa"/>
            <w:vAlign w:val="bottom"/>
            <w:vMerge w:val="restart"/>
          </w:tcPr>
          <w:p>
            <w:pPr>
              <w:ind w:left="5620"/>
              <w:spacing w:after="0"/>
              <w:rPr>
                <w:sz w:val="20"/>
                <w:szCs w:val="20"/>
                <w:color w:val="auto"/>
              </w:rPr>
            </w:pPr>
            <w:r>
              <w:rPr>
                <w:rFonts w:ascii="Arial" w:cs="Arial" w:eastAsia="Arial" w:hAnsi="Arial"/>
                <w:sz w:val="18"/>
                <w:szCs w:val="18"/>
                <w:color w:val="auto"/>
              </w:rPr>
              <w:t>88</w:t>
            </w: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Fair Value, continued</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Assets and Liabilities Measured at Fair Value on a Nonrecurring Basis</w:t>
      </w:r>
    </w:p>
    <w:p>
      <w:pPr>
        <w:spacing w:after="0" w:line="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December 31, 2009 and 2008,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700" w:type="dxa"/>
            <w:vAlign w:val="bottom"/>
          </w:tcPr>
          <w:p>
            <w:pPr>
              <w:jc w:val="right"/>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16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5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20" w:type="dxa"/>
            <w:vAlign w:val="bottom"/>
            <w:tcBorders>
              <w:top w:val="single" w:sz="8" w:color="auto"/>
              <w:bottom w:val="single" w:sz="8" w:color="auto"/>
            </w:tcBorders>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7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ind w:left="160"/>
              <w:spacing w:after="0"/>
              <w:rPr>
                <w:sz w:val="20"/>
                <w:szCs w:val="20"/>
                <w:color w:val="auto"/>
              </w:rPr>
            </w:pPr>
            <w:r>
              <w:rPr>
                <w:rFonts w:ascii="Arial" w:cs="Arial" w:eastAsia="Arial" w:hAnsi="Arial"/>
                <w:sz w:val="18"/>
                <w:szCs w:val="18"/>
                <w:color w:val="auto"/>
              </w:rPr>
              <w:t>Loans</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153,038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153,038</w:t>
            </w:r>
          </w:p>
        </w:tc>
        <w:tc>
          <w:tcPr>
            <w:tcW w:w="0" w:type="dxa"/>
            <w:vAlign w:val="bottom"/>
          </w:tcPr>
          <w:p>
            <w:pPr>
              <w:spacing w:after="0"/>
              <w:rPr>
                <w:sz w:val="1"/>
                <w:szCs w:val="1"/>
                <w:color w:val="auto"/>
              </w:rPr>
            </w:pPr>
          </w:p>
        </w:tc>
      </w:tr>
      <w:tr>
        <w:trPr>
          <w:trHeight w:val="230"/>
        </w:trPr>
        <w:tc>
          <w:tcPr>
            <w:tcW w:w="6640" w:type="dxa"/>
            <w:vAlign w:val="bottom"/>
            <w:gridSpan w:val="3"/>
          </w:tcPr>
          <w:p>
            <w:pPr>
              <w:ind w:left="160"/>
              <w:spacing w:after="0"/>
              <w:rPr>
                <w:sz w:val="20"/>
                <w:szCs w:val="20"/>
                <w:color w:val="auto"/>
              </w:rPr>
            </w:pPr>
            <w:r>
              <w:rPr>
                <w:rFonts w:ascii="Arial" w:cs="Arial" w:eastAsia="Arial" w:hAnsi="Arial"/>
                <w:sz w:val="18"/>
                <w:szCs w:val="18"/>
                <w:color w:val="auto"/>
              </w:rPr>
              <w:t>Foreclosed properties</w:t>
            </w:r>
          </w:p>
        </w:tc>
        <w:tc>
          <w:tcPr>
            <w:tcW w:w="7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81,213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81,213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6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234,251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234,251</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5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700" w:type="dxa"/>
            <w:vAlign w:val="bottom"/>
          </w:tcPr>
          <w:p>
            <w:pPr>
              <w:jc w:val="right"/>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16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5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20" w:type="dxa"/>
            <w:vAlign w:val="bottom"/>
            <w:tcBorders>
              <w:top w:val="single" w:sz="8" w:color="auto"/>
              <w:bottom w:val="single" w:sz="8" w:color="auto"/>
            </w:tcBorders>
            <w:vMerge w:val="restart"/>
          </w:tcPr>
          <w:p>
            <w:pPr>
              <w:spacing w:after="0"/>
              <w:rPr>
                <w:sz w:val="2"/>
                <w:szCs w:val="2"/>
                <w:color w:val="auto"/>
              </w:rPr>
            </w:pPr>
          </w:p>
        </w:tc>
        <w:tc>
          <w:tcPr>
            <w:tcW w:w="272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7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ind w:left="160"/>
              <w:spacing w:after="0"/>
              <w:rPr>
                <w:sz w:val="20"/>
                <w:szCs w:val="20"/>
                <w:color w:val="auto"/>
              </w:rPr>
            </w:pPr>
            <w:r>
              <w:rPr>
                <w:rFonts w:ascii="Arial" w:cs="Arial" w:eastAsia="Arial" w:hAnsi="Arial"/>
                <w:sz w:val="18"/>
                <w:szCs w:val="18"/>
                <w:color w:val="auto"/>
              </w:rPr>
              <w:t>Loans</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77,562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77,562</w:t>
            </w:r>
          </w:p>
        </w:tc>
        <w:tc>
          <w:tcPr>
            <w:tcW w:w="0" w:type="dxa"/>
            <w:vAlign w:val="bottom"/>
          </w:tcPr>
          <w:p>
            <w:pPr>
              <w:spacing w:after="0"/>
              <w:rPr>
                <w:sz w:val="1"/>
                <w:szCs w:val="1"/>
                <w:color w:val="auto"/>
              </w:rPr>
            </w:pPr>
          </w:p>
        </w:tc>
      </w:tr>
      <w:tr>
        <w:trPr>
          <w:trHeight w:val="230"/>
        </w:trPr>
        <w:tc>
          <w:tcPr>
            <w:tcW w:w="6640" w:type="dxa"/>
            <w:vAlign w:val="bottom"/>
            <w:gridSpan w:val="3"/>
          </w:tcPr>
          <w:p>
            <w:pPr>
              <w:ind w:left="160"/>
              <w:spacing w:after="0"/>
              <w:rPr>
                <w:sz w:val="20"/>
                <w:szCs w:val="20"/>
                <w:color w:val="auto"/>
              </w:rPr>
            </w:pPr>
            <w:r>
              <w:rPr>
                <w:rFonts w:ascii="Arial" w:cs="Arial" w:eastAsia="Arial" w:hAnsi="Arial"/>
                <w:sz w:val="18"/>
                <w:szCs w:val="18"/>
                <w:color w:val="auto"/>
              </w:rPr>
              <w:t>Foreclosed properties</w:t>
            </w:r>
          </w:p>
        </w:tc>
        <w:tc>
          <w:tcPr>
            <w:tcW w:w="7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51,876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51,876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6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129,438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129,438</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assets and liabilities that are not presented on the balance sheet at fair value, United uses the following methods to determine fair value:</w:t>
      </w:r>
    </w:p>
    <w:p>
      <w:pPr>
        <w:spacing w:after="0" w:line="26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December 31, 2009 and 2008, the fair value of interest rate contracts used for balance sheet management was an asset of approximately $10.7 million and $81.6 million, respectively.</w:t>
      </w:r>
    </w:p>
    <w:p>
      <w:pPr>
        <w:spacing w:after="0" w:line="21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color w:val="auto"/>
        </w:rPr>
        <w:t>Fair Value, continued</w:t>
      </w:r>
    </w:p>
    <w:p>
      <w:pPr>
        <w:spacing w:after="0" w:line="27"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 xml:space="preserve">The carrying amount and fair values for other financial instruments included in United’s balance sheet at December 31, 2009 and 2008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2980" w:type="dxa"/>
            <w:vAlign w:val="bottom"/>
            <w:gridSpan w:val="4"/>
          </w:tcPr>
          <w:p>
            <w:pPr>
              <w:jc w:val="right"/>
              <w:ind w:right="810"/>
              <w:spacing w:after="0"/>
              <w:rPr>
                <w:sz w:val="20"/>
                <w:szCs w:val="20"/>
                <w:color w:val="auto"/>
              </w:rPr>
            </w:pPr>
            <w:r>
              <w:rPr>
                <w:rFonts w:ascii="Arial" w:cs="Arial" w:eastAsia="Arial" w:hAnsi="Arial"/>
                <w:sz w:val="18"/>
                <w:szCs w:val="18"/>
                <w:color w:val="auto"/>
              </w:rPr>
              <w:t>2009</w:t>
            </w:r>
          </w:p>
        </w:tc>
        <w:tc>
          <w:tcPr>
            <w:tcW w:w="1620" w:type="dxa"/>
            <w:vAlign w:val="bottom"/>
            <w:gridSpan w:val="4"/>
          </w:tcPr>
          <w:p>
            <w:pPr>
              <w:jc w:val="right"/>
              <w:ind w:right="60"/>
              <w:spacing w:after="0"/>
              <w:rPr>
                <w:sz w:val="20"/>
                <w:szCs w:val="20"/>
                <w:color w:val="auto"/>
              </w:rPr>
            </w:pPr>
            <w:r>
              <w:rPr>
                <w:rFonts w:ascii="Arial" w:cs="Arial" w:eastAsia="Arial" w:hAnsi="Arial"/>
                <w:sz w:val="18"/>
                <w:szCs w:val="18"/>
                <w:color w:val="auto"/>
              </w:rPr>
              <w:t>2008</w:t>
            </w: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2"/>
        </w:trPr>
        <w:tc>
          <w:tcPr>
            <w:tcW w:w="4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Carrying</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Carrying</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37"/>
        </w:trPr>
        <w:tc>
          <w:tcPr>
            <w:tcW w:w="4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Fair Value</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Fair Value</w:t>
            </w:r>
          </w:p>
        </w:tc>
        <w:tc>
          <w:tcPr>
            <w:tcW w:w="1240" w:type="dxa"/>
            <w:vAlign w:val="bottom"/>
          </w:tcPr>
          <w:p>
            <w:pPr>
              <w:spacing w:after="0"/>
              <w:rPr>
                <w:sz w:val="20"/>
                <w:szCs w:val="20"/>
                <w:color w:val="auto"/>
              </w:rPr>
            </w:pPr>
          </w:p>
        </w:tc>
      </w:tr>
      <w:tr>
        <w:trPr>
          <w:trHeight w:val="202"/>
        </w:trPr>
        <w:tc>
          <w:tcPr>
            <w:tcW w:w="4740" w:type="dxa"/>
            <w:vAlign w:val="bottom"/>
          </w:tcPr>
          <w:p>
            <w:pPr>
              <w:ind w:left="1140"/>
              <w:spacing w:after="0" w:line="201" w:lineRule="exact"/>
              <w:rPr>
                <w:sz w:val="20"/>
                <w:szCs w:val="20"/>
                <w:color w:val="auto"/>
              </w:rPr>
            </w:pPr>
            <w:r>
              <w:rPr>
                <w:rFonts w:ascii="Arial" w:cs="Arial" w:eastAsia="Arial" w:hAnsi="Arial"/>
                <w:sz w:val="18"/>
                <w:szCs w:val="18"/>
                <w:color w:val="auto"/>
              </w:rPr>
              <w:t>Assets:</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4740" w:type="dxa"/>
            <w:vAlign w:val="bottom"/>
          </w:tcPr>
          <w:p>
            <w:pPr>
              <w:ind w:left="1320"/>
              <w:spacing w:after="0"/>
              <w:rPr>
                <w:sz w:val="20"/>
                <w:szCs w:val="20"/>
                <w:color w:val="auto"/>
              </w:rPr>
            </w:pPr>
            <w:r>
              <w:rPr>
                <w:rFonts w:ascii="Arial" w:cs="Arial" w:eastAsia="Arial" w:hAnsi="Arial"/>
                <w:sz w:val="18"/>
                <w:szCs w:val="18"/>
                <w:color w:val="auto"/>
              </w:rPr>
              <w:t>Loans, net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$ 4,995,874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$ 4,529,755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5,582,590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5,576,842</w:t>
            </w:r>
          </w:p>
        </w:tc>
        <w:tc>
          <w:tcPr>
            <w:tcW w:w="1240" w:type="dxa"/>
            <w:vAlign w:val="bottom"/>
          </w:tcPr>
          <w:p>
            <w:pPr>
              <w:spacing w:after="0"/>
              <w:rPr>
                <w:sz w:val="20"/>
                <w:szCs w:val="20"/>
                <w:color w:val="auto"/>
              </w:rPr>
            </w:pPr>
          </w:p>
        </w:tc>
      </w:tr>
      <w:tr>
        <w:trPr>
          <w:trHeight w:val="418"/>
        </w:trPr>
        <w:tc>
          <w:tcPr>
            <w:tcW w:w="4740" w:type="dxa"/>
            <w:vAlign w:val="bottom"/>
          </w:tcPr>
          <w:p>
            <w:pPr>
              <w:ind w:left="1140"/>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740" w:type="dxa"/>
            <w:vAlign w:val="bottom"/>
          </w:tcPr>
          <w:p>
            <w:pPr>
              <w:ind w:left="1320"/>
              <w:spacing w:after="0"/>
              <w:rPr>
                <w:sz w:val="20"/>
                <w:szCs w:val="20"/>
                <w:color w:val="auto"/>
              </w:rPr>
            </w:pPr>
            <w:r>
              <w:rPr>
                <w:rFonts w:ascii="Arial" w:cs="Arial" w:eastAsia="Arial" w:hAnsi="Arial"/>
                <w:sz w:val="18"/>
                <w:szCs w:val="18"/>
                <w:color w:val="auto"/>
              </w:rPr>
              <w:t>Deposits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6,627,834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6,660,196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7,003,624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7,093,306</w:t>
            </w:r>
          </w:p>
        </w:tc>
        <w:tc>
          <w:tcPr>
            <w:tcW w:w="1240" w:type="dxa"/>
            <w:vAlign w:val="bottom"/>
          </w:tcPr>
          <w:p>
            <w:pPr>
              <w:spacing w:after="0"/>
              <w:rPr>
                <w:sz w:val="18"/>
                <w:szCs w:val="18"/>
                <w:color w:val="auto"/>
              </w:rPr>
            </w:pPr>
          </w:p>
        </w:tc>
      </w:tr>
      <w:tr>
        <w:trPr>
          <w:trHeight w:val="216"/>
        </w:trPr>
        <w:tc>
          <w:tcPr>
            <w:tcW w:w="4740" w:type="dxa"/>
            <w:vAlign w:val="bottom"/>
          </w:tcPr>
          <w:p>
            <w:pPr>
              <w:ind w:left="1320"/>
              <w:spacing w:after="0"/>
              <w:rPr>
                <w:sz w:val="20"/>
                <w:szCs w:val="20"/>
                <w:color w:val="auto"/>
              </w:rPr>
            </w:pPr>
            <w:r>
              <w:rPr>
                <w:rFonts w:ascii="Arial" w:cs="Arial" w:eastAsia="Arial" w:hAnsi="Arial"/>
                <w:sz w:val="18"/>
                <w:szCs w:val="18"/>
                <w:color w:val="auto"/>
              </w:rPr>
              <w:t>Federal Home Loan Bank advances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114,501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119,945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235,321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242,240</w:t>
            </w:r>
          </w:p>
        </w:tc>
        <w:tc>
          <w:tcPr>
            <w:tcW w:w="1240" w:type="dxa"/>
            <w:vAlign w:val="bottom"/>
          </w:tcPr>
          <w:p>
            <w:pPr>
              <w:spacing w:after="0"/>
              <w:rPr>
                <w:sz w:val="18"/>
                <w:szCs w:val="18"/>
                <w:color w:val="auto"/>
              </w:rPr>
            </w:pPr>
          </w:p>
        </w:tc>
      </w:tr>
      <w:tr>
        <w:trPr>
          <w:trHeight w:val="230"/>
        </w:trPr>
        <w:tc>
          <w:tcPr>
            <w:tcW w:w="4740" w:type="dxa"/>
            <w:vAlign w:val="bottom"/>
          </w:tcPr>
          <w:p>
            <w:pPr>
              <w:ind w:left="1320"/>
              <w:spacing w:after="0"/>
              <w:rPr>
                <w:sz w:val="20"/>
                <w:szCs w:val="20"/>
                <w:color w:val="auto"/>
              </w:rPr>
            </w:pPr>
            <w:r>
              <w:rPr>
                <w:rFonts w:ascii="Arial" w:cs="Arial" w:eastAsia="Arial" w:hAnsi="Arial"/>
                <w:sz w:val="18"/>
                <w:szCs w:val="18"/>
                <w:color w:val="auto"/>
              </w:rPr>
              <w:t>Long-term debt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150,066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111,561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150,986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90,838</w:t>
            </w:r>
          </w:p>
        </w:tc>
        <w:tc>
          <w:tcPr>
            <w:tcW w:w="1240" w:type="dxa"/>
            <w:vAlign w:val="bottom"/>
          </w:tcPr>
          <w:p>
            <w:pPr>
              <w:spacing w:after="0"/>
              <w:rPr>
                <w:sz w:val="20"/>
                <w:szCs w:val="20"/>
                <w:color w:val="auto"/>
              </w:rPr>
            </w:pPr>
          </w:p>
        </w:tc>
      </w:tr>
      <w:tr>
        <w:trPr>
          <w:trHeight w:val="608"/>
        </w:trPr>
        <w:tc>
          <w:tcPr>
            <w:tcW w:w="4740" w:type="dxa"/>
            <w:vAlign w:val="bottom"/>
          </w:tcPr>
          <w:p>
            <w:pPr>
              <w:spacing w:after="0"/>
              <w:rPr>
                <w:sz w:val="24"/>
                <w:szCs w:val="24"/>
                <w:color w:val="auto"/>
              </w:rPr>
            </w:pPr>
          </w:p>
        </w:tc>
        <w:tc>
          <w:tcPr>
            <w:tcW w:w="1760" w:type="dxa"/>
            <w:vAlign w:val="bottom"/>
            <w:gridSpan w:val="2"/>
          </w:tcPr>
          <w:p>
            <w:pPr>
              <w:jc w:val="right"/>
              <w:ind w:right="61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8"/>
        </w:trPr>
        <w:tc>
          <w:tcPr>
            <w:tcW w:w="47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860" w:type="dxa"/>
            <w:vAlign w:val="bottom"/>
            <w:gridSpan w:val="4"/>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Dividends from subsidiaries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42,500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Total income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54,754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9,229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18,338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19,479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Income before equity in undistributed (loss) income of subsidiaries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(6,628)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37,828</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Equity in undistributed (loss) income of subsidiaries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(221,699)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(129,143)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20,165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Net (loss) income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(228,327)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(63,450)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57,993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86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7"/>
              </w:rPr>
              <w:t>Balance Sheet</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4420" w:type="dxa"/>
            <w:vAlign w:val="bottom"/>
          </w:tcPr>
          <w:p>
            <w:pPr>
              <w:spacing w:after="0"/>
              <w:rPr>
                <w:sz w:val="24"/>
                <w:szCs w:val="24"/>
                <w:color w:val="auto"/>
              </w:rPr>
            </w:pPr>
          </w:p>
        </w:tc>
        <w:tc>
          <w:tcPr>
            <w:tcW w:w="28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gridSpan w:val="5"/>
          </w:tcPr>
          <w:p>
            <w:pPr>
              <w:jc w:val="center"/>
              <w:ind w:left="4070"/>
              <w:spacing w:after="0"/>
              <w:rPr>
                <w:sz w:val="20"/>
                <w:szCs w:val="20"/>
                <w:color w:val="auto"/>
              </w:rPr>
            </w:pPr>
            <w:r>
              <w:rPr>
                <w:rFonts w:ascii="Arial" w:cs="Arial" w:eastAsia="Arial" w:hAnsi="Arial"/>
                <w:sz w:val="18"/>
                <w:szCs w:val="18"/>
                <w:b w:val="1"/>
                <w:bCs w:val="1"/>
                <w:color w:val="auto"/>
                <w:w w:val="89"/>
              </w:rPr>
              <w:t>As of December 31, 2009 and 2008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2860" w:type="dxa"/>
            <w:vAlign w:val="bottom"/>
            <w:gridSpan w:val="4"/>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gridSpan w:val="3"/>
          </w:tcPr>
          <w:p>
            <w:pPr>
              <w:jc w:val="center"/>
              <w:ind w:right="1340"/>
              <w:spacing w:after="0"/>
              <w:rPr>
                <w:sz w:val="20"/>
                <w:szCs w:val="20"/>
                <w:color w:val="auto"/>
              </w:rPr>
            </w:pPr>
            <w:r>
              <w:rPr>
                <w:rFonts w:ascii="Arial" w:cs="Arial" w:eastAsia="Arial" w:hAnsi="Arial"/>
                <w:sz w:val="18"/>
                <w:szCs w:val="18"/>
                <w:color w:val="auto"/>
                <w:w w:val="85"/>
              </w:rPr>
              <w:t>Assets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Cash</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23,828</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36,737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1,047,896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1,065,639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73,934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1,145,658</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1,170,071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80" w:type="dxa"/>
            <w:vAlign w:val="bottom"/>
            <w:gridSpan w:val="5"/>
            <w:vMerge w:val="restart"/>
          </w:tcPr>
          <w:p>
            <w:pPr>
              <w:jc w:val="center"/>
              <w:ind w:left="4070"/>
              <w:spacing w:after="0"/>
              <w:rPr>
                <w:sz w:val="20"/>
                <w:szCs w:val="20"/>
                <w:color w:val="auto"/>
              </w:rPr>
            </w:pPr>
            <w:r>
              <w:rPr>
                <w:rFonts w:ascii="Arial" w:cs="Arial" w:eastAsia="Arial" w:hAnsi="Arial"/>
                <w:sz w:val="18"/>
                <w:szCs w:val="18"/>
                <w:color w:val="auto"/>
                <w:w w:val="92"/>
              </w:rPr>
              <w:t>Liabilities and Shareholders’ Equity</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2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420" w:type="dxa"/>
            <w:vAlign w:val="bottom"/>
          </w:tcPr>
          <w:p>
            <w:pPr>
              <w:ind w:left="580"/>
              <w:spacing w:after="0"/>
              <w:rPr>
                <w:sz w:val="20"/>
                <w:szCs w:val="20"/>
                <w:color w:val="auto"/>
              </w:rPr>
            </w:pPr>
            <w:r>
              <w:rPr>
                <w:rFonts w:ascii="Arial" w:cs="Arial" w:eastAsia="Arial" w:hAnsi="Arial"/>
                <w:sz w:val="18"/>
                <w:szCs w:val="18"/>
                <w:color w:val="auto"/>
              </w:rPr>
              <w:t>Subordinated debentures</w:t>
            </w:r>
          </w:p>
        </w:tc>
        <w:tc>
          <w:tcPr>
            <w:tcW w:w="2600" w:type="dxa"/>
            <w:vAlign w:val="bottom"/>
            <w:tcBorders>
              <w:top w:val="single" w:sz="8" w:color="auto"/>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120,066</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120,986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63,271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183,337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180,689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80" w:type="dxa"/>
            <w:vAlign w:val="bottom"/>
            <w:gridSpan w:val="5"/>
          </w:tcPr>
          <w:p>
            <w:pPr>
              <w:ind w:left="58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962,321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5"/>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1,145,658</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1,170,071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40" w:type="dxa"/>
            <w:vAlign w:val="bottom"/>
            <w:gridSpan w:val="3"/>
            <w:vMerge w:val="restart"/>
          </w:tcPr>
          <w:p>
            <w:pPr>
              <w:jc w:val="center"/>
              <w:ind w:left="5390"/>
              <w:spacing w:after="0"/>
              <w:rPr>
                <w:sz w:val="20"/>
                <w:szCs w:val="20"/>
                <w:color w:val="auto"/>
              </w:rPr>
            </w:pPr>
            <w:r>
              <w:rPr>
                <w:rFonts w:ascii="Arial" w:cs="Arial" w:eastAsia="Arial" w:hAnsi="Arial"/>
                <w:sz w:val="18"/>
                <w:szCs w:val="18"/>
                <w:color w:val="auto"/>
                <w:w w:val="89"/>
              </w:rPr>
              <w:t>91</w:t>
            </w: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94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95" w:name="page96"/>
    <w:bookmarkEnd w:id="95"/>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 continued</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211" w:lineRule="exact"/>
        <w:rPr>
          <w:sz w:val="20"/>
          <w:szCs w:val="20"/>
          <w:color w:val="auto"/>
        </w:rPr>
      </w:pPr>
    </w:p>
    <w:tbl>
      <w:tblPr>
        <w:tblLayout w:type="fixed"/>
        <w:tblInd w:w="1132" w:type="dxa"/>
        <w:tblCellMar>
          <w:top w:w="0" w:type="dxa"/>
          <w:left w:w="0" w:type="dxa"/>
          <w:bottom w:w="0" w:type="dxa"/>
          <w:right w:w="0" w:type="dxa"/>
        </w:tblCellMar>
      </w:tblPr>
      <w:tr>
        <w:trPr>
          <w:trHeight w:val="230"/>
        </w:trPr>
        <w:tc>
          <w:tcPr>
            <w:tcW w:w="5820" w:type="dxa"/>
            <w:vAlign w:val="bottom"/>
          </w:tcPr>
          <w:p>
            <w:pPr>
              <w:ind w:left="406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(228,327)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(63,450)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Adjustments to reconcile net (loss) income to net cash (used in)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provided by operating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Equity in undistributed loss (income) of the subsidiaries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221,699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Impairment loss on securities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Employee stock compensation</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Change in assets and liabilities, net of effects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20"/>
              <w:spacing w:after="0"/>
              <w:rPr>
                <w:sz w:val="20"/>
                <w:szCs w:val="20"/>
                <w:color w:val="auto"/>
              </w:rPr>
            </w:pPr>
            <w:r>
              <w:rPr>
                <w:rFonts w:ascii="Arial" w:cs="Arial" w:eastAsia="Arial" w:hAnsi="Arial"/>
                <w:sz w:val="18"/>
                <w:szCs w:val="18"/>
                <w:color w:val="auto"/>
              </w:rPr>
              <w:t>of business combinations: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(5,395)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(40,813)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(15,434)</w:t>
            </w:r>
          </w:p>
        </w:tc>
        <w:tc>
          <w:tcPr>
            <w:tcW w:w="0" w:type="dxa"/>
            <w:vAlign w:val="bottom"/>
          </w:tcPr>
          <w:p>
            <w:pPr>
              <w:spacing w:after="0"/>
              <w:rPr>
                <w:sz w:val="1"/>
                <w:szCs w:val="1"/>
                <w:color w:val="auto"/>
              </w:rPr>
            </w:pPr>
          </w:p>
        </w:tc>
      </w:tr>
      <w:tr>
        <w:trPr>
          <w:trHeight w:val="237"/>
        </w:trPr>
        <w:tc>
          <w:tcPr>
            <w:tcW w:w="582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2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(5,261)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72,676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Investing activities, net of effects of purchase acquisitions:</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Purchases of premises and equipment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Disposal of premises and equipment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(210,900)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(253,000)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Repayment of subordinated notes by subsidiary</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Net cash paid for acquisitions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8"/>
                <w:szCs w:val="18"/>
                <w:color w:val="auto"/>
              </w:rPr>
              <w:t>Purchases of securities available for sale</w:t>
            </w: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(211,338)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(180,216)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(28,488)</w:t>
            </w: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Net change in short-term borrowings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Proceeds from issuance of trust preferred securities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Retirement of trust preferred securities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Repayment of subordinated notes</w:t>
            </w: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Proceeds from issuance of common stock for dividend reinvestment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20"/>
              <w:spacing w:after="0"/>
              <w:rPr>
                <w:sz w:val="20"/>
                <w:szCs w:val="20"/>
                <w:color w:val="auto"/>
              </w:rPr>
            </w:pPr>
            <w:r>
              <w:rPr>
                <w:rFonts w:ascii="Arial" w:cs="Arial" w:eastAsia="Arial" w:hAnsi="Arial"/>
                <w:sz w:val="18"/>
                <w:szCs w:val="18"/>
                <w:color w:val="auto"/>
              </w:rPr>
              <w:t>and employee benefit plans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211,089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Proceeds from issuance of Series B preferred stock</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Retirement of Series A preferred stock</w:t>
            </w: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(46,056)</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Cash dividends on common stock</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(12,713)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(16,029)</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Cash dividends on Series A preferred stock</w:t>
            </w: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8"/>
                <w:szCs w:val="18"/>
                <w:color w:val="auto"/>
              </w:rPr>
              <w:t>Cash dividends on Series B preferred stock</w:t>
            </w: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203,690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(19,525)</w:t>
            </w: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(12,909)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b w:val="1"/>
                <w:bCs w:val="1"/>
                <w:color w:val="auto"/>
              </w:rPr>
              <w:t>Cash at end of year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23,828</w:t>
            </w:r>
          </w:p>
        </w:tc>
        <w:tc>
          <w:tcPr>
            <w:tcW w:w="1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36,737</w:t>
            </w:r>
          </w:p>
        </w:tc>
        <w:tc>
          <w:tcPr>
            <w:tcW w:w="1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92" w:hanging="492"/>
        <w:spacing w:after="0"/>
        <w:tabs>
          <w:tab w:leader="none" w:pos="4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 w:lineRule="exact"/>
        <w:rPr>
          <w:rFonts w:ascii="Arial" w:cs="Arial" w:eastAsia="Arial" w:hAnsi="Arial"/>
          <w:sz w:val="18"/>
          <w:szCs w:val="18"/>
          <w:b w:val="1"/>
          <w:bCs w:val="1"/>
          <w:color w:val="auto"/>
        </w:rPr>
      </w:pPr>
    </w:p>
    <w:p>
      <w:pPr>
        <w:jc w:val="both"/>
        <w:ind w:left="49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performed an evaluation of subsequent events through February 25, 2010, the date upon which United’s annual report on Form 10-K was filed with the Securities and Exchange Commission. No subsequent events were identified that would have required a change to the financial statements or disclosure in the notes to the financial statements.</w:t>
      </w:r>
    </w:p>
    <w:p>
      <w:pPr>
        <w:spacing w:after="0" w:line="3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3" w:right="239" w:bottom="518" w:gutter="0" w:footer="0" w:header="0"/>
        </w:sectPr>
      </w:pPr>
    </w:p>
    <w:bookmarkStart w:id="96" w:name="page97"/>
    <w:bookmarkEnd w:id="96"/>
    <w:p>
      <w:pPr>
        <w:spacing w:after="0"/>
        <w:tabs>
          <w:tab w:leader="none" w:pos="1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past two years, United did not change accountants nor have any disagreements with its accountants on any matters of accounting principles or practices or financial statement disclosure.</w:t>
      </w:r>
    </w:p>
    <w:p>
      <w:pPr>
        <w:spacing w:after="0" w:line="193"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2009.</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Securities Exchange Act of 1934 is recorded, processed, summarized and reported within the time periods specified.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2009 that materially affected, or are reasonably likely to materially affect, United’s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2009 is included in Item 8 of this Report under the heading “Management’s Report on Internal Controls Over Financial Reporting.”</w:t>
      </w:r>
    </w:p>
    <w:p>
      <w:pPr>
        <w:spacing w:after="0" w:line="20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2009 that were not reported on Form 8-K.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2010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21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under the heading “Compensation of Executive Officers and Directors” in the Proxy Statement to be used in connection with the solicitation of proxies for United’s 2010 Annual Meeting of Shareholders, to be filed with the SEC, is incorporated herein by reference.</w:t>
      </w:r>
    </w:p>
    <w:p>
      <w:pPr>
        <w:spacing w:after="0" w:line="170" w:lineRule="exact"/>
        <w:rPr>
          <w:sz w:val="20"/>
          <w:szCs w:val="20"/>
          <w:color w:val="auto"/>
        </w:rPr>
      </w:pPr>
    </w:p>
    <w:p>
      <w:pPr>
        <w:jc w:val="both"/>
        <w:ind w:left="138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2010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2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2010 Annual Meeting of Shareholders, to be filed with the SEC, is incorporated herein by reference.</w:t>
      </w:r>
    </w:p>
    <w:p>
      <w:pPr>
        <w:spacing w:after="0" w:line="14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2010 Annual Meeting of Shareholders, to be filed with the SEC, is incorporated herein by reference.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8" w:name="page99"/>
    <w:bookmarkEnd w:id="98"/>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56" w:lineRule="exact"/>
        <w:rPr>
          <w:sz w:val="20"/>
          <w:szCs w:val="20"/>
          <w:color w:val="auto"/>
        </w:rPr>
      </w:pPr>
    </w:p>
    <w:p>
      <w:pPr>
        <w:ind w:left="700" w:hanging="69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 of Income - Years ended December 31, 2009, 2008, and 2007</w:t>
      </w:r>
    </w:p>
    <w:p>
      <w:pPr>
        <w:ind w:left="1140"/>
        <w:spacing w:after="0" w:line="236" w:lineRule="auto"/>
        <w:rPr>
          <w:sz w:val="20"/>
          <w:szCs w:val="20"/>
          <w:color w:val="auto"/>
        </w:rPr>
      </w:pPr>
      <w:r>
        <w:rPr>
          <w:rFonts w:ascii="Arial" w:cs="Arial" w:eastAsia="Arial" w:hAnsi="Arial"/>
          <w:sz w:val="22"/>
          <w:szCs w:val="22"/>
          <w:color w:val="auto"/>
        </w:rPr>
        <w:t>Consolidated Balance Sheet - December 31, 2009 and 2008</w:t>
      </w:r>
    </w:p>
    <w:p>
      <w:pPr>
        <w:ind w:left="1140"/>
        <w:spacing w:after="0"/>
        <w:rPr>
          <w:sz w:val="20"/>
          <w:szCs w:val="20"/>
          <w:color w:val="auto"/>
        </w:rPr>
      </w:pPr>
      <w:r>
        <w:rPr>
          <w:rFonts w:ascii="Arial" w:cs="Arial" w:eastAsia="Arial" w:hAnsi="Arial"/>
          <w:sz w:val="19"/>
          <w:szCs w:val="19"/>
          <w:color w:val="auto"/>
        </w:rPr>
        <w:t>Consolidated Statement of Changes in Shareholders’ Equity - Years ended December 31, 2009, 2008, and 2007</w:t>
      </w:r>
    </w:p>
    <w:p>
      <w:pPr>
        <w:spacing w:after="0" w:line="30" w:lineRule="exact"/>
        <w:rPr>
          <w:sz w:val="20"/>
          <w:szCs w:val="20"/>
          <w:color w:val="auto"/>
        </w:rPr>
      </w:pPr>
    </w:p>
    <w:p>
      <w:pPr>
        <w:ind w:left="1140" w:right="3780"/>
        <w:spacing w:after="0" w:line="259" w:lineRule="auto"/>
        <w:rPr>
          <w:sz w:val="20"/>
          <w:szCs w:val="20"/>
          <w:color w:val="auto"/>
        </w:rPr>
      </w:pPr>
      <w:r>
        <w:rPr>
          <w:rFonts w:ascii="Arial" w:cs="Arial" w:eastAsia="Arial" w:hAnsi="Arial"/>
          <w:sz w:val="18"/>
          <w:szCs w:val="18"/>
          <w:color w:val="auto"/>
        </w:rPr>
        <w:t>Consolidated Statement of Cash Flows - Years ended December 31, 2009, 2008, and 2007 Notes to Consolidated Financial Statements</w:t>
      </w:r>
    </w:p>
    <w:p>
      <w:pPr>
        <w:spacing w:after="0" w:line="213" w:lineRule="exact"/>
        <w:rPr>
          <w:sz w:val="20"/>
          <w:szCs w:val="20"/>
          <w:color w:val="auto"/>
        </w:rPr>
      </w:pPr>
    </w:p>
    <w:p>
      <w:pPr>
        <w:ind w:left="1200" w:hanging="544"/>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52" w:lineRule="exact"/>
        <w:rPr>
          <w:sz w:val="20"/>
          <w:szCs w:val="20"/>
          <w:color w:val="auto"/>
        </w:rPr>
      </w:pPr>
    </w:p>
    <w:p>
      <w:pPr>
        <w:ind w:left="1200" w:hanging="544"/>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exhibits are required to be filed with this Report on Form 10-K by Item 601 of Regulation S-K: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w:t>
            </w:r>
          </w:p>
        </w:tc>
      </w:tr>
      <w:tr>
        <w:trPr>
          <w:trHeight w:val="27"/>
        </w:trPr>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520" w:type="dxa"/>
            <w:vAlign w:val="bottom"/>
          </w:tcPr>
          <w:p>
            <w:pPr>
              <w:spacing w:after="0"/>
              <w:rPr>
                <w:sz w:val="2"/>
                <w:szCs w:val="2"/>
                <w:color w:val="auto"/>
              </w:rPr>
            </w:pPr>
          </w:p>
        </w:tc>
      </w:tr>
      <w:tr>
        <w:trPr>
          <w:trHeight w:val="418"/>
        </w:trPr>
        <w:tc>
          <w:tcPr>
            <w:tcW w:w="66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6"/>
              </w:rPr>
              <w:t>Restated Articles of Incorporation of United Community Banks, Inc., (incorporated herein by reference to Exhibit 3.1 to</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1"/>
              </w:rPr>
              <w:t>United Community Banks, Inc.’s Quarterly Report on Form 10-Q for the quarter ended June 30, 2001, File No. 0-21656, filed</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with the Commission on August 14, 2001).</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2"/>
              </w:rPr>
              <w:t>Amendment to the Restated Articles of Incorporation of United Community Banks, Inc. (incorporated herein by reference to</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6"/>
              </w:rPr>
              <w:t>Exhibit 3.3 to United Community Banks, Inc.’s Registration Statement on Form S-4, File No. 333-118893, filed with the</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Commission on September 9, 2004).</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3.3</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7"/>
              </w:rPr>
              <w:t>Amended and Restated Bylaws of United Community Banks, Inc., dated September 12, 1997 (incorporated herein by</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3"/>
              </w:rPr>
              <w:t>reference to Exhibit 3.1 to United Community Banks, Inc.’s Annual Report on Form 10-K, for the year ended December 31,</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1997, File No. 0-21656, filed with the Commission on March 27, 1998).</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3.4</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3"/>
              </w:rPr>
              <w:t>Amendment to the Amended and Restated Articles of Incorporation of United Community Banks, Inc. (incorporated herein</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5"/>
              </w:rPr>
              <w:t>by reference to Exhibit 3.1 to United Community Banks, Inc.’s current report on Form 8-K, filed with the Commission on</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December 5, 2008).</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0"/>
              </w:rPr>
              <w:t>See Exhibits 3.1, 3.2 and 3.3 for provisions of the Restated Articles of Incorporation, as amended, and Amended and Restated</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Bylaws, which define the rights of the shareholders.</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10.1</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2"/>
              </w:rPr>
              <w:t>United Community Banks, Inc.’s 1995 Key Employee Stock Option Plan (incorporated herein by reference to Exhibit 10.3 to</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4"/>
              </w:rPr>
              <w:t>United Community Banks, Inc.’s Annual Report on Form 10-K for the year ended December 31, 1994, File No. 0-21656).*</w:t>
            </w:r>
          </w:p>
        </w:tc>
      </w:tr>
      <w:tr>
        <w:trPr>
          <w:trHeight w:val="418"/>
        </w:trPr>
        <w:tc>
          <w:tcPr>
            <w:tcW w:w="1540" w:type="dxa"/>
            <w:vAlign w:val="bottom"/>
            <w:gridSpan w:val="2"/>
          </w:tcPr>
          <w:p>
            <w:pPr>
              <w:jc w:val="right"/>
              <w:ind w:right="190"/>
              <w:spacing w:after="0"/>
              <w:rPr>
                <w:sz w:val="20"/>
                <w:szCs w:val="20"/>
                <w:color w:val="auto"/>
              </w:rPr>
            </w:pPr>
            <w:r>
              <w:rPr>
                <w:rFonts w:ascii="Arial" w:cs="Arial" w:eastAsia="Arial" w:hAnsi="Arial"/>
                <w:sz w:val="18"/>
                <w:szCs w:val="18"/>
                <w:color w:val="auto"/>
              </w:rPr>
              <w:t>10.2</w:t>
            </w: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2"/>
              </w:rPr>
              <w:t>United Community Banks, Inc.’s Profit Sharing Plan, dated as of March 9, 2001 (incorporated herein by reference to Exhibit</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w w:val="93"/>
              </w:rPr>
              <w:t>4.3 to United Community Banks, Inc.’s Registration Statement on Form S-8, File No. 333-86876, filed with the Commission</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780"/>
              <w:spacing w:after="0"/>
              <w:rPr>
                <w:sz w:val="20"/>
                <w:szCs w:val="20"/>
                <w:color w:val="auto"/>
              </w:rPr>
            </w:pPr>
            <w:r>
              <w:rPr>
                <w:rFonts w:ascii="Arial" w:cs="Arial" w:eastAsia="Arial" w:hAnsi="Arial"/>
                <w:sz w:val="18"/>
                <w:szCs w:val="18"/>
                <w:color w:val="auto"/>
              </w:rPr>
              <w:t>on April 24, 2002).*</w:t>
            </w:r>
          </w:p>
        </w:tc>
      </w:tr>
      <w:tr>
        <w:trPr>
          <w:trHeight w:val="459"/>
        </w:trPr>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80" w:type="dxa"/>
            <w:vAlign w:val="bottom"/>
            <w:gridSpan w:val="3"/>
          </w:tcPr>
          <w:p>
            <w:pPr>
              <w:ind w:left="4080"/>
              <w:spacing w:after="0"/>
              <w:rPr>
                <w:sz w:val="20"/>
                <w:szCs w:val="20"/>
                <w:color w:val="auto"/>
              </w:rPr>
            </w:pPr>
            <w:r>
              <w:rPr>
                <w:rFonts w:ascii="Arial" w:cs="Arial" w:eastAsia="Arial" w:hAnsi="Arial"/>
                <w:sz w:val="18"/>
                <w:szCs w:val="18"/>
                <w:color w:val="auto"/>
              </w:rPr>
              <w:t>95</w:t>
            </w:r>
          </w:p>
        </w:tc>
      </w:tr>
      <w:tr>
        <w:trPr>
          <w:trHeight w:val="108"/>
        </w:trPr>
        <w:tc>
          <w:tcPr>
            <w:tcW w:w="6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5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660"/>
              <w:spacing w:after="0"/>
              <w:rPr>
                <w:sz w:val="20"/>
                <w:szCs w:val="20"/>
                <w:color w:val="auto"/>
              </w:rPr>
            </w:pPr>
            <w:r>
              <w:rPr>
                <w:rFonts w:ascii="Arial" w:cs="Arial" w:eastAsia="Arial" w:hAnsi="Arial"/>
                <w:sz w:val="18"/>
                <w:szCs w:val="18"/>
                <w:b w:val="1"/>
                <w:bCs w:val="1"/>
                <w:color w:val="auto"/>
                <w:w w:val="91"/>
              </w:rPr>
              <w:t>Exhibit No.</w:t>
            </w:r>
          </w:p>
        </w:tc>
        <w:tc>
          <w:tcPr>
            <w:tcW w:w="988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w:t>
            </w:r>
          </w:p>
        </w:tc>
      </w:tr>
      <w:tr>
        <w:trPr>
          <w:trHeight w:val="27"/>
        </w:trPr>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520" w:type="dxa"/>
            <w:vAlign w:val="bottom"/>
          </w:tcPr>
          <w:p>
            <w:pPr>
              <w:spacing w:after="0"/>
              <w:rPr>
                <w:sz w:val="2"/>
                <w:szCs w:val="2"/>
                <w:color w:val="auto"/>
              </w:rPr>
            </w:pPr>
          </w:p>
        </w:tc>
      </w:tr>
      <w:tr>
        <w:trPr>
          <w:trHeight w:val="418"/>
        </w:trPr>
        <w:tc>
          <w:tcPr>
            <w:tcW w:w="660" w:type="dxa"/>
            <w:vAlign w:val="bottom"/>
          </w:tcPr>
          <w:p>
            <w:pPr>
              <w:spacing w:after="0"/>
              <w:rPr>
                <w:sz w:val="24"/>
                <w:szCs w:val="24"/>
                <w:color w:val="auto"/>
              </w:rPr>
            </w:pPr>
          </w:p>
        </w:tc>
        <w:tc>
          <w:tcPr>
            <w:tcW w:w="880" w:type="dxa"/>
            <w:vAlign w:val="bottom"/>
          </w:tcPr>
          <w:p>
            <w:pPr>
              <w:jc w:val="center"/>
              <w:ind w:right="190"/>
              <w:spacing w:after="0"/>
              <w:rPr>
                <w:sz w:val="20"/>
                <w:szCs w:val="20"/>
                <w:color w:val="auto"/>
              </w:rPr>
            </w:pPr>
            <w:r>
              <w:rPr>
                <w:rFonts w:ascii="Arial" w:cs="Arial" w:eastAsia="Arial" w:hAnsi="Arial"/>
                <w:sz w:val="18"/>
                <w:szCs w:val="18"/>
                <w:color w:val="auto"/>
                <w:w w:val="91"/>
              </w:rPr>
              <w:t>10.3</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Amendment No. 1 to United Community Banks, Inc.’s Profit Sharing Plan, dated as of March 15, 2002 (incorporated herein by</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reference to Exhibit 4.4 to United Community Banks, Inc.’s Registration Statement on Form S-8, File No. 333-86876, filed</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with the Commission on April 24, 2002).*</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10.4</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United Community Banks, Inc.’s 2000 Key Employee Stock Option Plan (incorporated herein by reference to Exhibit 4.3 to</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7"/>
              </w:rPr>
              <w:t>United Community Banks, Inc.’s Registration Statement on Form S-8, File No. 333-99849, filed with the Commission on</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September 19, 2002).*</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10.5</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Amendment to United Community Banks, Inc.’s 2000 Key Employee Stock Option Plan, dated March 5, 2004 (incorporated</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herein by reference to United Community Banks, Inc.’s Registration Statement on Form S-4, filed on September 9, 2004).*</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10.6</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Split-Dollar Agreement between United and Jimmy C. Tallent dated June 1, 1994 (incorporated herein by reference to Exhibit</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10.11 to United Community Banks, Inc.’s Annual Report on Form 10-K for the year ended December 31, 1994, File No. 0-</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21656).*</w:t>
            </w:r>
          </w:p>
        </w:tc>
        <w:tc>
          <w:tcPr>
            <w:tcW w:w="8520" w:type="dxa"/>
            <w:vAlign w:val="bottom"/>
          </w:tcPr>
          <w:p>
            <w:pPr>
              <w:spacing w:after="0"/>
              <w:rPr>
                <w:sz w:val="20"/>
                <w:szCs w:val="20"/>
                <w:color w:val="auto"/>
              </w:rPr>
            </w:pP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10.7</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1"/>
              </w:rPr>
              <w:t>Form of Amended and Restated Change of Control Severance Agreement by and between United Community Banks, Inc. and</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Jimmy C. Tallent, Guy W. Freeman, Rex S. Schuette and David Shearrow (incorporated herein by reference to Exhibit 10.8 to</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United Community Banks, Inc.’s Annual Report on Form 10-K for the year ended December 31, 2008, File No. 0-21656, filed</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with the Commission on February 27, 2009).*</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10.8</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1"/>
              </w:rPr>
              <w:t>Employment Agreement by and between United Community Banks, Inc. and Glenn S. White (incorporated herein by reference</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to Exhibit 10.9 to United Community Banks, Inc.’s Annual Report on Form 10-K for the year ended December 31, 2008, File</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No. 0-21656, filed with the Commission on February 27, 2009).*</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10.9</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United Community Banks, Inc.’s Amended and Restated Modified Retirement Plan, effective as of January 1, 2005</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(incorporated herein by reference to Exhibit 10.10 to United Community Banks, Inc.’s Annual Report on Form 10-K for the</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year ended December 31, 2008, File No. 0-21656, filed with the Commission on February 27, 2009).*</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10.10</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7"/>
              </w:rPr>
              <w:t>United Community Banks, Inc.’s Amended and Restated Deferred Compensation Plan, effective as of January 1, 2005</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(incorporated herein by reference to Exhibit 10.11 to United Community Banks, Inc.’s Annual Report on Form 10-K for the</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year ended December 31, 2008, File No. 0-21656, filed with the Commission on February 27, 2009).*</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10.11</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0"/>
              </w:rPr>
              <w:t>United Community Banks, Inc. Dividend Reinvestment and Share Purchase Plan (incorporated) herein by reference to Exhibit 4</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to United Community Banks, Inc.’s Registration Statement on Form S-3D, File No. 333-127477, filed with the Commission on</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August 12, 2005).</w:t>
            </w:r>
          </w:p>
        </w:tc>
      </w:tr>
      <w:tr>
        <w:trPr>
          <w:trHeight w:val="418"/>
        </w:trPr>
        <w:tc>
          <w:tcPr>
            <w:tcW w:w="154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10.12</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United Community Banks, Inc. Employee Stock Purchase Plan, effective as of December 20, 2005 (incorporated herein by</w:t>
            </w: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reference to Exhibit 4 to United Community Banks, Inc.’s Registration Statement on Form S-8, File No. 333-130489, filed with</w:t>
            </w:r>
          </w:p>
        </w:tc>
      </w:tr>
      <w:tr>
        <w:trPr>
          <w:trHeight w:val="230"/>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the commission on December 20, 2005).</w:t>
            </w:r>
          </w:p>
        </w:tc>
      </w:tr>
      <w:tr>
        <w:trPr>
          <w:trHeight w:val="459"/>
        </w:trPr>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80" w:type="dxa"/>
            <w:vAlign w:val="bottom"/>
            <w:gridSpan w:val="3"/>
          </w:tcPr>
          <w:p>
            <w:pPr>
              <w:ind w:left="4080"/>
              <w:spacing w:after="0"/>
              <w:rPr>
                <w:sz w:val="20"/>
                <w:szCs w:val="20"/>
                <w:color w:val="auto"/>
              </w:rPr>
            </w:pPr>
            <w:r>
              <w:rPr>
                <w:rFonts w:ascii="Arial" w:cs="Arial" w:eastAsia="Arial" w:hAnsi="Arial"/>
                <w:sz w:val="18"/>
                <w:szCs w:val="18"/>
                <w:color w:val="auto"/>
              </w:rPr>
              <w:t>96</w:t>
            </w:r>
          </w:p>
        </w:tc>
      </w:tr>
      <w:tr>
        <w:trPr>
          <w:trHeight w:val="108"/>
        </w:trPr>
        <w:tc>
          <w:tcPr>
            <w:tcW w:w="6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5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988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w:t>
            </w:r>
          </w:p>
        </w:tc>
      </w:tr>
      <w:tr>
        <w:trPr>
          <w:trHeight w:val="27"/>
        </w:trPr>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520" w:type="dxa"/>
            <w:vAlign w:val="bottom"/>
          </w:tcPr>
          <w:p>
            <w:pPr>
              <w:spacing w:after="0"/>
              <w:rPr>
                <w:sz w:val="2"/>
                <w:szCs w:val="2"/>
                <w:color w:val="auto"/>
              </w:rPr>
            </w:pP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10.13</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8"/>
              </w:rPr>
              <w:t>Amendment Number 2 to United Community Banks, Inc. 2000 Key Employee Stock Option Plan, dated April 26, 2006</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(incorporated herein by reference to Exhibit 10.1 to United Community Banks, Inc.’s Quarterly Report on Form 10-Q for the</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quarter ended June 30, 2006, File No. 0-21656, filed with the Commission on August 8, 2006).*</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10.14</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6"/>
              </w:rPr>
              <w:t>United Community Banks, Inc.’s Amended and Restated 2000 Key Employee Stock Option Plan (incorporated herein by</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reference to Exhibit 10.1 to United Community Banks, Inc.’s Current Report on Form 8-K, filed with the Commission on May</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1, 2007).*</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10.15</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7"/>
              </w:rPr>
              <w:t>Form of Senior Executive Officer Incentive Stock Option Agreement (incorporated herein by reference to Exhibit 10.3 to</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United Community Banks, Inc.’s Quarterly Report on Form 10-Q for the quarter ended June 30, 2009, File No. 0-21656, filed</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with the Commission on August 7, 2009).*</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10.16</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Form of Senior Executive Officer Nonqualified Stock Option Agreement (incorporated herein by reference to Exhibit 10.1 to</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United Community Banks, Inc.’s Quarterly Report on Form 10-Q for the quarter ended June 30, 2009, File No. 0-21656, filed</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with the Commission on August 7, 2009).*</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10.17</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Form of Senior Executive Officer Restricted Stock Unit Award Agreement (incorporated herein by reference to Exhibit 10.2 to</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United Community Banks, Inc.’s Quarterly Report on Form 10-Q for the quarter ended June 30, 2009, File No. 0-21656, filed</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with the Commission on August 7, 2009).*</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10.18</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7"/>
              </w:rPr>
              <w:t>United Community Banks, Inc.’s Management Incentive Plan (incorporated herein by reference to Exhibit 10.5 to United</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Community Banks, Inc.’s Current Report on Form 8-K, filed with the Commission on May 1, 2007).*</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10.19</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8"/>
              </w:rPr>
              <w:t>Amendment No. 1 to United Community Banks, Inc.’s Amended and Restated 2000 Key Employee Stock Option Plan</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4"/>
              </w:rPr>
              <w:t>(incorporated herein by reference to Exhibit 10.1 to United Community Banks, Inc.’s Current Report on Form 8-K, filed with</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the Commission on April 13, 2007).*</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10.20</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2"/>
              </w:rPr>
              <w:t>Subordinated Term Loan Agreement, dated as of August 29, 2008, among United Community Bank, as borrower, the lenders</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1"/>
              </w:rPr>
              <w:t>from time to time party thereto, and SunTrust Bank as administrative agent (incorporated herein by reference to Exhibit 10.1 to</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United Community Banks, Inc.’s current report on Form 8-K, filed with the Commission on August 28, 2008).</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10.21</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Letter Agreement, dated December 5, 2008, between United Community Banks, Inc. and the United States Treasury, with</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89"/>
              </w:rPr>
              <w:t>respect to the issuance and sale of Series B Preferred Stock and the Warrant (incorporated herein by reference to Exhibit 10.1 to</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United Community Banks, Inc.’s current Report on Form 8-K, filed with the Commission on December 5, 2008).</w:t>
            </w:r>
          </w:p>
        </w:tc>
      </w:tr>
      <w:tr>
        <w:trPr>
          <w:trHeight w:val="418"/>
        </w:trPr>
        <w:tc>
          <w:tcPr>
            <w:tcW w:w="880" w:type="dxa"/>
            <w:vAlign w:val="bottom"/>
          </w:tcPr>
          <w:p>
            <w:pPr>
              <w:jc w:val="right"/>
              <w:ind w:right="290"/>
              <w:spacing w:after="0"/>
              <w:rPr>
                <w:sz w:val="20"/>
                <w:szCs w:val="20"/>
                <w:color w:val="auto"/>
              </w:rPr>
            </w:pPr>
            <w:r>
              <w:rPr>
                <w:rFonts w:ascii="Arial" w:cs="Arial" w:eastAsia="Arial" w:hAnsi="Arial"/>
                <w:sz w:val="18"/>
                <w:szCs w:val="18"/>
                <w:color w:val="auto"/>
              </w:rPr>
              <w:t>10.22</w:t>
            </w: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3"/>
              </w:rPr>
              <w:t>Form of Senior Executive Officer Waiver, dated December 5, 2008, by Jimmy C. Tallent, Guy W. Freeman, Rex S. Schuette,</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5"/>
              </w:rPr>
              <w:t>David Shearrow and Glenn S. White (incorporated herein by reference to Exhibit 10.23 to United Community Banks, Inc.’s</w:t>
            </w:r>
          </w:p>
        </w:tc>
      </w:tr>
      <w:tr>
        <w:trPr>
          <w:trHeight w:val="216"/>
        </w:trPr>
        <w:tc>
          <w:tcPr>
            <w:tcW w:w="880" w:type="dxa"/>
            <w:vAlign w:val="bottom"/>
          </w:tcPr>
          <w:p>
            <w:pPr>
              <w:spacing w:after="0"/>
              <w:rPr>
                <w:sz w:val="18"/>
                <w:szCs w:val="18"/>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w w:val="91"/>
              </w:rPr>
              <w:t>Annual Report on Form 10-K for the year ended December 31, 2008, File No. 0-21656, filed with the Commission on February</w:t>
            </w:r>
          </w:p>
        </w:tc>
      </w:tr>
      <w:tr>
        <w:trPr>
          <w:trHeight w:val="230"/>
        </w:trPr>
        <w:tc>
          <w:tcPr>
            <w:tcW w:w="880" w:type="dxa"/>
            <w:vAlign w:val="bottom"/>
          </w:tcPr>
          <w:p>
            <w:pPr>
              <w:spacing w:after="0"/>
              <w:rPr>
                <w:sz w:val="20"/>
                <w:szCs w:val="20"/>
                <w:color w:val="auto"/>
              </w:rPr>
            </w:pPr>
          </w:p>
        </w:tc>
        <w:tc>
          <w:tcPr>
            <w:tcW w:w="9880" w:type="dxa"/>
            <w:vAlign w:val="bottom"/>
            <w:gridSpan w:val="3"/>
          </w:tcPr>
          <w:p>
            <w:pPr>
              <w:ind w:left="640"/>
              <w:spacing w:after="0"/>
              <w:rPr>
                <w:sz w:val="20"/>
                <w:szCs w:val="20"/>
                <w:color w:val="auto"/>
              </w:rPr>
            </w:pPr>
            <w:r>
              <w:rPr>
                <w:rFonts w:ascii="Arial" w:cs="Arial" w:eastAsia="Arial" w:hAnsi="Arial"/>
                <w:sz w:val="18"/>
                <w:szCs w:val="18"/>
                <w:color w:val="auto"/>
              </w:rPr>
              <w:t>27, 2009).*</w:t>
            </w:r>
          </w:p>
        </w:tc>
      </w:tr>
    </w:tbl>
    <w:p>
      <w:pPr>
        <w:spacing w:after="0" w:line="202" w:lineRule="exact"/>
        <w:rPr>
          <w:sz w:val="20"/>
          <w:szCs w:val="20"/>
          <w:color w:val="auto"/>
        </w:rPr>
      </w:pPr>
    </w:p>
    <w:p>
      <w:pPr>
        <w:ind w:left="1520" w:right="20" w:hanging="1321"/>
        <w:spacing w:after="0" w:line="308" w:lineRule="auto"/>
        <w:tabs>
          <w:tab w:leader="none" w:pos="1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Code of Ethical Conduct (incorporated herein by reference to Exhibit 14 to United Community Banks, Inc.’s Annual Report on Form 10-K for the year ended December 31, 2003, File No. 0-21656, filed with the Commission on March 8, 2004.).</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64" w:right="239" w:bottom="1440" w:gutter="0" w:footer="0" w:header="0"/>
        </w:sectPr>
      </w:pPr>
    </w:p>
    <w:bookmarkStart w:id="101" w:name="page102"/>
    <w:bookmarkEnd w:id="101"/>
    <w:tbl>
      <w:tblPr>
        <w:tblLayout w:type="fixed"/>
        <w:tblInd w:w="660" w:type="dxa"/>
        <w:tblCellMar>
          <w:top w:w="0" w:type="dxa"/>
          <w:left w:w="0" w:type="dxa"/>
          <w:bottom w:w="0" w:type="dxa"/>
          <w:right w:w="0" w:type="dxa"/>
        </w:tblCellMar>
      </w:tblPr>
      <w:tr>
        <w:trPr>
          <w:trHeight w:val="234"/>
        </w:trPr>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226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w:t>
            </w:r>
          </w:p>
        </w:tc>
      </w:tr>
      <w:tr>
        <w:trPr>
          <w:trHeight w:val="27"/>
        </w:trPr>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r>
      <w:tr>
        <w:trPr>
          <w:trHeight w:val="432"/>
        </w:trPr>
        <w:tc>
          <w:tcPr>
            <w:tcW w:w="88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w w:val="91"/>
              </w:rPr>
              <w:t>Subsidiaries of United</w:t>
            </w:r>
          </w:p>
        </w:tc>
      </w:tr>
    </w:tbl>
    <w:p>
      <w:pPr>
        <w:spacing w:after="0" w:line="202" w:lineRule="exact"/>
        <w:rPr>
          <w:sz w:val="20"/>
          <w:szCs w:val="20"/>
          <w:color w:val="auto"/>
        </w:rPr>
      </w:pPr>
    </w:p>
    <w:p>
      <w:pPr>
        <w:ind w:left="2180" w:hanging="1335"/>
        <w:spacing w:after="0"/>
        <w:tabs>
          <w:tab w:leader="none" w:pos="2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2180" w:hanging="1335"/>
        <w:spacing w:after="0"/>
        <w:tabs>
          <w:tab w:leader="none" w:pos="2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tcPr>
          <w:p>
            <w:pPr>
              <w:ind w:left="500"/>
              <w:spacing w:after="0"/>
              <w:rPr>
                <w:sz w:val="20"/>
                <w:szCs w:val="20"/>
                <w:color w:val="auto"/>
              </w:rPr>
            </w:pPr>
            <w:r>
              <w:rPr>
                <w:rFonts w:ascii="Arial" w:cs="Arial" w:eastAsia="Arial" w:hAnsi="Arial"/>
                <w:sz w:val="18"/>
                <w:szCs w:val="18"/>
                <w:color w:val="auto"/>
                <w:w w:val="98"/>
              </w:rPr>
              <w:t>Certification by Jimmy C. Tallent, President and Chief Executive Officer of United Community Banks, Inc., as adopted</w:t>
            </w:r>
          </w:p>
        </w:tc>
      </w:tr>
      <w:tr>
        <w:trPr>
          <w:trHeight w:val="230"/>
        </w:trPr>
        <w:tc>
          <w:tcPr>
            <w:tcW w:w="840" w:type="dxa"/>
            <w:vAlign w:val="bottom"/>
          </w:tcPr>
          <w:p>
            <w:pPr>
              <w:spacing w:after="0"/>
              <w:rPr>
                <w:sz w:val="20"/>
                <w:szCs w:val="20"/>
                <w:color w:val="auto"/>
              </w:rPr>
            </w:pPr>
          </w:p>
        </w:tc>
        <w:tc>
          <w:tcPr>
            <w:tcW w:w="9740" w:type="dxa"/>
            <w:vAlign w:val="bottom"/>
          </w:tcPr>
          <w:p>
            <w:pPr>
              <w:ind w:left="5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Pr>
          <w:p>
            <w:pPr>
              <w:ind w:left="500"/>
              <w:spacing w:after="0"/>
              <w:rPr>
                <w:sz w:val="20"/>
                <w:szCs w:val="20"/>
                <w:color w:val="auto"/>
              </w:rPr>
            </w:pPr>
            <w:r>
              <w:rPr>
                <w:rFonts w:ascii="Arial" w:cs="Arial" w:eastAsia="Arial" w:hAnsi="Arial"/>
                <w:sz w:val="18"/>
                <w:szCs w:val="18"/>
                <w:color w:val="auto"/>
                <w:w w:val="94"/>
              </w:rPr>
              <w:t>Certification by Rex S. Schuette, Executive Vice President and Chief Financial Officer of United Community Banks, Inc., as</w:t>
            </w:r>
          </w:p>
        </w:tc>
      </w:tr>
      <w:tr>
        <w:trPr>
          <w:trHeight w:val="230"/>
        </w:trPr>
        <w:tc>
          <w:tcPr>
            <w:tcW w:w="840" w:type="dxa"/>
            <w:vAlign w:val="bottom"/>
          </w:tcPr>
          <w:p>
            <w:pPr>
              <w:spacing w:after="0"/>
              <w:rPr>
                <w:sz w:val="20"/>
                <w:szCs w:val="20"/>
                <w:color w:val="auto"/>
              </w:rPr>
            </w:pPr>
          </w:p>
        </w:tc>
        <w:tc>
          <w:tcPr>
            <w:tcW w:w="9740" w:type="dxa"/>
            <w:vAlign w:val="bottom"/>
          </w:tcPr>
          <w:p>
            <w:pPr>
              <w:ind w:left="50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9740" w:type="dxa"/>
            <w:vAlign w:val="bottom"/>
          </w:tcPr>
          <w:p>
            <w:pPr>
              <w:ind w:left="50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r>
    </w:tbl>
    <w:p>
      <w:pPr>
        <w:spacing w:after="0" w:line="202" w:lineRule="exact"/>
        <w:rPr>
          <w:sz w:val="20"/>
          <w:szCs w:val="20"/>
          <w:color w:val="auto"/>
        </w:rPr>
      </w:pPr>
    </w:p>
    <w:p>
      <w:pPr>
        <w:ind w:left="2180" w:hanging="1335"/>
        <w:spacing w:after="0"/>
        <w:tabs>
          <w:tab w:leader="none" w:pos="2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TARP Compliance Certification pursuant to 31 C.F.R. Section 30.15.</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4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 Management contract or compensatory plan or arrangement required to be filed as an Exhibit to this Annual Report on Form 10-K pursuant to Item 15(c)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147066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Pursuant to the requirements of Section 13 or 15(a) of the Securities Exchange Act of 1934, United has duly caused this Report on Form 10-K, to be signed on its behalf by the undersigned, thereunto duly authorized, in the City of Blairsville, State of Georgia, on the 26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2010.</w:t>
      </w:r>
    </w:p>
    <w:p>
      <w:pPr>
        <w:spacing w:after="0" w:line="7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420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252158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20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252158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20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252158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Jimmy C. Tallent and Robert L. Head,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in the capacities set forth and on the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February, 2010.</w:t>
      </w:r>
    </w:p>
    <w:p>
      <w:pPr>
        <w:sectPr>
          <w:pgSz w:w="11900" w:h="16838" w:orient="portrait"/>
          <w:cols w:equalWidth="0" w:num="1">
            <w:col w:w="11420"/>
          </w:cols>
          <w:pgMar w:left="240" w:top="513" w:right="239" w:bottom="1440" w:gutter="0" w:footer="0" w:header="0"/>
        </w:sectPr>
      </w:pP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b w:val="1"/>
          <w:bCs w:val="1"/>
          <w:i w:val="1"/>
          <w:iCs w:val="1"/>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756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340" w:right="2020"/>
        <w:spacing w:after="0" w:line="261"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56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340" w:right="16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56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Vice President, Controller and Chief Accounting</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Officer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56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L. Head, Jr.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56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 C. Nelson, Jr.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Chairman of the Board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3274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32740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Cathy Cox</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Hoyt O.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29210</wp:posOffset>
            </wp:positionV>
            <wp:extent cx="33274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Hoyt O. Holloway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John D.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36830</wp:posOffset>
            </wp:positionV>
            <wp:extent cx="33274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John D. Stephens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3274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091" w:lineRule="exact"/>
        <w:rPr>
          <w:sz w:val="20"/>
          <w:szCs w:val="20"/>
          <w:color w:val="auto"/>
        </w:rPr>
      </w:pPr>
    </w:p>
    <w:p>
      <w:pPr>
        <w:sectPr>
          <w:pgSz w:w="11900" w:h="16838" w:orient="portrait"/>
          <w:cols w:equalWidth="0" w:num="2">
            <w:col w:w="5780" w:space="720"/>
            <w:col w:w="4920"/>
          </w:cols>
          <w:pgMar w:left="240" w:top="513"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EXHIBIT INDEX</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66"/>
        </w:trPr>
        <w:tc>
          <w:tcPr>
            <w:tcW w:w="5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Exhibit No.</w:t>
            </w:r>
          </w:p>
        </w:tc>
        <w:tc>
          <w:tcPr>
            <w:tcW w:w="88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Description</w:t>
            </w:r>
          </w:p>
        </w:tc>
        <w:tc>
          <w:tcPr>
            <w:tcW w:w="760" w:type="dxa"/>
            <w:vAlign w:val="bottom"/>
          </w:tcPr>
          <w:p>
            <w:pPr>
              <w:spacing w:after="0"/>
              <w:rPr>
                <w:sz w:val="24"/>
                <w:szCs w:val="24"/>
                <w:color w:val="auto"/>
              </w:rPr>
            </w:pPr>
          </w:p>
        </w:tc>
      </w:tr>
      <w:tr>
        <w:trPr>
          <w:trHeight w:val="432"/>
        </w:trPr>
        <w:tc>
          <w:tcPr>
            <w:tcW w:w="1500" w:type="dxa"/>
            <w:vAlign w:val="bottom"/>
            <w:gridSpan w:val="2"/>
          </w:tcPr>
          <w:p>
            <w:pPr>
              <w:jc w:val="right"/>
              <w:ind w:right="290"/>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w w:val="91"/>
              </w:rPr>
              <w:t>Subsidiaries of United</w:t>
            </w:r>
          </w:p>
        </w:tc>
      </w:tr>
    </w:tbl>
    <w:p>
      <w:pPr>
        <w:spacing w:after="0" w:line="202" w:lineRule="exact"/>
        <w:rPr>
          <w:sz w:val="20"/>
          <w:szCs w:val="20"/>
          <w:color w:val="auto"/>
        </w:rPr>
      </w:pPr>
    </w:p>
    <w:p>
      <w:pPr>
        <w:ind w:left="2380" w:hanging="1442"/>
        <w:spacing w:after="0"/>
        <w:tabs>
          <w:tab w:leader="none" w:pos="2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2380" w:hanging="1442"/>
        <w:spacing w:after="0"/>
        <w:tabs>
          <w:tab w:leader="none" w:pos="2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9520" w:type="dxa"/>
            <w:vAlign w:val="bottom"/>
          </w:tcPr>
          <w:p>
            <w:pPr>
              <w:ind w:left="540"/>
              <w:spacing w:after="0"/>
              <w:rPr>
                <w:sz w:val="20"/>
                <w:szCs w:val="20"/>
                <w:color w:val="auto"/>
              </w:rPr>
            </w:pPr>
            <w:r>
              <w:rPr>
                <w:rFonts w:ascii="Arial" w:cs="Arial" w:eastAsia="Arial" w:hAnsi="Arial"/>
                <w:sz w:val="18"/>
                <w:szCs w:val="18"/>
                <w:color w:val="auto"/>
                <w:w w:val="95"/>
              </w:rPr>
              <w:t>Certification by Jimmy C. Tallent, President and Chief Executive Officer of United Community Banks, Inc., as adopted</w:t>
            </w:r>
          </w:p>
        </w:tc>
      </w:tr>
      <w:tr>
        <w:trPr>
          <w:trHeight w:val="230"/>
        </w:trPr>
        <w:tc>
          <w:tcPr>
            <w:tcW w:w="900" w:type="dxa"/>
            <w:vAlign w:val="bottom"/>
          </w:tcPr>
          <w:p>
            <w:pPr>
              <w:spacing w:after="0"/>
              <w:rPr>
                <w:sz w:val="20"/>
                <w:szCs w:val="20"/>
                <w:color w:val="auto"/>
              </w:rPr>
            </w:pPr>
          </w:p>
        </w:tc>
        <w:tc>
          <w:tcPr>
            <w:tcW w:w="9520" w:type="dxa"/>
            <w:vAlign w:val="bottom"/>
          </w:tcPr>
          <w:p>
            <w:pPr>
              <w:ind w:left="5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9520" w:type="dxa"/>
            <w:vAlign w:val="bottom"/>
          </w:tcPr>
          <w:p>
            <w:pPr>
              <w:ind w:left="540"/>
              <w:spacing w:after="0"/>
              <w:rPr>
                <w:sz w:val="20"/>
                <w:szCs w:val="20"/>
                <w:color w:val="auto"/>
              </w:rPr>
            </w:pPr>
            <w:r>
              <w:rPr>
                <w:rFonts w:ascii="Arial" w:cs="Arial" w:eastAsia="Arial" w:hAnsi="Arial"/>
                <w:sz w:val="18"/>
                <w:szCs w:val="18"/>
                <w:color w:val="auto"/>
                <w:w w:val="91"/>
              </w:rPr>
              <w:t>Certification by Rex S. Schuette, Executive Vice President and Chief Financial Officer of United Community Banks, Inc., as</w:t>
            </w:r>
          </w:p>
        </w:tc>
      </w:tr>
      <w:tr>
        <w:trPr>
          <w:trHeight w:val="230"/>
        </w:trPr>
        <w:tc>
          <w:tcPr>
            <w:tcW w:w="900" w:type="dxa"/>
            <w:vAlign w:val="bottom"/>
          </w:tcPr>
          <w:p>
            <w:pPr>
              <w:spacing w:after="0"/>
              <w:rPr>
                <w:sz w:val="20"/>
                <w:szCs w:val="20"/>
                <w:color w:val="auto"/>
              </w:rPr>
            </w:pPr>
          </w:p>
        </w:tc>
        <w:tc>
          <w:tcPr>
            <w:tcW w:w="9520" w:type="dxa"/>
            <w:vAlign w:val="bottom"/>
          </w:tcPr>
          <w:p>
            <w:pPr>
              <w:ind w:left="5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9520" w:type="dxa"/>
            <w:vAlign w:val="bottom"/>
          </w:tcPr>
          <w:p>
            <w:pPr>
              <w:ind w:left="5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99</w:t>
            </w:r>
          </w:p>
        </w:tc>
        <w:tc>
          <w:tcPr>
            <w:tcW w:w="9520" w:type="dxa"/>
            <w:vAlign w:val="bottom"/>
          </w:tcPr>
          <w:p>
            <w:pPr>
              <w:ind w:left="540"/>
              <w:spacing w:after="0"/>
              <w:rPr>
                <w:sz w:val="20"/>
                <w:szCs w:val="20"/>
                <w:color w:val="auto"/>
              </w:rPr>
            </w:pPr>
            <w:r>
              <w:rPr>
                <w:rFonts w:ascii="Arial" w:cs="Arial" w:eastAsia="Arial" w:hAnsi="Arial"/>
                <w:sz w:val="18"/>
                <w:szCs w:val="18"/>
                <w:color w:val="auto"/>
              </w:rPr>
              <w:t>TARP Compliance Certification pursuant to 31 C.F.R. Section 30.15.</w:t>
            </w:r>
          </w:p>
        </w:tc>
      </w:tr>
      <w:tr>
        <w:trPr>
          <w:trHeight w:val="739"/>
        </w:trPr>
        <w:tc>
          <w:tcPr>
            <w:tcW w:w="900" w:type="dxa"/>
            <w:vAlign w:val="bottom"/>
          </w:tcPr>
          <w:p>
            <w:pPr>
              <w:spacing w:after="0"/>
              <w:rPr>
                <w:sz w:val="24"/>
                <w:szCs w:val="24"/>
                <w:color w:val="auto"/>
              </w:rPr>
            </w:pPr>
          </w:p>
        </w:tc>
        <w:tc>
          <w:tcPr>
            <w:tcW w:w="9520" w:type="dxa"/>
            <w:vAlign w:val="bottom"/>
          </w:tcPr>
          <w:p>
            <w:pPr>
              <w:ind w:left="3720"/>
              <w:spacing w:after="0"/>
              <w:rPr>
                <w:sz w:val="20"/>
                <w:szCs w:val="20"/>
                <w:color w:val="auto"/>
              </w:rPr>
            </w:pPr>
            <w:r>
              <w:rPr>
                <w:rFonts w:ascii="Arial" w:cs="Arial" w:eastAsia="Arial" w:hAnsi="Arial"/>
                <w:sz w:val="22"/>
                <w:szCs w:val="22"/>
                <w:color w:val="auto"/>
              </w:rPr>
              <w:t>100</w:t>
            </w:r>
          </w:p>
        </w:tc>
      </w:tr>
    </w:tbl>
    <w:p>
      <w:pPr>
        <w:sectPr>
          <w:pgSz w:w="11900" w:h="16838" w:orient="portrait"/>
          <w:cols w:equalWidth="0" w:num="1">
            <w:col w:w="11360"/>
          </w:cols>
          <w:pgMar w:left="240" w:top="513" w:right="29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980" w:type="dxa"/>
            <w:vAlign w:val="bottom"/>
            <w:gridSpan w:val="2"/>
          </w:tcPr>
          <w:p>
            <w:pPr>
              <w:ind w:left="980"/>
              <w:spacing w:after="0"/>
              <w:rPr>
                <w:sz w:val="20"/>
                <w:szCs w:val="20"/>
                <w:color w:val="auto"/>
              </w:rPr>
            </w:pPr>
            <w:r>
              <w:rPr>
                <w:rFonts w:ascii="Arial" w:cs="Arial" w:eastAsia="Arial" w:hAnsi="Arial"/>
                <w:sz w:val="18"/>
                <w:szCs w:val="18"/>
                <w:b w:val="1"/>
                <w:bCs w:val="1"/>
                <w:color w:val="auto"/>
              </w:rPr>
              <w:t>EXHIBIT 21</w:t>
            </w: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Subsidiaries of United Community Banks, Inc.</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5"/>
        </w:trPr>
        <w:tc>
          <w:tcPr>
            <w:tcW w:w="9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State of</w:t>
            </w:r>
          </w:p>
        </w:tc>
      </w:tr>
      <w:tr>
        <w:trPr>
          <w:trHeight w:val="237"/>
        </w:trPr>
        <w:tc>
          <w:tcPr>
            <w:tcW w:w="1420" w:type="dxa"/>
            <w:vAlign w:val="bottom"/>
            <w:tcBorders>
              <w:bottom w:val="single" w:sz="8" w:color="auto"/>
            </w:tcBorders>
          </w:tcPr>
          <w:p>
            <w:pPr>
              <w:spacing w:after="0"/>
              <w:rPr>
                <w:sz w:val="20"/>
                <w:szCs w:val="20"/>
                <w:color w:val="auto"/>
              </w:rPr>
            </w:pPr>
          </w:p>
        </w:tc>
        <w:tc>
          <w:tcPr>
            <w:tcW w:w="80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Organization</w:t>
            </w:r>
          </w:p>
        </w:tc>
        <w:tc>
          <w:tcPr>
            <w:tcW w:w="580" w:type="dxa"/>
            <w:vAlign w:val="bottom"/>
          </w:tcPr>
          <w:p>
            <w:pPr>
              <w:spacing w:after="0"/>
              <w:rPr>
                <w:sz w:val="20"/>
                <w:szCs w:val="20"/>
                <w:color w:val="auto"/>
              </w:rPr>
            </w:pP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United Community Insurance Services,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Brintech,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85"/>
              </w:rPr>
              <w:t>Texas</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Union Holdings, Inc.</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Nevada</w:t>
            </w:r>
          </w:p>
        </w:tc>
      </w:tr>
      <w:tr>
        <w:trPr>
          <w:trHeight w:val="432"/>
        </w:trPr>
        <w:tc>
          <w:tcPr>
            <w:tcW w:w="9440" w:type="dxa"/>
            <w:vAlign w:val="bottom"/>
            <w:gridSpan w:val="2"/>
          </w:tcPr>
          <w:p>
            <w:pPr>
              <w:ind w:left="980"/>
              <w:spacing w:after="0"/>
              <w:rPr>
                <w:sz w:val="20"/>
                <w:szCs w:val="20"/>
                <w:color w:val="auto"/>
              </w:rPr>
            </w:pPr>
            <w:r>
              <w:rPr>
                <w:rFonts w:ascii="Arial" w:cs="Arial" w:eastAsia="Arial" w:hAnsi="Arial"/>
                <w:sz w:val="18"/>
                <w:szCs w:val="18"/>
                <w:color w:val="auto"/>
              </w:rPr>
              <w:t>Union Investments, Inc.</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Nevada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United Community Mortgage Services,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United Community Development Corporation</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 North Georgia Properties,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 Metro Properties,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 Coastal Properties,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 Tennessee Properties,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83"/>
              </w:rPr>
              <w:t>Tennessee</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 North Carolina Properties, Inc.</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North Carolina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United Community Real Estate,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980"/>
              <w:spacing w:after="0"/>
              <w:rPr>
                <w:sz w:val="20"/>
                <w:szCs w:val="20"/>
                <w:color w:val="auto"/>
              </w:rPr>
            </w:pPr>
            <w:r>
              <w:rPr>
                <w:rFonts w:ascii="Arial" w:cs="Arial" w:eastAsia="Arial" w:hAnsi="Arial"/>
                <w:sz w:val="18"/>
                <w:szCs w:val="18"/>
                <w:color w:val="auto"/>
              </w:rPr>
              <w:t>Owen Glen,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United Community Metro Real Estate, Inc.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ind w:left="500"/>
              <w:spacing w:after="0"/>
              <w:rPr>
                <w:sz w:val="20"/>
                <w:szCs w:val="20"/>
                <w:color w:val="auto"/>
              </w:rPr>
            </w:pPr>
            <w:r>
              <w:rPr>
                <w:rFonts w:ascii="Arial" w:cs="Arial" w:eastAsia="Arial" w:hAnsi="Arial"/>
                <w:sz w:val="18"/>
                <w:szCs w:val="18"/>
                <w:color w:val="auto"/>
              </w:rPr>
              <w:t>UCBI Georgia Credits LLC</w:t>
            </w: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Capital Trust</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Delaware</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Capital Trust II</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Delaware</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Statutory Trust I</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Connecticut</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Statutory Trust II</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Delaware</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Delaware</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Delaware</w:t>
            </w: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Nevada</w:t>
            </w:r>
          </w:p>
        </w:tc>
      </w:tr>
    </w:tbl>
    <w:p>
      <w:pPr>
        <w:sectPr>
          <w:pgSz w:w="11900" w:h="16838" w:orient="portrait"/>
          <w:cols w:equalWidth="0" w:num="1">
            <w:col w:w="11420"/>
          </w:cols>
          <w:pgMar w:left="240" w:top="243" w:right="239" w:bottom="1440" w:gutter="0" w:footer="0" w:header="0"/>
        </w:sectPr>
      </w:pPr>
    </w:p>
    <w:bookmarkStart w:id="105" w:name="page106"/>
    <w:bookmarkEnd w:id="105"/>
    <w:p>
      <w:pPr>
        <w:ind w:left="10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issued our report dated February 25, 2010, accompanying the consolidated financial statements incorporated by reference in the Annual Report of United Community Banks, Inc. on Form 10-K for the year ended December 31, 2009. We hereby consent to the incorporation by reference of said report in the Registration Statement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File No. 333-146820, effective October 19, 2007; and File No. 333-159989, effective June 15, 2009), and on Forms S-3 (File No. 333-116623, effective July 9, 2004, File No. 333-127477, effective August 12, 2005, File No. 333-155377, effective November 14, 2008; and File No. 333-159958, effective September 22, 2009).</w:t>
      </w:r>
    </w:p>
    <w:p>
      <w:pPr>
        <w:spacing w:after="0" w:line="395" w:lineRule="exact"/>
        <w:rPr>
          <w:sz w:val="20"/>
          <w:szCs w:val="20"/>
          <w:color w:val="auto"/>
        </w:rPr>
      </w:pPr>
    </w:p>
    <w:p>
      <w:pPr>
        <w:ind w:left="9200"/>
        <w:spacing w:after="0"/>
        <w:rPr>
          <w:sz w:val="20"/>
          <w:szCs w:val="20"/>
          <w:color w:val="auto"/>
        </w:rPr>
      </w:pPr>
      <w:r>
        <w:rPr>
          <w:rFonts w:ascii="Arial" w:cs="Arial" w:eastAsia="Arial" w:hAnsi="Arial"/>
          <w:sz w:val="17"/>
          <w:szCs w:val="17"/>
          <w:color w:val="auto"/>
        </w:rPr>
        <w:t>/s/ Porter Keadle Moore, LLP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ectPr>
          <w:pgSz w:w="11900" w:h="16838" w:orient="portrait"/>
          <w:cols w:equalWidth="0" w:num="1">
            <w:col w:w="11420"/>
          </w:cols>
          <w:pgMar w:left="240" w:top="243"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5901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26, 2010</w:t>
      </w:r>
    </w:p>
    <w:p>
      <w:pPr>
        <w:sectPr>
          <w:pgSz w:w="11900" w:h="16838" w:orient="portrait"/>
          <w:cols w:equalWidth="0" w:num="1">
            <w:col w:w="11420"/>
          </w:cols>
          <w:pgMar w:left="240" w:top="24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5901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540"/>
        <w:spacing w:after="0"/>
        <w:tabs>
          <w:tab w:leader="none" w:pos="6140" w:val="left"/>
        </w:tabs>
        <w:rPr>
          <w:sz w:val="20"/>
          <w:szCs w:val="20"/>
          <w:color w:val="auto"/>
        </w:rPr>
      </w:pPr>
      <w:r>
        <w:rPr>
          <w:rFonts w:ascii="Arial" w:cs="Arial" w:eastAsia="Arial" w:hAnsi="Arial"/>
          <w:sz w:val="18"/>
          <w:szCs w:val="18"/>
          <w:color w:val="auto"/>
        </w:rPr>
        <w:t>Date:</w:t>
        <w:tab/>
        <w:t>February 26, 2010</w:t>
      </w:r>
    </w:p>
    <w:p>
      <w:pPr>
        <w:sectPr>
          <w:pgSz w:w="11900" w:h="16838" w:orient="portrait"/>
          <w:cols w:equalWidth="0" w:num="1">
            <w:col w:w="11420"/>
          </w:cols>
          <w:pgMar w:left="240" w:top="24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2009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299"/>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Date: February 26, 2010</w:t>
      </w:r>
    </w:p>
    <w:p>
      <w:pPr>
        <w:sectPr>
          <w:pgSz w:w="11900" w:h="16838" w:orient="portrait"/>
          <w:cols w:equalWidth="0" w:num="1">
            <w:col w:w="11420"/>
          </w:cols>
          <w:pgMar w:left="240" w:top="243" w:right="239" w:bottom="1440" w:gutter="0" w:footer="0" w:header="0"/>
        </w:sectPr>
      </w:pPr>
    </w:p>
    <w:bookmarkStart w:id="109" w:name="page110"/>
    <w:bookmarkEnd w:id="109"/>
    <w:p>
      <w:pPr>
        <w:ind w:left="10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99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31 C.F.R. § 30.15</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Jimmy C. Tallent, President and Chief Executive Officer of United Community Banks, Inc. (“United”), and Rex S. Schuette, Executive Vice President and Chief Financial Officer of United, certify, based on their knowledge, that:</w:t>
      </w:r>
    </w:p>
    <w:p>
      <w:pPr>
        <w:spacing w:after="0" w:line="197" w:lineRule="exact"/>
        <w:rPr>
          <w:sz w:val="20"/>
          <w:szCs w:val="20"/>
          <w:color w:val="auto"/>
        </w:rPr>
      </w:pPr>
    </w:p>
    <w:p>
      <w:pPr>
        <w:jc w:val="both"/>
        <w:ind w:firstLine="8"/>
        <w:spacing w:after="0" w:line="264" w:lineRule="auto"/>
        <w:tabs>
          <w:tab w:leader="none" w:pos="7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committee of United has discussed, reviewed, and evaluated with senior risk officers during the most recently completed fiscal year, senior executive officers (as defined in subsection 111(b)(3) of the Emergency Economic Stabilization Act of 2008 and 31 C.F.R. § 30.2) (“SEO”) compensation plans and employee compensation plans and the risks these plans pose to United.</w:t>
      </w:r>
    </w:p>
    <w:p>
      <w:pPr>
        <w:spacing w:after="0" w:line="208" w:lineRule="exact"/>
        <w:rPr>
          <w:rFonts w:ascii="Arial" w:cs="Arial" w:eastAsia="Arial" w:hAnsi="Arial"/>
          <w:sz w:val="18"/>
          <w:szCs w:val="18"/>
          <w:color w:val="auto"/>
        </w:rPr>
      </w:pPr>
    </w:p>
    <w:p>
      <w:pPr>
        <w:jc w:val="both"/>
        <w:ind w:firstLine="8"/>
        <w:spacing w:after="0" w:line="312" w:lineRule="auto"/>
        <w:tabs>
          <w:tab w:leader="none" w:pos="99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compensation committee of United has identified and limited during the most recently completed fiscal year any features of the SEO compensation plans that could lead SEOs to take unnecessary and excessive risks that could threaten the value of United and has identified any features of the employee compensation plans that pose risks to United and has limited those features to ensure that United is not unnecessarily exposed to risks.</w:t>
      </w:r>
    </w:p>
    <w:p>
      <w:pPr>
        <w:spacing w:after="0" w:line="173" w:lineRule="exact"/>
        <w:rPr>
          <w:rFonts w:ascii="Arial" w:cs="Arial" w:eastAsia="Arial" w:hAnsi="Arial"/>
          <w:sz w:val="16"/>
          <w:szCs w:val="16"/>
          <w:color w:val="auto"/>
        </w:rPr>
      </w:pPr>
    </w:p>
    <w:p>
      <w:pPr>
        <w:jc w:val="both"/>
        <w:ind w:firstLine="8"/>
        <w:spacing w:after="0" w:line="264" w:lineRule="auto"/>
        <w:tabs>
          <w:tab w:leader="none" w:pos="8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committee has reviewed, during the most recently completed fiscal year, the terms of each employee compensation plan and identified any features of the plan that could encourage the manipulation of reported earnings of United to enhance the compensation of an employee, and has limited any such features.</w:t>
      </w:r>
    </w:p>
    <w:p>
      <w:pPr>
        <w:spacing w:after="0" w:line="208" w:lineRule="exact"/>
        <w:rPr>
          <w:rFonts w:ascii="Arial" w:cs="Arial" w:eastAsia="Arial" w:hAnsi="Arial"/>
          <w:sz w:val="18"/>
          <w:szCs w:val="18"/>
          <w:color w:val="auto"/>
        </w:rPr>
      </w:pPr>
    </w:p>
    <w:p>
      <w:pPr>
        <w:ind w:firstLine="8"/>
        <w:spacing w:after="0" w:line="277" w:lineRule="auto"/>
        <w:tabs>
          <w:tab w:leader="none" w:pos="9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committee of United will certify to the reviews of the SEO compensation plans and employee compensation plans required under (i) and (iii) above.</w:t>
      </w:r>
    </w:p>
    <w:p>
      <w:pPr>
        <w:spacing w:after="0" w:line="197" w:lineRule="exact"/>
        <w:rPr>
          <w:rFonts w:ascii="Arial" w:cs="Arial" w:eastAsia="Arial" w:hAnsi="Arial"/>
          <w:sz w:val="18"/>
          <w:szCs w:val="18"/>
          <w:color w:val="auto"/>
        </w:rPr>
      </w:pPr>
    </w:p>
    <w:p>
      <w:pPr>
        <w:ind w:left="840" w:hanging="832"/>
        <w:spacing w:after="0"/>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compensation committee of United will provide a narrative description of how it limited during the most recently completed fiscal year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features in</w:t>
      </w:r>
    </w:p>
    <w:p>
      <w:pPr>
        <w:spacing w:after="0" w:line="237" w:lineRule="exact"/>
        <w:rPr>
          <w:rFonts w:ascii="Arial" w:cs="Arial" w:eastAsia="Arial" w:hAnsi="Arial"/>
          <w:sz w:val="17"/>
          <w:szCs w:val="17"/>
          <w:color w:val="auto"/>
        </w:rPr>
      </w:pPr>
    </w:p>
    <w:p>
      <w:pPr>
        <w:ind w:left="2040" w:hanging="735"/>
        <w:spacing w:after="0"/>
        <w:tabs>
          <w:tab w:leader="none" w:pos="20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SEO compensation plans that could lead SEOs to take unnecessary and excessive risks that could threaten the value of United;</w:t>
      </w:r>
    </w:p>
    <w:p>
      <w:pPr>
        <w:spacing w:after="0" w:line="275" w:lineRule="exact"/>
        <w:rPr>
          <w:rFonts w:ascii="Arial" w:cs="Arial" w:eastAsia="Arial" w:hAnsi="Arial"/>
          <w:sz w:val="16"/>
          <w:szCs w:val="16"/>
          <w:color w:val="auto"/>
        </w:rPr>
      </w:pPr>
    </w:p>
    <w:p>
      <w:pPr>
        <w:ind w:left="2040" w:hanging="735"/>
        <w:spacing w:after="0"/>
        <w:tabs>
          <w:tab w:leader="none" w:pos="2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United to risks; and</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employee compensation plans that could encourage the manipulation of reported earnings of United to enhance the compensation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employee.</w:t>
      </w:r>
    </w:p>
    <w:p>
      <w:pPr>
        <w:spacing w:after="0" w:line="237" w:lineRule="exact"/>
        <w:rPr>
          <w:rFonts w:ascii="Arial" w:cs="Arial" w:eastAsia="Arial" w:hAnsi="Arial"/>
          <w:sz w:val="16"/>
          <w:szCs w:val="16"/>
          <w:color w:val="auto"/>
        </w:rPr>
      </w:pPr>
    </w:p>
    <w:p>
      <w:pPr>
        <w:jc w:val="both"/>
        <w:ind w:firstLine="8"/>
        <w:spacing w:after="0" w:line="312" w:lineRule="auto"/>
        <w:tabs>
          <w:tab w:leader="none" w:pos="786"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United has required that bonus payments to SEOs or any of the next twenty most highly compensated employees, as defined in the regulations and guidance established under Section 111 of EESA (bonus payments), be subject to a recovery or “clawback” provision during the most recently completed fiscal year if the bonus payments were based on materially inaccurate financial statements or any other materially inaccurate performance metric criteria.</w:t>
      </w:r>
    </w:p>
    <w:p>
      <w:pPr>
        <w:spacing w:after="0" w:line="173" w:lineRule="exact"/>
        <w:rPr>
          <w:rFonts w:ascii="Arial" w:cs="Arial" w:eastAsia="Arial" w:hAnsi="Arial"/>
          <w:sz w:val="16"/>
          <w:szCs w:val="16"/>
          <w:color w:val="auto"/>
        </w:rPr>
      </w:pPr>
    </w:p>
    <w:p>
      <w:pPr>
        <w:ind w:firstLine="8"/>
        <w:spacing w:after="0" w:line="277" w:lineRule="auto"/>
        <w:tabs>
          <w:tab w:leader="none" w:pos="8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has prohibited any golden parachute payment, as defined in the regulations and guidance established under Section 111 of EESA, to a SEO or any of the next five most highly compensated employees during the most recently completed fiscal year.</w:t>
      </w:r>
    </w:p>
    <w:p>
      <w:pPr>
        <w:spacing w:after="0" w:line="197" w:lineRule="exact"/>
        <w:rPr>
          <w:rFonts w:ascii="Arial" w:cs="Arial" w:eastAsia="Arial" w:hAnsi="Arial"/>
          <w:sz w:val="18"/>
          <w:szCs w:val="18"/>
          <w:color w:val="auto"/>
        </w:rPr>
      </w:pPr>
    </w:p>
    <w:p>
      <w:pPr>
        <w:ind w:firstLine="8"/>
        <w:spacing w:after="0" w:line="277" w:lineRule="auto"/>
        <w:tabs>
          <w:tab w:leader="none" w:pos="10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has limited bonus payments to its applicable employees in accordance with Section 111 of EESA and the regulations and guidance established thereunder during the most recently completed fiscal year.</w:t>
      </w:r>
    </w:p>
    <w:p>
      <w:pPr>
        <w:spacing w:after="0" w:line="197" w:lineRule="exact"/>
        <w:rPr>
          <w:rFonts w:ascii="Arial" w:cs="Arial" w:eastAsia="Arial" w:hAnsi="Arial"/>
          <w:sz w:val="18"/>
          <w:szCs w:val="18"/>
          <w:color w:val="auto"/>
        </w:rPr>
      </w:pPr>
    </w:p>
    <w:p>
      <w:pPr>
        <w:jc w:val="both"/>
        <w:ind w:firstLine="8"/>
        <w:spacing w:after="0" w:line="312" w:lineRule="auto"/>
        <w:tabs>
          <w:tab w:leader="none" w:pos="841"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United and its employees have complied with the excessive or luxury expenditures policy, as defined in the regulations and guidance established under Section 111 of EESA, during the most recently completed fiscal year; and any expenses that, pursuant to the policy, required approval of the board of directors, a committee of the board of directors, an SEO, or an executive officer with a similar level of responsibility, were properly approved.</w:t>
      </w:r>
    </w:p>
    <w:p>
      <w:pPr>
        <w:spacing w:after="0" w:line="173" w:lineRule="exact"/>
        <w:rPr>
          <w:rFonts w:ascii="Arial" w:cs="Arial" w:eastAsia="Arial" w:hAnsi="Arial"/>
          <w:sz w:val="16"/>
          <w:szCs w:val="16"/>
          <w:color w:val="auto"/>
        </w:rPr>
      </w:pPr>
    </w:p>
    <w:p>
      <w:pPr>
        <w:ind w:firstLine="8"/>
        <w:spacing w:after="0" w:line="308" w:lineRule="auto"/>
        <w:tabs>
          <w:tab w:leader="none" w:pos="71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United will permit a non-binding shareholder resolution in compliance with any applicable federal securities rules and regulations on the disclosures provided under the federal securities laws related to SEO compensation paid or accrued during the most recently completed fiscal year.</w:t>
      </w:r>
    </w:p>
    <w:p>
      <w:pPr>
        <w:spacing w:after="0" w:line="173" w:lineRule="exact"/>
        <w:rPr>
          <w:rFonts w:ascii="Arial" w:cs="Arial" w:eastAsia="Arial" w:hAnsi="Arial"/>
          <w:sz w:val="17"/>
          <w:szCs w:val="17"/>
          <w:color w:val="auto"/>
        </w:rPr>
      </w:pPr>
    </w:p>
    <w:p>
      <w:pPr>
        <w:jc w:val="both"/>
        <w:ind w:firstLine="8"/>
        <w:spacing w:after="0" w:line="264" w:lineRule="auto"/>
        <w:tabs>
          <w:tab w:leader="none" w:pos="9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will disclose the amount, nature and justification for the offering, during the most recently completed fiscal year, of any perquisites, as defined in the regulations and guidance established under Section 111 of EESA, whose total value exceeds $25,000 for each employee subject to the bonus payment limitations identified in paragraph (viii).</w:t>
      </w:r>
    </w:p>
    <w:p>
      <w:pPr>
        <w:spacing w:after="0" w:line="208" w:lineRule="exact"/>
        <w:rPr>
          <w:rFonts w:ascii="Arial" w:cs="Arial" w:eastAsia="Arial" w:hAnsi="Arial"/>
          <w:sz w:val="18"/>
          <w:szCs w:val="18"/>
          <w:color w:val="auto"/>
        </w:rPr>
      </w:pPr>
    </w:p>
    <w:p>
      <w:pPr>
        <w:jc w:val="both"/>
        <w:ind w:firstLine="8"/>
        <w:spacing w:after="0" w:line="264" w:lineRule="auto"/>
        <w:tabs>
          <w:tab w:leader="none" w:pos="9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will disclose whether United, the board of directors of United, or the compensation committee of United has engaged during the most recently completed fiscal year a compensation consultant; and the services the compensation consultant or any affiliate of the compensation consultant provided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10" w:name="page111"/>
    <w:bookmarkEnd w:id="110"/>
    <w:p>
      <w:pPr>
        <w:ind w:firstLine="8"/>
        <w:spacing w:after="0" w:line="277" w:lineRule="auto"/>
        <w:tabs>
          <w:tab w:leader="none" w:pos="9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United has prohibited the payment of any gross-ups, as defined in the regulations and guidance established under Section 111 of EESA, to the SEOs and the next twenty most highly compensated employees during the most recently completed fiscal year.</w:t>
      </w:r>
    </w:p>
    <w:p>
      <w:pPr>
        <w:spacing w:after="0" w:line="197" w:lineRule="exact"/>
        <w:rPr>
          <w:rFonts w:ascii="Arial" w:cs="Arial" w:eastAsia="Arial" w:hAnsi="Arial"/>
          <w:sz w:val="18"/>
          <w:szCs w:val="18"/>
          <w:color w:val="auto"/>
        </w:rPr>
      </w:pPr>
    </w:p>
    <w:p>
      <w:pPr>
        <w:ind w:right="20" w:firstLine="8"/>
        <w:spacing w:after="0" w:line="277" w:lineRule="auto"/>
        <w:tabs>
          <w:tab w:leader="none" w:pos="10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United has substantially complied with all other requirements related to employee compensation that are provided in the agreement between United and Treasury, including any amendments.</w:t>
      </w:r>
    </w:p>
    <w:p>
      <w:pPr>
        <w:spacing w:after="0" w:line="197" w:lineRule="exact"/>
        <w:rPr>
          <w:rFonts w:ascii="Arial" w:cs="Arial" w:eastAsia="Arial" w:hAnsi="Arial"/>
          <w:sz w:val="18"/>
          <w:szCs w:val="18"/>
          <w:color w:val="auto"/>
        </w:rPr>
      </w:pPr>
    </w:p>
    <w:p>
      <w:pPr>
        <w:jc w:val="both"/>
        <w:ind w:firstLine="8"/>
        <w:spacing w:after="0" w:line="264" w:lineRule="auto"/>
        <w:tabs>
          <w:tab w:leader="none" w:pos="8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United has provided Treasury a complete and accurate list of the SEOs and the next twenty most highly compensated employees for the current fiscal year, with the non-SEOs ranked in descending order of level of annual compensation, and with the name, title and employer of each SEO and most highly compensated employees identified.</w:t>
      </w:r>
    </w:p>
    <w:p>
      <w:pPr>
        <w:spacing w:after="0" w:line="208" w:lineRule="exact"/>
        <w:rPr>
          <w:rFonts w:ascii="Arial" w:cs="Arial" w:eastAsia="Arial" w:hAnsi="Arial"/>
          <w:sz w:val="18"/>
          <w:szCs w:val="18"/>
          <w:color w:val="auto"/>
        </w:rPr>
      </w:pPr>
    </w:p>
    <w:p>
      <w:pPr>
        <w:ind w:firstLine="8"/>
        <w:spacing w:after="0" w:line="277" w:lineRule="auto"/>
        <w:tabs>
          <w:tab w:leader="none" w:pos="9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understand that a knowing and willful false or fraudulent statement made in connection with this certification may be punished by fine, imprisonment, or both.</w:t>
      </w:r>
    </w:p>
    <w:p>
      <w:pPr>
        <w:spacing w:after="0" w:line="170" w:lineRule="exact"/>
        <w:rPr>
          <w:sz w:val="20"/>
          <w:szCs w:val="20"/>
          <w:color w:val="auto"/>
        </w:rPr>
      </w:pPr>
    </w:p>
    <w:p>
      <w:pPr>
        <w:spacing w:after="0"/>
        <w:tabs>
          <w:tab w:leader="none" w:pos="640" w:val="left"/>
          <w:tab w:leader="none" w:pos="5700" w:val="left"/>
          <w:tab w:leader="none" w:pos="6280" w:val="left"/>
        </w:tabs>
        <w:rPr>
          <w:sz w:val="20"/>
          <w:szCs w:val="20"/>
          <w:color w:val="auto"/>
        </w:rPr>
      </w:pPr>
      <w:r>
        <w:rPr>
          <w:rFonts w:ascii="Arial" w:cs="Arial" w:eastAsia="Arial" w:hAnsi="Arial"/>
          <w:sz w:val="18"/>
          <w:szCs w:val="18"/>
          <w:color w:val="auto"/>
        </w:rPr>
        <w:t>Date:</w:t>
        <w:tab/>
        <w:t>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640" w:val="left"/>
          <w:tab w:leader="none" w:pos="5700" w:val="left"/>
          <w:tab w:leader="none" w:pos="6280" w:val="left"/>
        </w:tabs>
        <w:rPr>
          <w:sz w:val="20"/>
          <w:szCs w:val="20"/>
          <w:color w:val="auto"/>
        </w:rPr>
      </w:pPr>
      <w:r>
        <w:rPr>
          <w:rFonts w:ascii="Arial" w:cs="Arial" w:eastAsia="Arial" w:hAnsi="Arial"/>
          <w:sz w:val="18"/>
          <w:szCs w:val="18"/>
          <w:color w:val="auto"/>
        </w:rPr>
        <w:t>Date:</w:t>
        <w:tab/>
        <w:t>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4"/>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2"/>
    </w:lvl>
  </w:abstractNum>
  <w:abstractNum w:abstractNumId="25">
    <w:nsid w:val="3DC240FB"/>
    <w:multiLevelType w:val="hybridMultilevel"/>
    <w:lvl w:ilvl="0">
      <w:lvlJc w:val="left"/>
      <w:lvlText w:val="(%1)"/>
      <w:numFmt w:val="decimal"/>
      <w:start w:val="2"/>
    </w:lvl>
  </w:abstractNum>
  <w:abstractNum w:abstractNumId="26">
    <w:nsid w:val="1BA026FA"/>
    <w:multiLevelType w:val="hybridMultilevel"/>
    <w:lvl w:ilvl="0">
      <w:lvlJc w:val="left"/>
      <w:lvlText w:val="\endash "/>
      <w:numFmt w:val="bullet"/>
      <w:start w:val="1"/>
    </w:lvl>
  </w:abstractNum>
  <w:abstractNum w:abstractNumId="27">
    <w:nsid w:val="79A1DEAA"/>
    <w:multiLevelType w:val="hybridMultilevel"/>
    <w:lvl w:ilvl="0">
      <w:lvlJc w:val="left"/>
      <w:lvlText w:val="(%1)"/>
      <w:numFmt w:val="decimal"/>
      <w:start w:val="3"/>
    </w:lvl>
  </w:abstractNum>
  <w:abstractNum w:abstractNumId="28">
    <w:nsid w:val="75C6C33A"/>
    <w:multiLevelType w:val="hybridMultilevel"/>
    <w:lvl w:ilvl="0">
      <w:lvlJc w:val="left"/>
      <w:lvlText w:val="(%1)"/>
      <w:numFmt w:val="decimal"/>
      <w:start w:val="3"/>
    </w:lvl>
  </w:abstractNum>
  <w:abstractNum w:abstractNumId="29">
    <w:nsid w:val="12E685FB"/>
    <w:multiLevelType w:val="hybridMultilevel"/>
    <w:lvl w:ilvl="0">
      <w:lvlJc w:val="left"/>
      <w:lvlText w:val="(%1)"/>
      <w:numFmt w:val="decimal"/>
      <w:start w:val="3"/>
    </w:lvl>
  </w:abstractNum>
  <w:abstractNum w:abstractNumId="30">
    <w:nsid w:val="70C6A529"/>
    <w:multiLevelType w:val="hybridMultilevel"/>
    <w:lvl w:ilvl="0">
      <w:lvlJc w:val="left"/>
      <w:lvlText w:val="(%1)"/>
      <w:numFmt w:val="decimal"/>
      <w:start w:val="4"/>
    </w:lvl>
  </w:abstractNum>
  <w:abstractNum w:abstractNumId="31">
    <w:nsid w:val="520EEDD1"/>
    <w:multiLevelType w:val="hybridMultilevel"/>
    <w:lvl w:ilvl="0">
      <w:lvlJc w:val="left"/>
      <w:lvlText w:val="(%1)"/>
      <w:numFmt w:val="decimal"/>
      <w:start w:val="5"/>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5"/>
    </w:lvl>
  </w:abstractNum>
  <w:abstractNum w:abstractNumId="34">
    <w:nsid w:val="23F9C13C"/>
    <w:multiLevelType w:val="hybridMultilevel"/>
    <w:lvl w:ilvl="0">
      <w:lvlJc w:val="left"/>
      <w:lvlText w:val="(%1)"/>
      <w:numFmt w:val="decimal"/>
      <w:start w:val="6"/>
    </w:lvl>
  </w:abstractNum>
  <w:abstractNum w:abstractNumId="35">
    <w:nsid w:val="649BB77C"/>
    <w:multiLevelType w:val="hybridMultilevel"/>
    <w:lvl w:ilvl="0">
      <w:lvlJc w:val="left"/>
      <w:lvlText w:val="(%1)"/>
      <w:numFmt w:val="decimal"/>
      <w:start w:val="6"/>
    </w:lvl>
  </w:abstractNum>
  <w:abstractNum w:abstractNumId="36">
    <w:nsid w:val="275AC794"/>
    <w:multiLevelType w:val="hybridMultilevel"/>
    <w:lvl w:ilvl="0">
      <w:lvlJc w:val="left"/>
      <w:lvlText w:val="(%1)"/>
      <w:numFmt w:val="decimal"/>
      <w:start w:val="7"/>
    </w:lvl>
  </w:abstractNum>
  <w:abstractNum w:abstractNumId="37">
    <w:nsid w:val="39386575"/>
    <w:multiLevelType w:val="hybridMultilevel"/>
    <w:lvl w:ilvl="0">
      <w:lvlJc w:val="left"/>
      <w:lvlText w:val="(%1)"/>
      <w:numFmt w:val="decimal"/>
      <w:start w:val="8"/>
    </w:lvl>
  </w:abstractNum>
  <w:abstractNum w:abstractNumId="38">
    <w:nsid w:val="1CF10FD8"/>
    <w:multiLevelType w:val="hybridMultilevel"/>
    <w:lvl w:ilvl="0">
      <w:lvlJc w:val="left"/>
      <w:lvlText w:val="(%1)"/>
      <w:numFmt w:val="decimal"/>
      <w:start w:val="8"/>
    </w:lvl>
  </w:abstractNum>
  <w:abstractNum w:abstractNumId="39">
    <w:nsid w:val="180115BE"/>
    <w:multiLevelType w:val="hybridMultilevel"/>
    <w:lvl w:ilvl="0">
      <w:lvlJc w:val="left"/>
      <w:lvlText w:val="(%1)"/>
      <w:numFmt w:val="decimal"/>
      <w:start w:val="9"/>
    </w:lvl>
  </w:abstractNum>
  <w:abstractNum w:abstractNumId="40">
    <w:nsid w:val="235BA861"/>
    <w:multiLevelType w:val="hybridMultilevel"/>
    <w:lvl w:ilvl="0">
      <w:lvlJc w:val="left"/>
      <w:lvlText w:val="(%1)"/>
      <w:numFmt w:val="decimal"/>
      <w:start w:val="10"/>
    </w:lvl>
  </w:abstractNum>
  <w:abstractNum w:abstractNumId="41">
    <w:nsid w:val="47398C89"/>
    <w:multiLevelType w:val="hybridMultilevel"/>
    <w:lvl w:ilvl="0">
      <w:lvlJc w:val="left"/>
      <w:lvlText w:val="(%1)"/>
      <w:numFmt w:val="decimal"/>
      <w:start w:val="11"/>
    </w:lvl>
  </w:abstractNum>
  <w:abstractNum w:abstractNumId="42">
    <w:nsid w:val="354FE9F9"/>
    <w:multiLevelType w:val="hybridMultilevel"/>
    <w:lvl w:ilvl="0">
      <w:lvlJc w:val="left"/>
      <w:lvlText w:val="(%1)"/>
      <w:numFmt w:val="decimal"/>
      <w:start w:val="13"/>
    </w:lvl>
  </w:abstractNum>
  <w:abstractNum w:abstractNumId="43">
    <w:nsid w:val="15B5AF5C"/>
    <w:multiLevelType w:val="hybridMultilevel"/>
    <w:lvl w:ilvl="0">
      <w:lvlJc w:val="left"/>
      <w:lvlText w:val="(%1)"/>
      <w:numFmt w:val="decimal"/>
      <w:start w:val="13"/>
    </w:lvl>
  </w:abstractNum>
  <w:abstractNum w:abstractNumId="44">
    <w:nsid w:val="741226BB"/>
    <w:multiLevelType w:val="hybridMultilevel"/>
    <w:lvl w:ilvl="0">
      <w:lvlJc w:val="left"/>
      <w:lvlText w:val="(%1)"/>
      <w:numFmt w:val="decimal"/>
      <w:start w:val="14"/>
    </w:lvl>
  </w:abstractNum>
  <w:abstractNum w:abstractNumId="45">
    <w:nsid w:val="D34B6A8"/>
    <w:multiLevelType w:val="hybridMultilevel"/>
    <w:lvl w:ilvl="0">
      <w:lvlJc w:val="left"/>
      <w:lvlText w:val="(%1)"/>
      <w:numFmt w:val="decimal"/>
      <w:start w:val="14"/>
    </w:lvl>
  </w:abstractNum>
  <w:abstractNum w:abstractNumId="46">
    <w:nsid w:val="10233C99"/>
    <w:multiLevelType w:val="hybridMultilevel"/>
    <w:lvl w:ilvl="0">
      <w:lvlJc w:val="left"/>
      <w:lvlText w:val="(%1)"/>
      <w:numFmt w:val="decimal"/>
      <w:start w:val="14"/>
    </w:lvl>
  </w:abstractNum>
  <w:abstractNum w:abstractNumId="47">
    <w:nsid w:val="3F6AB60F"/>
    <w:multiLevelType w:val="hybridMultilevel"/>
    <w:lvl w:ilvl="0">
      <w:lvlJc w:val="left"/>
      <w:lvlText w:val="(%1)"/>
      <w:numFmt w:val="decimal"/>
      <w:start w:val="15"/>
    </w:lvl>
  </w:abstractNum>
  <w:abstractNum w:abstractNumId="48">
    <w:nsid w:val="61574095"/>
    <w:multiLevelType w:val="hybridMultilevel"/>
    <w:lvl w:ilvl="0">
      <w:lvlJc w:val="left"/>
      <w:lvlText w:val="(%1)"/>
      <w:numFmt w:val="decimal"/>
      <w:start w:val="15"/>
    </w:lvl>
  </w:abstractNum>
  <w:abstractNum w:abstractNumId="49">
    <w:nsid w:val="7E0C57B1"/>
    <w:multiLevelType w:val="hybridMultilevel"/>
    <w:lvl w:ilvl="0">
      <w:lvlJc w:val="left"/>
      <w:lvlText w:val="(%1)"/>
      <w:numFmt w:val="decimal"/>
      <w:start w:val="16"/>
    </w:lvl>
  </w:abstractNum>
  <w:abstractNum w:abstractNumId="50">
    <w:nsid w:val="77AE35EB"/>
    <w:multiLevelType w:val="hybridMultilevel"/>
    <w:lvl w:ilvl="0">
      <w:lvlJc w:val="left"/>
      <w:lvlText w:val="(%1)"/>
      <w:numFmt w:val="decimal"/>
      <w:start w:val="16"/>
    </w:lvl>
  </w:abstractNum>
  <w:abstractNum w:abstractNumId="51">
    <w:nsid w:val="579BE4F1"/>
    <w:multiLevelType w:val="hybridMultilevel"/>
    <w:lvl w:ilvl="0">
      <w:lvlJc w:val="left"/>
      <w:lvlText w:val="(%1)"/>
      <w:numFmt w:val="decimal"/>
      <w:start w:val="17"/>
    </w:lvl>
  </w:abstractNum>
  <w:abstractNum w:abstractNumId="52">
    <w:nsid w:val="310C50B3"/>
    <w:multiLevelType w:val="hybridMultilevel"/>
    <w:lvl w:ilvl="0">
      <w:lvlJc w:val="left"/>
      <w:lvlText w:val="(%1)"/>
      <w:numFmt w:val="decimal"/>
      <w:start w:val="18"/>
    </w:lvl>
  </w:abstractNum>
  <w:abstractNum w:abstractNumId="53">
    <w:nsid w:val="5FF87E05"/>
    <w:multiLevelType w:val="hybridMultilevel"/>
    <w:lvl w:ilvl="0">
      <w:lvlJc w:val="left"/>
      <w:lvlText w:val="(%1)"/>
      <w:numFmt w:val="decimal"/>
      <w:start w:val="18"/>
    </w:lvl>
  </w:abstractNum>
  <w:abstractNum w:abstractNumId="54">
    <w:nsid w:val="2F305DEF"/>
    <w:multiLevelType w:val="hybridMultilevel"/>
    <w:lvl w:ilvl="0">
      <w:lvlJc w:val="left"/>
      <w:lvlText w:val="(%1)"/>
      <w:numFmt w:val="decimal"/>
      <w:start w:val="19"/>
    </w:lvl>
  </w:abstractNum>
  <w:abstractNum w:abstractNumId="55">
    <w:nsid w:val="25A70BF7"/>
    <w:multiLevelType w:val="hybridMultilevel"/>
    <w:lvl w:ilvl="0">
      <w:lvlJc w:val="left"/>
      <w:lvlText w:val="(%1)"/>
      <w:numFmt w:val="decimal"/>
      <w:start w:val="20"/>
    </w:lvl>
  </w:abstractNum>
  <w:abstractNum w:abstractNumId="56">
    <w:nsid w:val="1DBABF00"/>
    <w:multiLevelType w:val="hybridMultilevel"/>
    <w:lvl w:ilvl="0">
      <w:lvlJc w:val="left"/>
      <w:lvlText w:val="(%1)"/>
      <w:numFmt w:val="decimal"/>
      <w:start w:val="20"/>
    </w:lvl>
  </w:abstractNum>
  <w:abstractNum w:abstractNumId="57">
    <w:nsid w:val="4AD084E9"/>
    <w:multiLevelType w:val="hybridMultilevel"/>
    <w:lvl w:ilvl="0">
      <w:lvlJc w:val="left"/>
      <w:lvlText w:val="(%1)"/>
      <w:numFmt w:val="decimal"/>
      <w:start w:val="20"/>
    </w:lvl>
  </w:abstractNum>
  <w:abstractNum w:abstractNumId="58">
    <w:nsid w:val="1F48EAA1"/>
    <w:multiLevelType w:val="hybridMultilevel"/>
    <w:lvl w:ilvl="0">
      <w:lvlJc w:val="left"/>
      <w:lvlText w:val="(%1)"/>
      <w:numFmt w:val="decimal"/>
      <w:start w:val="21"/>
    </w:lvl>
  </w:abstractNum>
  <w:abstractNum w:abstractNumId="59">
    <w:nsid w:val="1381823A"/>
    <w:multiLevelType w:val="hybridMultilevel"/>
    <w:lvl w:ilvl="0">
      <w:lvlJc w:val="left"/>
      <w:lvlText w:val="(%1)"/>
      <w:numFmt w:val="decimal"/>
      <w:start w:val="21"/>
    </w:lvl>
  </w:abstractNum>
  <w:abstractNum w:abstractNumId="60">
    <w:nsid w:val="5DB70AE5"/>
    <w:multiLevelType w:val="hybridMultilevel"/>
    <w:lvl w:ilvl="0">
      <w:lvlJc w:val="left"/>
      <w:lvlText w:val="(%1)"/>
      <w:numFmt w:val="decimal"/>
      <w:start w:val="22"/>
    </w:lvl>
  </w:abstractNum>
  <w:abstractNum w:abstractNumId="61">
    <w:nsid w:val="100F8FCA"/>
    <w:multiLevelType w:val="hybridMultilevel"/>
    <w:lvl w:ilvl="0">
      <w:lvlJc w:val="left"/>
      <w:lvlText w:val="(%1)"/>
      <w:numFmt w:val="decimal"/>
      <w:start w:val="22"/>
    </w:lvl>
  </w:abstractNum>
  <w:abstractNum w:abstractNumId="62">
    <w:nsid w:val="6590700B"/>
    <w:multiLevelType w:val="hybridMultilevel"/>
    <w:lvl w:ilvl="0">
      <w:lvlJc w:val="left"/>
      <w:lvlText w:val="(%1)"/>
      <w:numFmt w:val="decimal"/>
      <w:start w:val="23"/>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14"/>
    </w:lvl>
  </w:abstractNum>
  <w:abstractNum w:abstractNumId="67">
    <w:nsid w:val="6B94764"/>
    <w:multiLevelType w:val="hybridMultilevel"/>
    <w:lvl w:ilvl="0">
      <w:lvlJc w:val="left"/>
      <w:lvlText w:val="%1"/>
      <w:numFmt w:val="decimal"/>
      <w:start w:val="23"/>
    </w:lvl>
  </w:abstractNum>
  <w:abstractNum w:abstractNumId="68">
    <w:nsid w:val="42C296BD"/>
    <w:multiLevelType w:val="hybridMultilevel"/>
    <w:lvl w:ilvl="0">
      <w:lvlJc w:val="left"/>
      <w:lvlText w:val="*"/>
      <w:numFmt w:val="bullet"/>
      <w:start w:val="1"/>
    </w:lvl>
    <w:lvl w:ilvl="1">
      <w:lvlJc w:val="left"/>
      <w:lvlText w:val="%2"/>
      <w:numFmt w:val="decimal"/>
      <w:start w:val="99"/>
    </w:lvl>
  </w:abstractNum>
  <w:abstractNum w:abstractNumId="69">
    <w:nsid w:val="168E121F"/>
    <w:multiLevelType w:val="hybridMultilevel"/>
    <w:lvl w:ilvl="0">
      <w:lvlJc w:val="left"/>
      <w:lvlText w:val="%1"/>
      <w:numFmt w:val="decimal"/>
      <w:start w:val="23"/>
    </w:lvl>
  </w:abstractNum>
  <w:abstractNum w:abstractNumId="70">
    <w:nsid w:val="1EBA5D23"/>
    <w:multiLevelType w:val="hybridMultilevel"/>
    <w:lvl w:ilvl="0">
      <w:lvlJc w:val="left"/>
      <w:lvlText w:val="%1."/>
      <w:numFmt w:val="decimal"/>
      <w:start w:val="1"/>
    </w:lvl>
    <w:lvl w:ilvl="1">
      <w:lvlJc w:val="left"/>
      <w:lvlText w:val="%2)"/>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lowerRoman"/>
      <w:start w:val="1"/>
    </w:lvl>
    <w:lvl w:ilvl="1">
      <w:lvlJc w:val="left"/>
      <w:lvlText w:val="(%2)"/>
      <w:numFmt w:val="upperLetter"/>
      <w:start w:val="1"/>
    </w:lvl>
  </w:abstractNum>
  <w:abstractNum w:abstractNumId="74">
    <w:nsid w:val="7BD3EE7B"/>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2019-12-10T09:06:06Z</dcterms:created>
  <dcterms:modified xsi:type="dcterms:W3CDTF">2019-12-10T09:06:06Z</dcterms:modified>
</cp:coreProperties>
</file>