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0"/>
          <w:szCs w:val="20"/>
          <w:color w:val="auto"/>
        </w:rPr>
      </w:pPr>
    </w:p>
    <w:p>
      <w:pPr>
        <w:ind w:left="1380" w:right="400" w:hanging="1061"/>
        <w:spacing w:after="0" w:line="262" w:lineRule="auto"/>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2007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0"/>
          <w:szCs w:val="20"/>
          <w:color w:val="auto"/>
        </w:rPr>
      </w:pPr>
    </w:p>
    <w:p>
      <w:pPr>
        <w:ind w:left="1380" w:right="380" w:hanging="1021"/>
        <w:spacing w:after="0" w:line="262" w:lineRule="auto"/>
        <w:tabs>
          <w:tab w:leader="none" w:pos="1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0-21656</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u w:val="single" w:color="auto"/>
          <w:color w:val="auto"/>
        </w:rPr>
        <w:t>UNITED COMMUNITY BANKS,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600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58-1807304</w:t>
            </w:r>
          </w:p>
        </w:tc>
      </w:tr>
      <w:tr>
        <w:trPr>
          <w:trHeight w:val="232"/>
        </w:trPr>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c>
          <w:tcPr>
            <w:tcW w:w="580" w:type="dxa"/>
            <w:vAlign w:val="bottom"/>
          </w:tcPr>
          <w:p>
            <w:pPr>
              <w:spacing w:after="0"/>
              <w:rPr>
                <w:sz w:val="20"/>
                <w:szCs w:val="20"/>
                <w:color w:val="auto"/>
              </w:rPr>
            </w:pPr>
          </w:p>
        </w:tc>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01"/>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63 Highway 515</w:t>
            </w:r>
          </w:p>
        </w:tc>
        <w:tc>
          <w:tcPr>
            <w:tcW w:w="6000" w:type="dxa"/>
            <w:vAlign w:val="bottom"/>
            <w:gridSpan w:val="2"/>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30512</w:t>
            </w:r>
          </w:p>
        </w:tc>
      </w:tr>
      <w:tr>
        <w:trPr>
          <w:trHeight w:val="238"/>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Blairsville, Georgia</w:t>
            </w:r>
          </w:p>
        </w:tc>
        <w:tc>
          <w:tcPr>
            <w:tcW w:w="580" w:type="dxa"/>
            <w:vAlign w:val="bottom"/>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232"/>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85" w:lineRule="exact"/>
        <w:rPr>
          <w:sz w:val="20"/>
          <w:szCs w:val="20"/>
          <w:color w:val="auto"/>
        </w:rPr>
      </w:pPr>
    </w:p>
    <w:p>
      <w:pPr>
        <w:ind w:left="5580" w:hanging="428"/>
        <w:spacing w:after="0"/>
        <w:tabs>
          <w:tab w:leader="none" w:pos="5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781-2265</w:t>
      </w:r>
    </w:p>
    <w:p>
      <w:pPr>
        <w:spacing w:after="0" w:line="31" w:lineRule="exact"/>
        <w:rPr>
          <w:rFonts w:ascii="Times New Roman" w:cs="Times New Roman" w:eastAsia="Times New Roman" w:hAnsi="Times New Roman"/>
          <w:sz w:val="18"/>
          <w:szCs w:val="18"/>
          <w:b w:val="1"/>
          <w:bCs w:val="1"/>
          <w:color w:val="auto"/>
        </w:rPr>
      </w:pPr>
    </w:p>
    <w:p>
      <w:pPr>
        <w:ind w:left="4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-139065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7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6" w:lineRule="exact"/>
        <w:rPr>
          <w:sz w:val="20"/>
          <w:szCs w:val="20"/>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NO o</w:t>
      </w:r>
    </w:p>
    <w:p>
      <w:pPr>
        <w:spacing w:after="0" w:line="142"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0" w:lineRule="exact"/>
        <w:rPr>
          <w:sz w:val="20"/>
          <w:szCs w:val="20"/>
          <w:color w:val="auto"/>
        </w:rPr>
      </w:pPr>
    </w:p>
    <w:p>
      <w:pPr>
        <w:ind w:left="760"/>
        <w:spacing w:after="0" w:line="207" w:lineRule="exact"/>
        <w:tabs>
          <w:tab w:leader="none" w:pos="5000" w:val="left"/>
          <w:tab w:leader="none" w:pos="8820" w:val="left"/>
        </w:tabs>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8"/>
          <w:szCs w:val="18"/>
          <w:b w:val="1"/>
          <w:bCs w:val="1"/>
          <w:color w:val="auto"/>
        </w:rPr>
        <w:t>Accelerated filer o</w:t>
      </w:r>
      <w:r>
        <w:rPr>
          <w:sz w:val="20"/>
          <w:szCs w:val="20"/>
          <w:color w:val="auto"/>
        </w:rPr>
        <w:tab/>
      </w:r>
      <w:r>
        <w:rPr>
          <w:rFonts w:ascii="Times New Roman" w:cs="Times New Roman" w:eastAsia="Times New Roman" w:hAnsi="Times New Roman"/>
          <w:sz w:val="17"/>
          <w:szCs w:val="17"/>
          <w:b w:val="1"/>
          <w:bCs w:val="1"/>
          <w:color w:val="auto"/>
        </w:rPr>
        <w:t>Non-accelerated filer 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Indicate by check mark whether the registrant is a shell company (as defined in Rule 12b-2 of the Act).</w:t>
      </w:r>
    </w:p>
    <w:p>
      <w:pPr>
        <w:spacing w:after="0" w:line="201"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o  NO </w:t>
      </w:r>
      <w:r>
        <w:rPr>
          <w:rFonts w:ascii="MS PGothic" w:cs="MS PGothic" w:eastAsia="MS PGothic" w:hAnsi="MS PGothic"/>
          <w:sz w:val="18"/>
          <w:szCs w:val="18"/>
          <w:color w:val="auto"/>
          <w:highlight w:val="black"/>
        </w:rPr>
        <w:t>☑</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 per share: 47,542,366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as of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5"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 — Financial Information</w:t>
        </w:r>
      </w:hyperlink>
    </w:p>
    <w:p>
      <w:pPr>
        <w:spacing w:after="0" w:line="21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0" w:type="dxa"/>
            <w:vAlign w:val="bottom"/>
            <w:gridSpan w:val="2"/>
          </w:tcPr>
          <w:p>
            <w:pPr>
              <w:spacing w:after="0"/>
              <w:rPr>
                <w:rFonts w:ascii="Times New Roman" w:cs="Times New Roman" w:eastAsia="Times New Roman" w:hAnsi="Times New Roman"/>
                <w:sz w:val="18"/>
                <w:szCs w:val="18"/>
                <w:b w:val="1"/>
                <w:bCs w:val="1"/>
                <w:color w:val="0000EE"/>
                <w:w w:val="96"/>
              </w:rPr>
            </w:pPr>
            <w:hyperlink w:anchor="page4">
              <w:r>
                <w:rPr>
                  <w:rFonts w:ascii="Times New Roman" w:cs="Times New Roman" w:eastAsia="Times New Roman" w:hAnsi="Times New Roman"/>
                  <w:sz w:val="18"/>
                  <w:szCs w:val="18"/>
                  <w:b w:val="1"/>
                  <w:bCs w:val="1"/>
                  <w:color w:val="0000EE"/>
                  <w:w w:val="96"/>
                </w:rPr>
                <w:t>Item 1.</w:t>
              </w:r>
            </w:hyperlink>
          </w:p>
        </w:tc>
        <w:tc>
          <w:tcPr>
            <w:tcW w:w="660" w:type="dxa"/>
            <w:vAlign w:val="bottom"/>
          </w:tcPr>
          <w:p>
            <w:pPr>
              <w:spacing w:after="0"/>
              <w:rPr>
                <w:sz w:val="17"/>
                <w:szCs w:val="17"/>
                <w:color w:val="auto"/>
              </w:rPr>
            </w:pPr>
          </w:p>
        </w:tc>
        <w:tc>
          <w:tcPr>
            <w:tcW w:w="8980" w:type="dxa"/>
            <w:vAlign w:val="bottom"/>
            <w:gridSpan w:val="10"/>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Financial Statements.</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6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Consolidated Statement of Income (unaudited) for the Three and Nine Months Ended September 30, 2007 and 2006</w:t>
              </w:r>
            </w:hyperlink>
          </w:p>
        </w:tc>
        <w:tc>
          <w:tcPr>
            <w:tcW w:w="132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412"/>
        </w:trPr>
        <w:tc>
          <w:tcPr>
            <w:tcW w:w="10180" w:type="dxa"/>
            <w:vAlign w:val="bottom"/>
            <w:gridSpan w:val="13"/>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Consolidated Balance Sheet at September 30, 2007 (unaudited), December 31, 2006 (audited) and September 30, 2006 (unaudited)</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180" w:type="dxa"/>
            <w:vAlign w:val="bottom"/>
            <w:gridSpan w:val="13"/>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Consolidated Statement of Changes in Shareholders’ Equity (unaudited) for the September Months Ended September 30, 2007 and</w:t>
              </w:r>
            </w:hyperlink>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b w:val="1"/>
                <w:bCs w:val="1"/>
                <w:color w:val="0000EE"/>
                <w:w w:val="94"/>
              </w:rPr>
            </w:pPr>
            <w:hyperlink w:anchor="page6">
              <w:r>
                <w:rPr>
                  <w:rFonts w:ascii="Times New Roman" w:cs="Times New Roman" w:eastAsia="Times New Roman" w:hAnsi="Times New Roman"/>
                  <w:sz w:val="18"/>
                  <w:szCs w:val="18"/>
                  <w:b w:val="1"/>
                  <w:bCs w:val="1"/>
                  <w:color w:val="0000EE"/>
                  <w:w w:val="94"/>
                </w:rPr>
                <w:t>2006</w:t>
              </w:r>
            </w:hyperlink>
          </w:p>
        </w:tc>
        <w:tc>
          <w:tcPr>
            <w:tcW w:w="1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180" w:type="dxa"/>
            <w:vAlign w:val="bottom"/>
            <w:gridSpan w:val="13"/>
          </w:tcPr>
          <w:p>
            <w:pPr>
              <w:spacing w:after="0"/>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Consolidated Statement of Cash Flows (unaudited) for the Nine Months Ended September 30, 2007 and 2006</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412"/>
        </w:trPr>
        <w:tc>
          <w:tcPr>
            <w:tcW w:w="33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b w:val="1"/>
                <w:bCs w:val="1"/>
                <w:color w:val="0000EE"/>
                <w:w w:val="99"/>
              </w:rPr>
            </w:pPr>
            <w:hyperlink w:anchor="page9">
              <w:r>
                <w:rPr>
                  <w:rFonts w:ascii="Times New Roman" w:cs="Times New Roman" w:eastAsia="Times New Roman" w:hAnsi="Times New Roman"/>
                  <w:sz w:val="18"/>
                  <w:szCs w:val="18"/>
                  <w:b w:val="1"/>
                  <w:bCs w:val="1"/>
                  <w:color w:val="0000EE"/>
                  <w:w w:val="99"/>
                </w:rPr>
                <w:t>Notes to Consolidated Financial Statements</w:t>
              </w:r>
            </w:hyperlink>
          </w:p>
        </w:tc>
        <w:tc>
          <w:tcPr>
            <w:tcW w:w="4980" w:type="dxa"/>
            <w:vAlign w:val="bottom"/>
            <w:tcBorders>
              <w:top w:val="single" w:sz="8" w:color="0000EE"/>
            </w:tcBorders>
            <w:gridSpan w:val="3"/>
          </w:tcPr>
          <w:p>
            <w:pPr>
              <w:spacing w:after="0"/>
              <w:rPr>
                <w:sz w:val="24"/>
                <w:szCs w:val="24"/>
                <w:color w:val="auto"/>
              </w:rPr>
            </w:pPr>
          </w:p>
        </w:tc>
        <w:tc>
          <w:tcPr>
            <w:tcW w:w="186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Times New Roman" w:cs="Times New Roman" w:eastAsia="Times New Roman" w:hAnsi="Times New Roman"/>
                <w:sz w:val="18"/>
                <w:szCs w:val="18"/>
                <w:b w:val="1"/>
                <w:bCs w:val="1"/>
                <w:color w:val="0000EE"/>
                <w:w w:val="96"/>
              </w:rPr>
            </w:pPr>
            <w:hyperlink w:anchor="page14">
              <w:r>
                <w:rPr>
                  <w:rFonts w:ascii="Times New Roman" w:cs="Times New Roman" w:eastAsia="Times New Roman" w:hAnsi="Times New Roman"/>
                  <w:sz w:val="18"/>
                  <w:szCs w:val="18"/>
                  <w:b w:val="1"/>
                  <w:bCs w:val="1"/>
                  <w:color w:val="0000EE"/>
                  <w:w w:val="96"/>
                </w:rPr>
                <w:t>Item 2.</w:t>
              </w:r>
            </w:hyperlink>
          </w:p>
        </w:tc>
        <w:tc>
          <w:tcPr>
            <w:tcW w:w="660" w:type="dxa"/>
            <w:vAlign w:val="bottom"/>
          </w:tcPr>
          <w:p>
            <w:pPr>
              <w:spacing w:after="0"/>
              <w:rPr>
                <w:sz w:val="24"/>
                <w:szCs w:val="24"/>
                <w:color w:val="auto"/>
              </w:rPr>
            </w:pPr>
          </w:p>
        </w:tc>
        <w:tc>
          <w:tcPr>
            <w:tcW w:w="8980" w:type="dxa"/>
            <w:vAlign w:val="bottom"/>
            <w:gridSpan w:val="10"/>
          </w:tcPr>
          <w:p>
            <w:pPr>
              <w:spacing w:after="0"/>
              <w:rPr>
                <w:rFonts w:ascii="Times New Roman" w:cs="Times New Roman" w:eastAsia="Times New Roman" w:hAnsi="Times New Roman"/>
                <w:sz w:val="18"/>
                <w:szCs w:val="18"/>
                <w:b w:val="1"/>
                <w:bCs w:val="1"/>
                <w:color w:val="0000EE"/>
              </w:rPr>
            </w:pPr>
            <w:hyperlink w:anchor="page14">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b w:val="1"/>
                <w:bCs w:val="1"/>
                <w:color w:val="0000EE"/>
                <w:w w:val="96"/>
              </w:rPr>
            </w:pPr>
            <w:hyperlink w:anchor="page31">
              <w:r>
                <w:rPr>
                  <w:rFonts w:ascii="Times New Roman" w:cs="Times New Roman" w:eastAsia="Times New Roman" w:hAnsi="Times New Roman"/>
                  <w:sz w:val="18"/>
                  <w:szCs w:val="18"/>
                  <w:b w:val="1"/>
                  <w:bCs w:val="1"/>
                  <w:color w:val="0000EE"/>
                  <w:w w:val="96"/>
                </w:rPr>
                <w:t>Item 3.</w:t>
              </w:r>
            </w:hyperlink>
          </w:p>
        </w:tc>
        <w:tc>
          <w:tcPr>
            <w:tcW w:w="660" w:type="dxa"/>
            <w:vAlign w:val="bottom"/>
          </w:tcPr>
          <w:p>
            <w:pPr>
              <w:spacing w:after="0"/>
              <w:rPr>
                <w:sz w:val="24"/>
                <w:szCs w:val="24"/>
                <w:color w:val="auto"/>
              </w:rPr>
            </w:pPr>
          </w:p>
        </w:tc>
        <w:tc>
          <w:tcPr>
            <w:tcW w:w="47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b w:val="1"/>
                <w:bCs w:val="1"/>
                <w:color w:val="0000EE"/>
                <w:w w:val="99"/>
              </w:rPr>
            </w:pPr>
            <w:hyperlink w:anchor="page31">
              <w:r>
                <w:rPr>
                  <w:rFonts w:ascii="Times New Roman" w:cs="Times New Roman" w:eastAsia="Times New Roman" w:hAnsi="Times New Roman"/>
                  <w:sz w:val="18"/>
                  <w:szCs w:val="18"/>
                  <w:b w:val="1"/>
                  <w:bCs w:val="1"/>
                  <w:color w:val="0000EE"/>
                  <w:w w:val="99"/>
                </w:rPr>
                <w:t>Quantitative and Qualitative Disclosures About Market Risk.</w:t>
              </w:r>
            </w:hyperlink>
          </w:p>
        </w:tc>
        <w:tc>
          <w:tcPr>
            <w:tcW w:w="2160" w:type="dxa"/>
            <w:vAlign w:val="bottom"/>
            <w:tcBorders>
              <w:top w:val="single" w:sz="8" w:color="0000EE"/>
            </w:tcBorders>
          </w:tcPr>
          <w:p>
            <w:pPr>
              <w:spacing w:after="0"/>
              <w:rPr>
                <w:sz w:val="24"/>
                <w:szCs w:val="24"/>
                <w:color w:val="auto"/>
              </w:rPr>
            </w:pPr>
          </w:p>
        </w:tc>
        <w:tc>
          <w:tcPr>
            <w:tcW w:w="21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Times New Roman" w:cs="Times New Roman" w:eastAsia="Times New Roman" w:hAnsi="Times New Roman"/>
                <w:sz w:val="18"/>
                <w:szCs w:val="18"/>
                <w:b w:val="1"/>
                <w:bCs w:val="1"/>
                <w:color w:val="0000EE"/>
                <w:w w:val="96"/>
              </w:rPr>
            </w:pPr>
            <w:hyperlink w:anchor="page32">
              <w:r>
                <w:rPr>
                  <w:rFonts w:ascii="Times New Roman" w:cs="Times New Roman" w:eastAsia="Times New Roman" w:hAnsi="Times New Roman"/>
                  <w:sz w:val="18"/>
                  <w:szCs w:val="18"/>
                  <w:b w:val="1"/>
                  <w:bCs w:val="1"/>
                  <w:color w:val="0000EE"/>
                  <w:w w:val="96"/>
                </w:rPr>
                <w:t>Item 4.</w:t>
              </w:r>
            </w:hyperlink>
          </w:p>
        </w:tc>
        <w:tc>
          <w:tcPr>
            <w:tcW w:w="660" w:type="dxa"/>
            <w:vAlign w:val="bottom"/>
          </w:tcPr>
          <w:p>
            <w:pPr>
              <w:spacing w:after="0"/>
              <w:rPr>
                <w:sz w:val="24"/>
                <w:szCs w:val="24"/>
                <w:color w:val="auto"/>
              </w:rPr>
            </w:pPr>
          </w:p>
        </w:tc>
        <w:tc>
          <w:tcPr>
            <w:tcW w:w="8980" w:type="dxa"/>
            <w:vAlign w:val="bottom"/>
            <w:gridSpan w:val="10"/>
          </w:tcPr>
          <w:p>
            <w:pPr>
              <w:spacing w:after="0"/>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Controls and Procedures.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32">
        <w:r>
          <w:rPr>
            <w:rFonts w:ascii="Times New Roman" w:cs="Times New Roman" w:eastAsia="Times New Roman" w:hAnsi="Times New Roman"/>
            <w:sz w:val="18"/>
            <w:szCs w:val="18"/>
            <w:b w:val="1"/>
            <w:bCs w:val="1"/>
            <w:u w:val="single" w:color="auto"/>
            <w:color w:val="0000EE"/>
          </w:rPr>
          <w:t>PART II — Other Information</w:t>
        </w:r>
      </w:hyperlink>
    </w:p>
    <w:p>
      <w:pPr>
        <w:spacing w:after="0" w:line="21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32">
              <w:r>
                <w:rPr>
                  <w:rFonts w:ascii="Times New Roman" w:cs="Times New Roman" w:eastAsia="Times New Roman" w:hAnsi="Times New Roman"/>
                  <w:sz w:val="18"/>
                  <w:szCs w:val="18"/>
                  <w:b w:val="1"/>
                  <w:bCs w:val="1"/>
                  <w:color w:val="0000EE"/>
                  <w:w w:val="96"/>
                </w:rPr>
                <w:t>Item 1.</w:t>
              </w:r>
            </w:hyperlink>
          </w:p>
        </w:tc>
        <w:tc>
          <w:tcPr>
            <w:tcW w:w="4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9"/>
              </w:rPr>
            </w:pPr>
            <w:hyperlink w:anchor="page32">
              <w:r>
                <w:rPr>
                  <w:rFonts w:ascii="Times New Roman" w:cs="Times New Roman" w:eastAsia="Times New Roman" w:hAnsi="Times New Roman"/>
                  <w:sz w:val="18"/>
                  <w:szCs w:val="18"/>
                  <w:b w:val="1"/>
                  <w:bCs w:val="1"/>
                  <w:color w:val="0000EE"/>
                  <w:w w:val="99"/>
                </w:rPr>
                <w:t>Legal Proceedings.</w:t>
              </w:r>
            </w:hyperlink>
          </w:p>
        </w:tc>
        <w:tc>
          <w:tcPr>
            <w:tcW w:w="5400" w:type="dxa"/>
            <w:vAlign w:val="bottom"/>
            <w:gridSpan w:val="5"/>
          </w:tcPr>
          <w:p>
            <w:pPr>
              <w:spacing w:after="0"/>
              <w:rPr>
                <w:sz w:val="17"/>
                <w:szCs w:val="17"/>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Item 1A.</w:t>
              </w:r>
            </w:hyperlink>
          </w:p>
        </w:tc>
        <w:tc>
          <w:tcPr>
            <w:tcW w:w="7120" w:type="dxa"/>
            <w:vAlign w:val="bottom"/>
            <w:gridSpan w:val="9"/>
          </w:tcPr>
          <w:p>
            <w:pPr>
              <w:ind w:left="260"/>
              <w:spacing w:after="0" w:line="196" w:lineRule="exact"/>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Risk Factors.</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32">
              <w:r>
                <w:rPr>
                  <w:rFonts w:ascii="Times New Roman" w:cs="Times New Roman" w:eastAsia="Times New Roman" w:hAnsi="Times New Roman"/>
                  <w:sz w:val="18"/>
                  <w:szCs w:val="18"/>
                  <w:b w:val="1"/>
                  <w:bCs w:val="1"/>
                  <w:color w:val="0000EE"/>
                  <w:w w:val="96"/>
                </w:rPr>
                <w:t>Item 2.</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60" w:type="dxa"/>
            <w:vAlign w:val="bottom"/>
            <w:gridSpan w:val="8"/>
          </w:tcPr>
          <w:p>
            <w:pPr>
              <w:spacing w:after="0" w:line="196" w:lineRule="exact"/>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Unregistered Sales of Equity Securities and Use of Proceeds.</w:t>
              </w:r>
            </w:hyperlink>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32">
              <w:r>
                <w:rPr>
                  <w:rFonts w:ascii="Times New Roman" w:cs="Times New Roman" w:eastAsia="Times New Roman" w:hAnsi="Times New Roman"/>
                  <w:sz w:val="18"/>
                  <w:szCs w:val="18"/>
                  <w:b w:val="1"/>
                  <w:bCs w:val="1"/>
                  <w:color w:val="0000EE"/>
                  <w:w w:val="96"/>
                </w:rPr>
                <w:t>Item 3.</w:t>
              </w:r>
            </w:hyperlink>
          </w:p>
        </w:tc>
        <w:tc>
          <w:tcPr>
            <w:tcW w:w="4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b w:val="1"/>
                <w:bCs w:val="1"/>
                <w:color w:val="0000EE"/>
                <w:w w:val="99"/>
              </w:rPr>
            </w:pPr>
            <w:hyperlink w:anchor="page32">
              <w:r>
                <w:rPr>
                  <w:rFonts w:ascii="Times New Roman" w:cs="Times New Roman" w:eastAsia="Times New Roman" w:hAnsi="Times New Roman"/>
                  <w:sz w:val="18"/>
                  <w:szCs w:val="18"/>
                  <w:b w:val="1"/>
                  <w:bCs w:val="1"/>
                  <w:color w:val="0000EE"/>
                  <w:w w:val="99"/>
                </w:rPr>
                <w:t>Defaults Upon Senior Securities.</w:t>
              </w:r>
            </w:hyperlink>
          </w:p>
        </w:tc>
        <w:tc>
          <w:tcPr>
            <w:tcW w:w="2120" w:type="dxa"/>
            <w:vAlign w:val="bottom"/>
            <w:tcBorders>
              <w:top w:val="single" w:sz="8" w:color="0000EE"/>
            </w:tcBorders>
            <w:gridSpan w:val="2"/>
          </w:tcPr>
          <w:p>
            <w:pPr>
              <w:spacing w:after="0"/>
              <w:rPr>
                <w:sz w:val="17"/>
                <w:szCs w:val="17"/>
                <w:color w:val="auto"/>
              </w:rPr>
            </w:pPr>
          </w:p>
        </w:tc>
        <w:tc>
          <w:tcPr>
            <w:tcW w:w="224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33">
              <w:r>
                <w:rPr>
                  <w:rFonts w:ascii="Times New Roman" w:cs="Times New Roman" w:eastAsia="Times New Roman" w:hAnsi="Times New Roman"/>
                  <w:sz w:val="18"/>
                  <w:szCs w:val="18"/>
                  <w:b w:val="1"/>
                  <w:bCs w:val="1"/>
                  <w:color w:val="0000EE"/>
                  <w:w w:val="96"/>
                </w:rPr>
                <w:t>Item 4.</w:t>
              </w:r>
            </w:hyperlink>
          </w:p>
        </w:tc>
        <w:tc>
          <w:tcPr>
            <w:tcW w:w="4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4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b w:val="1"/>
                <w:bCs w:val="1"/>
                <w:color w:val="0000EE"/>
                <w:w w:val="99"/>
              </w:rPr>
            </w:pPr>
            <w:hyperlink w:anchor="page33">
              <w:r>
                <w:rPr>
                  <w:rFonts w:ascii="Times New Roman" w:cs="Times New Roman" w:eastAsia="Times New Roman" w:hAnsi="Times New Roman"/>
                  <w:sz w:val="18"/>
                  <w:szCs w:val="18"/>
                  <w:b w:val="1"/>
                  <w:bCs w:val="1"/>
                  <w:color w:val="0000EE"/>
                  <w:w w:val="99"/>
                </w:rPr>
                <w:t>Submission of Matters to a Vote of Security Holders.</w:t>
              </w:r>
            </w:hyperlink>
          </w:p>
        </w:tc>
        <w:tc>
          <w:tcPr>
            <w:tcW w:w="282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33">
              <w:r>
                <w:rPr>
                  <w:rFonts w:ascii="Times New Roman" w:cs="Times New Roman" w:eastAsia="Times New Roman" w:hAnsi="Times New Roman"/>
                  <w:sz w:val="18"/>
                  <w:szCs w:val="18"/>
                  <w:b w:val="1"/>
                  <w:bCs w:val="1"/>
                  <w:color w:val="0000EE"/>
                  <w:w w:val="96"/>
                </w:rPr>
                <w:t>Item 5.</w:t>
              </w:r>
            </w:hyperlink>
          </w:p>
        </w:tc>
        <w:tc>
          <w:tcPr>
            <w:tcW w:w="4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b w:val="1"/>
                <w:bCs w:val="1"/>
                <w:color w:val="0000EE"/>
                <w:w w:val="99"/>
              </w:rPr>
            </w:pPr>
            <w:hyperlink w:anchor="page33">
              <w:r>
                <w:rPr>
                  <w:rFonts w:ascii="Times New Roman" w:cs="Times New Roman" w:eastAsia="Times New Roman" w:hAnsi="Times New Roman"/>
                  <w:sz w:val="18"/>
                  <w:szCs w:val="18"/>
                  <w:b w:val="1"/>
                  <w:bCs w:val="1"/>
                  <w:color w:val="0000EE"/>
                  <w:w w:val="99"/>
                </w:rPr>
                <w:t>Other Information.</w:t>
              </w:r>
            </w:hyperlink>
          </w:p>
        </w:tc>
        <w:tc>
          <w:tcPr>
            <w:tcW w:w="536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33">
              <w:r>
                <w:rPr>
                  <w:rFonts w:ascii="Times New Roman" w:cs="Times New Roman" w:eastAsia="Times New Roman" w:hAnsi="Times New Roman"/>
                  <w:sz w:val="18"/>
                  <w:szCs w:val="18"/>
                  <w:b w:val="1"/>
                  <w:bCs w:val="1"/>
                  <w:color w:val="0000EE"/>
                  <w:w w:val="96"/>
                </w:rPr>
                <w:t>Item 6.</w:t>
              </w:r>
            </w:hyperlink>
          </w:p>
        </w:tc>
        <w:tc>
          <w:tcPr>
            <w:tcW w:w="4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9"/>
              </w:rPr>
            </w:pPr>
            <w:hyperlink w:anchor="page33">
              <w:r>
                <w:rPr>
                  <w:rFonts w:ascii="Times New Roman" w:cs="Times New Roman" w:eastAsia="Times New Roman" w:hAnsi="Times New Roman"/>
                  <w:sz w:val="18"/>
                  <w:szCs w:val="18"/>
                  <w:b w:val="1"/>
                  <w:bCs w:val="1"/>
                  <w:color w:val="0000EE"/>
                  <w:w w:val="99"/>
                </w:rPr>
                <w:t>Exhibits.</w:t>
              </w:r>
            </w:hyperlink>
          </w:p>
        </w:tc>
        <w:tc>
          <w:tcPr>
            <w:tcW w:w="616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EX-31.1 SECTION 302 CERTIFICATION OF THE CEO</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EX-31.2 SECTION 302 CERTIFICATION OF THE CFO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 SECTION 906 CERTIFICATION OF THE CEO &amp; CFO</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Income </w:t>
      </w:r>
      <w:r>
        <w:rPr>
          <w:rFonts w:ascii="Times New Roman" w:cs="Times New Roman" w:eastAsia="Times New Roman" w:hAnsi="Times New Roman"/>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including fees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9"/>
              </w:rPr>
              <w:t>127,213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9"/>
              </w:rPr>
              <w:t>103,190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361,085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285,038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Taxable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16,637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46,081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Tax exempt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sold and deposits in banks</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interest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144,412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115,851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408,751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321,881</w:t>
            </w:r>
          </w:p>
        </w:tc>
        <w:tc>
          <w:tcPr>
            <w:tcW w:w="0" w:type="dxa"/>
            <w:vAlign w:val="bottom"/>
          </w:tcPr>
          <w:p>
            <w:pPr>
              <w:spacing w:after="0"/>
              <w:rPr>
                <w:sz w:val="1"/>
                <w:szCs w:val="1"/>
                <w:color w:val="auto"/>
              </w:rPr>
            </w:pPr>
          </w:p>
        </w:tc>
      </w:tr>
      <w:tr>
        <w:trPr>
          <w:trHeight w:val="43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12,046</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34,143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Money market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Savings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Time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42,862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34,694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126,466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deposit interest expense</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60,463</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45,175</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172,927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Federal funds purchased, repurchase agreements, &amp; other short-term</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borrowings</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10,226</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interest expense</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73,203</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55,431</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205,396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147,903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interest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71,209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60,420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203,355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173,978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interest revenue after provision for loan losses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67,509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56,720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177,255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163,078</w:t>
            </w:r>
          </w:p>
        </w:tc>
        <w:tc>
          <w:tcPr>
            <w:tcW w:w="0" w:type="dxa"/>
            <w:vAlign w:val="bottom"/>
          </w:tcPr>
          <w:p>
            <w:pPr>
              <w:spacing w:after="0"/>
              <w:rPr>
                <w:sz w:val="1"/>
                <w:szCs w:val="1"/>
                <w:color w:val="auto"/>
              </w:rPr>
            </w:pPr>
          </w:p>
        </w:tc>
      </w:tr>
      <w:tr>
        <w:trPr>
          <w:trHeight w:val="43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Fee revenue:</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and fees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7,855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23,083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loan and other related fees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Consulting fees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Brokerage fees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gains (losses),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on prepayment of borrowings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fee revenue</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83,124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68,866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223,806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198,958</w:t>
            </w:r>
          </w:p>
        </w:tc>
        <w:tc>
          <w:tcPr>
            <w:tcW w:w="0" w:type="dxa"/>
            <w:vAlign w:val="bottom"/>
          </w:tcPr>
          <w:p>
            <w:pPr>
              <w:spacing w:after="0"/>
              <w:rPr>
                <w:sz w:val="1"/>
                <w:szCs w:val="1"/>
                <w:color w:val="auto"/>
              </w:rPr>
            </w:pPr>
          </w:p>
        </w:tc>
      </w:tr>
      <w:tr>
        <w:trPr>
          <w:trHeight w:val="43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29,698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26,087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88,037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Communications and equipment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11,593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Occupancy</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10,124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and public relations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5,651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Postage, printing and supplies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48,182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41,441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140,725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119,549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27,425</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12,406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29,289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22,532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17,408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53,778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50,366</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48,348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40,223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45,452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48,977</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41,460</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46,235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41,327</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20"/>
          </w:cols>
          <w:pgMar w:left="240" w:top="415" w:right="239" w:bottom="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415" w:right="239" w:bottom="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2006</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right"/>
              <w:ind w:right="800"/>
              <w:spacing w:after="0" w:line="155" w:lineRule="exact"/>
              <w:rPr>
                <w:sz w:val="20"/>
                <w:szCs w:val="20"/>
                <w:color w:val="auto"/>
              </w:rPr>
            </w:pPr>
            <w:r>
              <w:rPr>
                <w:rFonts w:ascii="Times New Roman" w:cs="Times New Roman" w:eastAsia="Times New Roman" w:hAnsi="Times New Roman"/>
                <w:sz w:val="14"/>
                <w:szCs w:val="14"/>
                <w:i w:val="1"/>
                <w:iCs w:val="1"/>
                <w:color w:val="auto"/>
              </w:rPr>
              <w:t>(audited)</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162,710</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158,348</w:t>
            </w:r>
          </w:p>
        </w:tc>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75,745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12,936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238,455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171,284</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1,296,826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1,107,153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23,717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35,325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net of unearned income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5,952,749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5,376,538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90,935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66,566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Loans,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5,861,814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5,309,972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4,904,464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174,918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67,385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58,291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326,080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191,405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112,450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8,180,600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7,101,249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Demand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737,357</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659,892</w:t>
            </w:r>
          </w:p>
        </w:tc>
        <w:tc>
          <w:tcPr>
            <w:tcW w:w="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NOW</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1,464,956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1,307,654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Money market</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495,092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255,862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Savings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195,132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Time: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Less than $100,000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1,595,278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1,650,906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Greater than $100,000</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1,358,302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1,397,245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Brokered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308,191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325,696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361,231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deposits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6,154,308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5,772,886</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 funds purchased, repurchase agreements, and other short-term borrowings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502,081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65,884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519,381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489,084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107,996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113,151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63,073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43,477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7,346,839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6,484,482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5,928,556</w:t>
            </w:r>
          </w:p>
        </w:tc>
        <w:tc>
          <w:tcPr>
            <w:tcW w:w="0" w:type="dxa"/>
            <w:vAlign w:val="bottom"/>
          </w:tcPr>
          <w:p>
            <w:pPr>
              <w:spacing w:after="0"/>
              <w:rPr>
                <w:sz w:val="1"/>
                <w:szCs w:val="1"/>
                <w:color w:val="auto"/>
              </w:rPr>
            </w:pPr>
          </w:p>
        </w:tc>
      </w:tr>
      <w:tr>
        <w:trPr>
          <w:trHeight w:val="439"/>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$1 par value; $10 stated value; 10,000,000 shares authorized; 25,800,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32,200 and 32,200 shares issued and outstanding</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$1 par value; 100,000,000 shares authorized; 48,809,301, 42,890,863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40,268,604 shares issued and outstanding</w:t>
            </w: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48,809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42,891</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issuable; 66,366, 29,821 and 22,741 shares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1,954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surplus</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462,499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270,383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347,478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306,261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1,266,935 shares as of September 30, 2007, at cost</w:t>
            </w: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(30,969)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833,761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616,767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8,180,600</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7,101,249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6,455,290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20"/>
          </w:cols>
          <w:pgMar w:left="240" w:top="41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Shareholders’Equity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2005</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1"/>
              </w:rPr>
              <w:t>$ 40,020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$ 193,355</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$ 250,563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(11,845)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$ 472,686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Unrealized holding gains on available for sale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securities, net of deferred tax expense 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reclassification adjustment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749</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Unrealized gains on derivative financial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instruments qualifying as cash flow hedges,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net of deferred tax expense 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reclassification adjustment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5,547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50,381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6,296</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dividends declared on common stock ($.24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(98,025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to Dividend Reinvestment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Plan and employee benefit plans (128,244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stock option and restricted stock</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awards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 (22,482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compensation plan, net, including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 equivalents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preferred stock ($.45 per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2006</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40,269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$ 199,773</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$ 291,281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$ 526,734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2006</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$ 42,891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$ 270,383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$ 306,261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$ 616,767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53,792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tcPr>
          <w:p>
            <w:pPr>
              <w:ind w:left="400"/>
              <w:spacing w:after="0" w:line="198" w:lineRule="exact"/>
              <w:rPr>
                <w:sz w:val="20"/>
                <w:szCs w:val="20"/>
                <w:color w:val="auto"/>
              </w:rPr>
            </w:pPr>
            <w:r>
              <w:rPr>
                <w:rFonts w:ascii="Times New Roman" w:cs="Times New Roman" w:eastAsia="Times New Roman" w:hAnsi="Times New Roman"/>
                <w:sz w:val="18"/>
                <w:szCs w:val="18"/>
                <w:color w:val="auto"/>
              </w:rPr>
              <w:t>Unrealized holding gains on available for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sale securities, net of deferred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expense and reclassification adjustment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Unrealized gains on derivative financial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instruments qualifying as cash flow</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hedges, net of deferred tax expense</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4,402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of preferred stock (6,400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dividends declared on common stock ($.27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for acquisitions (5,691,948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185,649</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 (110,328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to Dividend Reinvestment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Plan and employee benefit plans (123,692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Amortization of stock options and restricted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(30,310 shares issued,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3,125 shares deferred)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treasury stock (1,304,775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(31,875)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compensation plan, net, including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 equivalents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benefit from options exercised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preferred stock ($.45 per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2007</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00" w:type="dxa"/>
            <w:vAlign w:val="bottom"/>
            <w:gridSpan w:val="3"/>
            <w:vMerge w:val="continue"/>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48,809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1,954</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$ 462,499</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$ 347,478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$ 833,761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5" w:right="239" w:bottom="0" w:gutter="0" w:footer="0" w:header="0"/>
        </w:sectPr>
      </w:pPr>
    </w:p>
    <w:bookmarkStart w:id="6" w:name="page7"/>
    <w:bookmarkEnd w:id="6"/>
    <w:p>
      <w:pPr>
        <w:ind w:left="452" w:hanging="452"/>
        <w:spacing w:after="0"/>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income for the third quarters of 2007 and 2006 was $38,911 and $30,933, respectively.</w:t>
      </w:r>
    </w:p>
    <w:p>
      <w:pPr>
        <w:spacing w:after="0" w:line="333" w:lineRule="exact"/>
        <w:rPr>
          <w:sz w:val="20"/>
          <w:szCs w:val="20"/>
          <w:color w:val="auto"/>
        </w:rPr>
      </w:pPr>
    </w:p>
    <w:p>
      <w:pPr>
        <w:jc w:val="center"/>
        <w:ind w:right="-1212"/>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196" w:lineRule="exact"/>
        <w:rPr>
          <w:sz w:val="20"/>
          <w:szCs w:val="20"/>
          <w:color w:val="auto"/>
        </w:rPr>
      </w:pPr>
    </w:p>
    <w:p>
      <w:pPr>
        <w:jc w:val="center"/>
        <w:ind w:right="-12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121" w:right="1440"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Cash Flows </w:t>
      </w:r>
      <w:r>
        <w:rPr>
          <w:rFonts w:ascii="Times New Roman" w:cs="Times New Roman" w:eastAsia="Times New Roman" w:hAnsi="Times New Roman"/>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12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 net of effect of business combinations:</w:t>
            </w: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53,792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10,553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(Gain) loss on sale of securities available for sale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Gain on sale of other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Loss on prepayment of borrowings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Other assets and accrued interest receivable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 net of effect of business combinations: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106,709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maturities and calls of securities available for sale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248,991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securities available for sale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(484,229)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(159,772)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in loans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(81,394)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(566,008)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Bank Owned Life Insurance (BOLI)</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(26,768)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paid for acquisitions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other real estate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9,787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by investing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(280,530)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(550,396)</w:t>
            </w:r>
          </w:p>
        </w:tc>
        <w:tc>
          <w:tcPr>
            <w:tcW w:w="0" w:type="dxa"/>
            <w:vAlign w:val="bottom"/>
          </w:tcPr>
          <w:p>
            <w:pPr>
              <w:spacing w:after="0"/>
              <w:rPr>
                <w:sz w:val="1"/>
                <w:szCs w:val="1"/>
                <w:color w:val="auto"/>
              </w:rPr>
            </w:pPr>
          </w:p>
        </w:tc>
      </w:tr>
      <w:tr>
        <w:trPr>
          <w:trHeight w:val="439"/>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 net of effect of business combinations:</w:t>
            </w:r>
          </w:p>
        </w:tc>
        <w:tc>
          <w:tcPr>
            <w:tcW w:w="10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change in deposits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(186,423)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federal funds purchased, repurchase agreements, and other short-term borrowings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472,852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Repayments of other borrowings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Repayments of FHLB advances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(931,164)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(748,000)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for dividend reinvestment and employee benefit plans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Retirement of preferred stock</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(31,875)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67,171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171,284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238,455</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Accounting Policies</w:t>
      </w:r>
    </w:p>
    <w:p>
      <w:pPr>
        <w:spacing w:after="0" w:line="121"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The accounting and financial reporting policies of United Community Banks, Inc. (“United”) and its subsidiaries conform to accounting principles generally accepted in the United States of America and general banking industry practices. The accompanying interim consolidated financial statements have not been audited. All material intercompany balances and transactions have been eliminated. A more detailed description of United’s accounting policies is included in the 2006 annual report filed on Form 10-K.</w:t>
      </w:r>
    </w:p>
    <w:p>
      <w:pPr>
        <w:spacing w:after="0" w:line="72" w:lineRule="exact"/>
        <w:rPr>
          <w:sz w:val="20"/>
          <w:szCs w:val="20"/>
          <w:color w:val="auto"/>
        </w:rPr>
      </w:pPr>
    </w:p>
    <w:p>
      <w:pPr>
        <w:ind w:right="180" w:firstLine="225"/>
        <w:spacing w:after="0" w:line="266"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Stock-Based Compensation</w:t>
      </w:r>
    </w:p>
    <w:p>
      <w:pPr>
        <w:spacing w:after="0" w:line="121"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September 30, 2007, approximately 1,900,000 additional awards could be granted under the plan. Through September 30, 2007, only incentive stock options, nonqualified stock options and restricted stock awards and units had been granted under the plan.</w:t>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shows stock option activity for the first nine months of 2007.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2"/>
                <w:szCs w:val="12"/>
                <w:color w:val="auto"/>
              </w:rPr>
            </w:pPr>
          </w:p>
        </w:tc>
        <w:tc>
          <w:tcPr>
            <w:tcW w:w="142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00" w:type="dxa"/>
            <w:vAlign w:val="bottom"/>
            <w:gridSpan w:val="3"/>
            <w:vMerge w:val="continue"/>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Intrinisic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5"/>
                <w:szCs w:val="15"/>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2,549,823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19.05</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599,200</w:t>
            </w:r>
          </w:p>
        </w:tc>
        <w:tc>
          <w:tcPr>
            <w:tcW w:w="100" w:type="dxa"/>
            <w:vAlign w:val="bottom"/>
          </w:tcPr>
          <w:p>
            <w:pPr>
              <w:spacing w:after="0"/>
              <w:rPr>
                <w:sz w:val="18"/>
                <w:szCs w:val="18"/>
                <w:color w:val="auto"/>
              </w:rPr>
            </w:pP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3"/>
              </w:rPr>
              <w:t>30.67</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(117,828)</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11.70</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(56,900)</w:t>
            </w:r>
          </w:p>
        </w:tc>
        <w:tc>
          <w:tcPr>
            <w:tcW w:w="100" w:type="dxa"/>
            <w:vAlign w:val="bottom"/>
          </w:tcPr>
          <w:p>
            <w:pPr>
              <w:spacing w:after="0"/>
              <w:rPr>
                <w:sz w:val="18"/>
                <w:szCs w:val="18"/>
                <w:color w:val="auto"/>
              </w:rPr>
            </w:pP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3"/>
              </w:rPr>
              <w:t>27.82</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9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24.67</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September 30, 2007</w:t>
            </w:r>
          </w:p>
        </w:tc>
        <w:tc>
          <w:tcPr>
            <w:tcW w:w="4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2,965,707</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3"/>
              </w:rPr>
              <w:t>21.50</w:t>
            </w:r>
          </w:p>
        </w:tc>
        <w:tc>
          <w:tcPr>
            <w:tcW w:w="580" w:type="dxa"/>
            <w:vAlign w:val="bottom"/>
          </w:tcPr>
          <w:p>
            <w:pPr>
              <w:spacing w:after="0"/>
              <w:rPr>
                <w:sz w:val="19"/>
                <w:szCs w:val="19"/>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2007</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1,756,689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16.73</w:t>
            </w:r>
          </w:p>
        </w:tc>
        <w:tc>
          <w:tcPr>
            <w:tcW w:w="5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0" w:firstLine="222"/>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stock options granted in the first nine months of 2007 and 2006 was $8.29 and $8.51, respectively. The fair value of each option granted was estimated on the date of grant using the Black-Scholes model. The key assumptions used to determine the fair value of stock options are presented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68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7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680" w:type="dxa"/>
            <w:vAlign w:val="bottom"/>
            <w:tcBorders>
              <w:bottom w:val="single" w:sz="8" w:color="auto"/>
            </w:tcBorders>
            <w:gridSpan w:val="3"/>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7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4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to 1.5%</w:t>
            </w:r>
          </w:p>
        </w:tc>
        <w:tc>
          <w:tcPr>
            <w:tcW w:w="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to 1.2%</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0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6.25 to 6.50</w:t>
            </w:r>
          </w:p>
        </w:tc>
        <w:tc>
          <w:tcPr>
            <w:tcW w:w="15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6.25</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0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 to 4.9%</w:t>
            </w:r>
          </w:p>
        </w:tc>
        <w:tc>
          <w:tcPr>
            <w:tcW w:w="5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 to 5.2%</w:t>
            </w:r>
          </w:p>
        </w:tc>
      </w:tr>
      <w:tr>
        <w:trPr>
          <w:trHeight w:val="387"/>
        </w:trPr>
        <w:tc>
          <w:tcPr>
            <w:tcW w:w="3720" w:type="dxa"/>
            <w:vAlign w:val="bottom"/>
          </w:tcPr>
          <w:p>
            <w:pPr>
              <w:spacing w:after="0"/>
              <w:rPr>
                <w:sz w:val="24"/>
                <w:szCs w:val="24"/>
                <w:color w:val="auto"/>
              </w:rPr>
            </w:pPr>
          </w:p>
        </w:tc>
        <w:tc>
          <w:tcPr>
            <w:tcW w:w="5020" w:type="dxa"/>
            <w:vAlign w:val="bottom"/>
          </w:tcPr>
          <w:p>
            <w:pPr>
              <w:jc w:val="right"/>
              <w:ind w:right="289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United’s stock trading history began in March of 2002 when United listed on the Nasdaq National Market. For 2007 and 2006, expected volatility was determined using United’s historical monthly volatility over the period beginning in March of 2002 through the end of the last completed year. Compensation expense for stock options was $1,564,000 and $1,381,000 for the nine months ended September 30, 2007 and 2006, respectively, which was net of deferred tax benefits of $492,000 and $240,000, respectively. The amount of compensation expense for both periods was determined based on the fair value of the options at the time of grant, multiplied by the number of options granted that were expected to vest, which was then amortized, net of any applicable tax benefit, over the vesting period. The forfeiture rate for options is estimated to be approximately 3% per year. The total intrinsic value of options exercised during the nine months ended September 30, 2007 was $2,163,000.</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table below presents the activity in restricted stock for the first nine months of 2007.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vMerge w:val="restart"/>
          </w:tcPr>
          <w:p>
            <w:pPr>
              <w:ind w:left="37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560" w:type="dxa"/>
            <w:vAlign w:val="bottom"/>
          </w:tcPr>
          <w:p>
            <w:pPr>
              <w:spacing w:after="0"/>
              <w:rPr>
                <w:sz w:val="12"/>
                <w:szCs w:val="12"/>
                <w:color w:val="auto"/>
              </w:rPr>
            </w:pPr>
          </w:p>
        </w:tc>
        <w:tc>
          <w:tcPr>
            <w:tcW w:w="6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vMerge w:val="restart"/>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Average Grant-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2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2006</w:t>
            </w:r>
          </w:p>
        </w:tc>
        <w:tc>
          <w:tcPr>
            <w:tcW w:w="19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78,440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48,400</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(33,435)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56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2007</w:t>
            </w: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90,405</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Compensation expense for restricted stock is based on the fair value of United’s common stock on the date of grant. The value of restricted stock grants that are expected to vest is amortized into expense over the vesting period. For the nine months ended September 30, 2007 and 2006, compensation expense of $555,000 and $612,000, respectively, was recognized related to restricted stock awards. The total intrinsic value of the restricted stock was $2,217,000 at September 30, 2007.</w:t>
      </w:r>
    </w:p>
    <w:p>
      <w:pPr>
        <w:spacing w:after="0" w:line="72" w:lineRule="exact"/>
        <w:rPr>
          <w:sz w:val="20"/>
          <w:szCs w:val="20"/>
          <w:color w:val="auto"/>
        </w:rPr>
      </w:pPr>
    </w:p>
    <w:p>
      <w:pPr>
        <w:ind w:right="360" w:firstLine="215"/>
        <w:spacing w:after="0" w:line="261" w:lineRule="auto"/>
        <w:rPr>
          <w:sz w:val="20"/>
          <w:szCs w:val="20"/>
          <w:color w:val="auto"/>
        </w:rPr>
      </w:pPr>
      <w:r>
        <w:rPr>
          <w:rFonts w:ascii="Times New Roman" w:cs="Times New Roman" w:eastAsia="Times New Roman" w:hAnsi="Times New Roman"/>
          <w:sz w:val="18"/>
          <w:szCs w:val="18"/>
          <w:color w:val="auto"/>
        </w:rPr>
        <w:t>As of September 30, 2007, there was $9,651,000 of unrecognized compensation cost related to non-vested stock options and restricted stock awards granted under the plan. That cost is amortized into expense over the vesting period, which is usually 48 months and is expected to be recognized over a weighted-average period of 1.6 years. The aggregate grant date fair value of options and restricted stock awards that vested during the nine months ended September 30, 2007, was $3,258,000.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Common Stock Issued / Common Stock Issuable / Treasury Stock Purchase</w:t>
      </w:r>
    </w:p>
    <w:p>
      <w:pPr>
        <w:spacing w:after="0" w:line="121"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United provides a Dividend Reinvestment and Share Purchase Plan (DRIP) to its shareholders. Under the plan, shareholders of record can voluntarily reinvest all or a portion of their cash dividends into shares of United’s common stock, as well as purchase additional stock through the plan for cash.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nine months ended September 30, 2007 and September 30, 2006, United issued 123,692 shares and 128,244 shares, respectively, and increased capital by $3.6 million and $3.7 million, respectively, through these programs.</w:t>
      </w:r>
    </w:p>
    <w:p>
      <w:pPr>
        <w:spacing w:after="0" w:line="80" w:lineRule="exact"/>
        <w:rPr>
          <w:sz w:val="20"/>
          <w:szCs w:val="20"/>
          <w:color w:val="auto"/>
        </w:rPr>
      </w:pPr>
    </w:p>
    <w:p>
      <w:pPr>
        <w:jc w:val="both"/>
        <w:ind w:right="180" w:firstLine="225"/>
        <w:spacing w:after="0" w:line="266" w:lineRule="auto"/>
        <w:rPr>
          <w:sz w:val="20"/>
          <w:szCs w:val="20"/>
          <w:color w:val="auto"/>
        </w:rPr>
      </w:pPr>
      <w:r>
        <w:rPr>
          <w:rFonts w:ascii="Times New Roman" w:cs="Times New Roman" w:eastAsia="Times New Roman" w:hAnsi="Times New Roman"/>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September 30, 2007 and September 30, 2006, 66,336 shares and 22,741 shares, respectively, were issuable under the deferred compensation plan.</w:t>
      </w:r>
    </w:p>
    <w:p>
      <w:pPr>
        <w:spacing w:after="0" w:line="68" w:lineRule="exact"/>
        <w:rPr>
          <w:sz w:val="20"/>
          <w:szCs w:val="20"/>
          <w:color w:val="auto"/>
        </w:rPr>
      </w:pPr>
    </w:p>
    <w:p>
      <w:pPr>
        <w:jc w:val="both"/>
        <w:ind w:right="160" w:firstLine="225"/>
        <w:spacing w:after="0" w:line="261" w:lineRule="auto"/>
        <w:rPr>
          <w:sz w:val="20"/>
          <w:szCs w:val="20"/>
          <w:color w:val="auto"/>
        </w:rPr>
      </w:pPr>
      <w:r>
        <w:rPr>
          <w:rFonts w:ascii="Times New Roman" w:cs="Times New Roman" w:eastAsia="Times New Roman" w:hAnsi="Times New Roman"/>
          <w:sz w:val="18"/>
          <w:szCs w:val="18"/>
          <w:color w:val="auto"/>
        </w:rPr>
        <w:t>United had in place a Board approved repurchase authorization of 1,000,000 shares of its outstanding common stock that expires on December 31, 2007. At its July 19, 2007 meeting, United’s Board of Directors increased the authorization to 2,000,000 shares. In the third quarter, United repurchased 1,304,775 shares of its outstanding common stock at a cost of $31.9 million. At its October 18, 2007 board meeting, United’s Board further increased the authorization to 3,000,000 shares and extended the expiration date to December 31, 2008.</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nine months ended September 30.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Basic and Diluted EPS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48,348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40,223</w:t>
            </w:r>
          </w:p>
        </w:tc>
        <w:tc>
          <w:tcPr>
            <w:tcW w:w="140" w:type="dxa"/>
            <w:vAlign w:val="bottom"/>
          </w:tcPr>
          <w:p>
            <w:pPr>
              <w:spacing w:after="0"/>
              <w:rPr>
                <w:sz w:val="20"/>
                <w:szCs w:val="20"/>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45,452</w:t>
            </w: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17,408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53,778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48,348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40,223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45,452</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Net effect of the assumed exercise of stock options based on the treasury stock</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method using average market price for the period</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565</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issuable under deferred compensation plan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conversion of subordinated debt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weighted average shares and common stock equivalents outstanding</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41,460</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46,235</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22,532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17,408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53,778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effect of conversion of subordinated debt, net of tax</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adjusted for effect of conversion of subordinated debt, net of tax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17,451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53,778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Mergers and Acquisitions</w:t>
      </w:r>
    </w:p>
    <w:p>
      <w:pPr>
        <w:spacing w:after="0" w:line="121"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On June 1, 2007, United acquired 100 percent of the outstanding common shares of Gwinnett Commercial Group, Inc. (Gwinnett), a community bank holding company headquartered in Lawrenceville, Georgia. Gwinnett’s results of operations are included in consolidated financial results from the acquisition date. Gwinnett was the parent company of First Bank of the South, a community bank with five full service banking offices serving the north metro Atlanta counties of Gwinnett, DeKalb and north Fulton and a commercial loan office in Walton County. United has continued to expand its presence in metropolitan Atlanta and the acquisition of Gwinnett accomplishes a long standing strategic goal of encircling metro Atlanta. The aggregate purchase price was approximately $222.9 million, including 5,691,948 shares of United’s common stock and $31.5 million in cash that was exchanged for all of the outstanding common shares and options to purchase common shares of Gwinnett. The value of the common stock issued of $33.62 per share was determined based on the average of the closing market price of United’s common shares over the period beginning two days before and ending two days after the terms of the acquisition were agreed to and announced.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assets acquired and liabilities assumed on the acquisition date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920" w:type="dxa"/>
            <w:vAlign w:val="bottom"/>
          </w:tcPr>
          <w:p>
            <w:pPr>
              <w:spacing w:after="0"/>
              <w:rPr>
                <w:sz w:val="13"/>
                <w:szCs w:val="13"/>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Gwinnett Commercial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 funds sold</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526,629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Core deposit intangible</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assets acquired</w:t>
            </w: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borrowed funds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586,119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20" w:firstLine="222"/>
        <w:spacing w:after="0" w:line="282" w:lineRule="auto"/>
        <w:rPr>
          <w:sz w:val="20"/>
          <w:szCs w:val="20"/>
          <w:color w:val="auto"/>
        </w:rPr>
      </w:pPr>
      <w:r>
        <w:rPr>
          <w:rFonts w:ascii="Times New Roman" w:cs="Times New Roman" w:eastAsia="Times New Roman" w:hAnsi="Times New Roman"/>
          <w:sz w:val="18"/>
          <w:szCs w:val="18"/>
          <w:color w:val="auto"/>
        </w:rPr>
        <w:t>The financial information below presents the pro forma earnings of United assuming that the results of operations of Gwinnett and Southern Bancorp, Inc., acquired on December 1, 2006, were included in consolidated earnings as of the beginning of the earliest reported period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70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70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1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6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$ 83,123</w:t>
            </w:r>
          </w:p>
        </w:tc>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$ 80,267</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$ 235,053</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$ 231,345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22,535</w:t>
            </w: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21,671</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58,049</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62,105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.46</w:t>
            </w:r>
          </w:p>
        </w:tc>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80" w:firstLine="215"/>
        <w:spacing w:after="0" w:line="256" w:lineRule="auto"/>
        <w:rPr>
          <w:sz w:val="20"/>
          <w:szCs w:val="20"/>
          <w:color w:val="auto"/>
        </w:rPr>
      </w:pPr>
      <w:r>
        <w:rPr>
          <w:rFonts w:ascii="Times New Roman" w:cs="Times New Roman" w:eastAsia="Times New Roman" w:hAnsi="Times New Roman"/>
          <w:sz w:val="18"/>
          <w:szCs w:val="18"/>
          <w:color w:val="auto"/>
        </w:rPr>
        <w:t>At September 30, 2007, accrued merger costs of $2,480,000 remained unpaid relating to acquisitions closed in 2007, 2006 and 2004. The severance and related costs include change in control payments for which payment had been deferred, the majority of which will be paid in January of 2008. Professional fees include legal fees, investment banker fees, and fees for other professional services related to the business combinations. Contract termination costs include amounts claimed by service providers as a result of early termination of service contracts related to the acquisitions. During the first quarter, the one contract termination charge that was in dispute was resolved, and goodwill was reduced accordingly. A reconciliation of the activities in 2007 related to accrued merger costs is below (in thousands):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Activity with accrued merger cost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4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3"/>
                <w:szCs w:val="13"/>
                <w:color w:val="auto"/>
              </w:rPr>
            </w:pPr>
          </w:p>
        </w:tc>
        <w:tc>
          <w:tcPr>
            <w:tcW w:w="13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8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2,348</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705</w:t>
            </w:r>
          </w:p>
        </w:tc>
        <w:tc>
          <w:tcPr>
            <w:tcW w:w="3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(785)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Totals</w:t>
            </w:r>
          </w:p>
        </w:tc>
        <w:tc>
          <w:tcPr>
            <w:tcW w:w="1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6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Reclassification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Certain amounts for the comparative periods of 2006 have been reclassified to conform to the 2007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Recent Accounting Pronouncements</w:t>
      </w:r>
    </w:p>
    <w:p>
      <w:pPr>
        <w:spacing w:after="0" w:line="119"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 xml:space="preserve">In February 2007, the Financial Accounting Standards Board (“FASB”) issued Statement of Financial Accounting Standards No. 159 (SFAS No. 159),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for Financial Assets and Financial Liabilities—including an amendment of FASB Statement No. 115</w:t>
      </w:r>
      <w:r>
        <w:rPr>
          <w:rFonts w:ascii="Times New Roman" w:cs="Times New Roman" w:eastAsia="Times New Roman" w:hAnsi="Times New Roman"/>
          <w:sz w:val="18"/>
          <w:szCs w:val="18"/>
          <w:color w:val="auto"/>
        </w:rPr>
        <w:t>. This statement permits entities to choose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is expected to expand the use of fair value measurement, which is consistent with the FASB’s long-term measurement objective for accounting for financial instruments. This statement is effective as of the beginning of an entity’s first fiscal year that begins after November 15, 2007. Early adoption is permitted as of the beginning of a fiscal year that begins on or before November 15, 2007, provided the entity also elects to apply SFAS No. 157,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United expects to adopt this standard beginning January 1, 2008. The financial statement impact is being evaluated; however, it is not expected to be material to United’s financial position, results of operations or disclosures.</w:t>
      </w:r>
    </w:p>
    <w:p>
      <w:pPr>
        <w:spacing w:after="0" w:line="81" w:lineRule="exact"/>
        <w:rPr>
          <w:sz w:val="20"/>
          <w:szCs w:val="20"/>
          <w:color w:val="auto"/>
        </w:rPr>
      </w:pPr>
    </w:p>
    <w:p>
      <w:pPr>
        <w:ind w:right="260" w:firstLine="225"/>
        <w:spacing w:after="0" w:line="261" w:lineRule="auto"/>
        <w:rPr>
          <w:sz w:val="20"/>
          <w:szCs w:val="20"/>
          <w:color w:val="auto"/>
        </w:rPr>
      </w:pPr>
      <w:r>
        <w:rPr>
          <w:rFonts w:ascii="Times New Roman" w:cs="Times New Roman" w:eastAsia="Times New Roman" w:hAnsi="Times New Roman"/>
          <w:sz w:val="18"/>
          <w:szCs w:val="18"/>
          <w:color w:val="auto"/>
        </w:rPr>
        <w:t xml:space="preserve">United adopted Financial Interpretation No. (“FIN”) 48, </w:t>
      </w:r>
      <w:r>
        <w:rPr>
          <w:rFonts w:ascii="Times New Roman" w:cs="Times New Roman" w:eastAsia="Times New Roman" w:hAnsi="Times New Roman"/>
          <w:sz w:val="18"/>
          <w:szCs w:val="18"/>
          <w:i w:val="1"/>
          <w:iCs w:val="1"/>
          <w:color w:val="auto"/>
        </w:rPr>
        <w:t>Accounting for Uncertainty in Income Taxes – an interpretation of FASB Statement No. 109,</w:t>
      </w:r>
      <w:r>
        <w:rPr>
          <w:rFonts w:ascii="Times New Roman" w:cs="Times New Roman" w:eastAsia="Times New Roman" w:hAnsi="Times New Roman"/>
          <w:sz w:val="18"/>
          <w:szCs w:val="18"/>
          <w:color w:val="auto"/>
        </w:rPr>
        <w:t xml:space="preserve"> on January 1, 2007. The adoption of FIN 48 had no effect on United’s financial statements. The amount of unrecognized tax benefits as of January 1, 2007 totaled $2.0 million. All of this amount would increase income from continuing operations, and thus impact United’s effective tax rate, if ultimately recognized into income. Unrecognized state income tax benefits are reported net of their related deferred federal income tax benefit.</w:t>
      </w:r>
    </w:p>
    <w:p>
      <w:pPr>
        <w:spacing w:after="0" w:line="74" w:lineRule="exact"/>
        <w:rPr>
          <w:sz w:val="20"/>
          <w:szCs w:val="20"/>
          <w:color w:val="auto"/>
        </w:rPr>
      </w:pPr>
    </w:p>
    <w:p>
      <w:pPr>
        <w:ind w:right="560" w:firstLine="225"/>
        <w:spacing w:after="0" w:line="282" w:lineRule="auto"/>
        <w:rPr>
          <w:sz w:val="20"/>
          <w:szCs w:val="20"/>
          <w:color w:val="auto"/>
        </w:rPr>
      </w:pPr>
      <w:r>
        <w:rPr>
          <w:rFonts w:ascii="Times New Roman" w:cs="Times New Roman" w:eastAsia="Times New Roman" w:hAnsi="Times New Roman"/>
          <w:sz w:val="18"/>
          <w:szCs w:val="18"/>
          <w:color w:val="auto"/>
        </w:rPr>
        <w:t>It is United’s policy to recognize interest and penalties accrued relative to unrecognized tax benefits in their respective federal or state income taxes accounts. As of January 1, 2007, $403,000 in interest and penalties had been accrued.</w:t>
      </w:r>
    </w:p>
    <w:p>
      <w:pPr>
        <w:spacing w:after="0" w:line="54" w:lineRule="exact"/>
        <w:rPr>
          <w:sz w:val="20"/>
          <w:szCs w:val="20"/>
          <w:color w:val="auto"/>
        </w:rPr>
      </w:pPr>
    </w:p>
    <w:p>
      <w:pPr>
        <w:ind w:right="340" w:firstLine="225"/>
        <w:spacing w:after="0" w:line="282" w:lineRule="auto"/>
        <w:rPr>
          <w:sz w:val="20"/>
          <w:szCs w:val="20"/>
          <w:color w:val="auto"/>
        </w:rPr>
      </w:pPr>
      <w:r>
        <w:rPr>
          <w:rFonts w:ascii="Times New Roman" w:cs="Times New Roman" w:eastAsia="Times New Roman" w:hAnsi="Times New Roman"/>
          <w:sz w:val="18"/>
          <w:szCs w:val="18"/>
          <w:color w:val="auto"/>
        </w:rPr>
        <w:t>United and its subsidiaries file a consolidated U.S. federal income tax return, as well as filing various returns in the states where its banking offices are located. The Company’s filed income tax returns are no longer subject to examination by taxing authorities for years before 2003.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Special Fraud Related Loan Loss Provision</w:t>
      </w:r>
    </w:p>
    <w:p>
      <w:pPr>
        <w:spacing w:after="0" w:line="121" w:lineRule="exact"/>
        <w:rPr>
          <w:sz w:val="20"/>
          <w:szCs w:val="20"/>
          <w:color w:val="auto"/>
        </w:rPr>
      </w:pPr>
    </w:p>
    <w:p>
      <w:pPr>
        <w:ind w:right="40" w:firstLine="222"/>
        <w:spacing w:after="0" w:line="253" w:lineRule="auto"/>
        <w:rPr>
          <w:sz w:val="20"/>
          <w:szCs w:val="20"/>
          <w:color w:val="auto"/>
        </w:rPr>
      </w:pPr>
      <w:r>
        <w:rPr>
          <w:rFonts w:ascii="Times New Roman" w:cs="Times New Roman" w:eastAsia="Times New Roman" w:hAnsi="Times New Roman"/>
          <w:sz w:val="18"/>
          <w:szCs w:val="18"/>
          <w:color w:val="auto"/>
        </w:rPr>
        <w:t>The second quarter 2007 provision for loan losses included a special $15 million provision for fraud related loan losses in two real estate developments located near Spruce Pine, North Carolina. During the second quarter of 2007, the North Carolina Attorney General obtained a receiver to take custody of the developers’ assets citing possible fraud on the part of the developers. United has loans outstanding to 83 individual borrowers that total $23.6 million secured by undeveloped lots in these developments. United was one of twelve banks that had loaned money to borrowers to finance the purchase of lots. The loans were made to appropriately qualified borrowers in accordance with United’s standard underwriting procedures. At the time the loans were made, we were not aware that most of the borrowers were simultaneously obtaining loans for additional lots at other banks and thereby taking on debt possibly beyond their repayment ability. We were also unaware that the borrowers’ down payments were not paid in cash as indicated on the closing statements but were financed by a second mortgage from the developer and that the developer agreed to service the borrowers’ debts. We have also subsequently learned that the appraisals relied upon in the underwriting process had been inflated by using comparable sales that were not at arms length to persons related to the developer and that many of the lots were subdivided into parcels that are too small to be used for their intended purpose. Based on our findings and our internal estimate of expected losses, we recorded a $15 million special provision for loan losses. We are working with the receiver, the other banks involved, the borrowers and our insurance carrier in order to minimize our losses. As of September 30, 2007, none of the loans had been charged off, but all are on non-accrual status and included in nonperforming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121" w:lineRule="exact"/>
        <w:rPr>
          <w:sz w:val="20"/>
          <w:szCs w:val="20"/>
          <w:color w:val="auto"/>
        </w:rPr>
      </w:pPr>
    </w:p>
    <w:p>
      <w:pPr>
        <w:jc w:val="both"/>
        <w:ind w:right="200" w:firstLine="225"/>
        <w:spacing w:after="0" w:line="266" w:lineRule="auto"/>
        <w:rPr>
          <w:sz w:val="20"/>
          <w:szCs w:val="20"/>
          <w:color w:val="auto"/>
        </w:rPr>
      </w:pPr>
      <w:r>
        <w:rPr>
          <w:rFonts w:ascii="Times New Roman" w:cs="Times New Roman" w:eastAsia="Times New Roman" w:hAnsi="Times New Roman"/>
          <w:sz w:val="18"/>
          <w:szCs w:val="18"/>
          <w:color w:val="auto"/>
        </w:rPr>
        <w:t>United is currently undergoing routine income tax audits by the Georgia Department of Revenue and the North Carolina Department of Revenue for the 2003, 2004, and 2005 tax years. The audits are still in process and no additional taxes have yet been assessed. United believes it has appropriately complied with the tax laws of each state and does not expect the results of the audits to have a material effect on United’s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92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ind w:firstLine="222"/>
        <w:spacing w:after="0" w:line="256" w:lineRule="auto"/>
        <w:rPr>
          <w:sz w:val="20"/>
          <w:szCs w:val="20"/>
          <w:color w:val="auto"/>
        </w:rPr>
      </w:pPr>
      <w:r>
        <w:rPr>
          <w:rFonts w:ascii="Times New Roman" w:cs="Times New Roman" w:eastAsia="Times New Roman" w:hAnsi="Times New Roman"/>
          <w:sz w:val="18"/>
          <w:szCs w:val="18"/>
          <w:color w:val="auto"/>
        </w:rPr>
        <w:t>This Form 10-Q contains forward-looking statements regarding United Community Banks, Inc. (“United”), including, without limitation, statements relating to United’s expectations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80" w:lineRule="exact"/>
        <w:rPr>
          <w:sz w:val="20"/>
          <w:szCs w:val="20"/>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recent operating results may not be indicative of future operating results;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business is subject to the success of the local economies in which we operate;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face risks with respect to future expansion and acquisitions or mergers;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prevailing interest rates may negatively affect our net income and the value of our assets;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concentration of construction and land development loans is subject to unique risks that could adversely affect our earnings;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our allowance for loan losses is not sufficient to cover actual loan losses, our earnings would decrease;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competition from financial institutions and other financial service providers may adversely affect our profitability;</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increases, productivity gains and other investments are lower than expected or do not occur as quickly as anticipated;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competitive pressures among financial services companies increase significantly;</w:t>
      </w:r>
    </w:p>
    <w:p>
      <w:pPr>
        <w:spacing w:after="0" w:line="130" w:lineRule="exact"/>
        <w:rPr>
          <w:rFonts w:ascii="Times New Roman" w:cs="Times New Roman" w:eastAsia="Times New Roman" w:hAnsi="Times New Roman"/>
          <w:sz w:val="18"/>
          <w:szCs w:val="18"/>
          <w:b w:val="1"/>
          <w:bCs w:val="1"/>
          <w:color w:val="auto"/>
        </w:rPr>
      </w:pPr>
    </w:p>
    <w:p>
      <w:pPr>
        <w:ind w:left="660" w:right="240" w:hanging="436"/>
        <w:spacing w:after="0" w:line="28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strength of the United States economy in general and/or the strength of the local economies of the states in which United conducts operations changes;</w:t>
      </w:r>
    </w:p>
    <w:p>
      <w:pPr>
        <w:spacing w:after="0" w:line="67"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 monetary and fiscal policies and laws, including interest rate policies of the Board of Governors of the Federal Reserve System, change;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 or market conditions fluctuate;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conditions in the stock market, the public debt market and other capital markets deteriorate;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services laws and regulations change;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technology changes and United fails to adapt to those changes;</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consumer spending and saving habits change;</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unanticipated regulatory or judicial proceedings occur; and</w:t>
      </w:r>
    </w:p>
    <w:p>
      <w:pPr>
        <w:spacing w:after="0" w:line="130" w:lineRule="exact"/>
        <w:rPr>
          <w:rFonts w:ascii="Times New Roman" w:cs="Times New Roman" w:eastAsia="Times New Roman" w:hAnsi="Times New Roman"/>
          <w:sz w:val="18"/>
          <w:szCs w:val="18"/>
          <w:b w:val="1"/>
          <w:bCs w:val="1"/>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is unsuccessful at managing the risks involved in the foregoing.</w:t>
      </w:r>
    </w:p>
    <w:p>
      <w:pPr>
        <w:spacing w:after="0" w:line="117" w:lineRule="exact"/>
        <w:rPr>
          <w:sz w:val="20"/>
          <w:szCs w:val="20"/>
          <w:color w:val="auto"/>
        </w:rPr>
      </w:pPr>
    </w:p>
    <w:p>
      <w:pPr>
        <w:ind w:right="240" w:firstLine="215"/>
        <w:spacing w:after="0" w:line="261" w:lineRule="auto"/>
        <w:rPr>
          <w:sz w:val="20"/>
          <w:szCs w:val="20"/>
          <w:color w:val="auto"/>
        </w:rPr>
      </w:pPr>
      <w:r>
        <w:rPr>
          <w:rFonts w:ascii="Times New Roman" w:cs="Times New Roman" w:eastAsia="Times New Roman" w:hAnsi="Times New Roman"/>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firstLine="222"/>
        <w:spacing w:after="0" w:line="282" w:lineRule="auto"/>
        <w:rPr>
          <w:sz w:val="20"/>
          <w:szCs w:val="20"/>
          <w:color w:val="auto"/>
        </w:rPr>
      </w:pPr>
      <w:r>
        <w:rPr>
          <w:rFonts w:ascii="Times New Roman" w:cs="Times New Roman" w:eastAsia="Times New Roman" w:hAnsi="Times New Roman"/>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54" w:lineRule="exact"/>
        <w:rPr>
          <w:sz w:val="20"/>
          <w:szCs w:val="20"/>
          <w:color w:val="auto"/>
        </w:rPr>
      </w:pPr>
    </w:p>
    <w:p>
      <w:pPr>
        <w:jc w:val="both"/>
        <w:ind w:firstLine="225"/>
        <w:spacing w:after="0" w:line="266" w:lineRule="auto"/>
        <w:rPr>
          <w:sz w:val="20"/>
          <w:szCs w:val="20"/>
          <w:color w:val="auto"/>
        </w:rPr>
      </w:pPr>
      <w:r>
        <w:rPr>
          <w:rFonts w:ascii="Times New Roman" w:cs="Times New Roman" w:eastAsia="Times New Roman" w:hAnsi="Times New Roman"/>
          <w:sz w:val="18"/>
          <w:szCs w:val="18"/>
          <w:color w:val="auto"/>
        </w:rPr>
        <w:t>United is a bank holding company registered with the Federal Reserve under the Bank Holding Company Act of 1956 that was incorporated under the laws of the state of Georgia in 1987 and commenced operations in 1988. At September 30, 2007, United had total consolidated assets of $8.2 billion, total loans of $6.0 billion, total deposits of $6.2 billion and stockholders’ equity of $833.8 million.</w:t>
      </w:r>
    </w:p>
    <w:p>
      <w:pPr>
        <w:spacing w:after="0" w:line="68"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United’s activities are primarily conducted by its wholly owned Georgia and North Carolina banking subsidiaries (which are collectively referred to as the “Banks” in this discussion) and Brintech, Inc., a consulting firm providing professional services to the financial services industry.</w:t>
      </w:r>
    </w:p>
    <w:p>
      <w:pPr>
        <w:spacing w:after="0" w:line="54" w:lineRule="exact"/>
        <w:rPr>
          <w:sz w:val="20"/>
          <w:szCs w:val="20"/>
          <w:color w:val="auto"/>
        </w:rPr>
      </w:pPr>
    </w:p>
    <w:p>
      <w:pPr>
        <w:ind w:right="60" w:firstLine="225"/>
        <w:spacing w:after="0" w:line="261" w:lineRule="auto"/>
        <w:rPr>
          <w:sz w:val="20"/>
          <w:szCs w:val="20"/>
          <w:color w:val="auto"/>
        </w:rPr>
      </w:pPr>
      <w:r>
        <w:rPr>
          <w:rFonts w:ascii="Times New Roman" w:cs="Times New Roman" w:eastAsia="Times New Roman" w:hAnsi="Times New Roman"/>
          <w:sz w:val="18"/>
          <w:szCs w:val="18"/>
          <w:color w:val="auto"/>
        </w:rPr>
        <w:t>Net income was $22.5 million for the quarter ended September 30, 2007, which is an increase of 29% from the $17.4 million earned during the quarter ended September 30, 2006. Diluted earnings per common share increased 10% to $.46 for the quarter, compared to $.42 for the third quarter 2006. Return on tangible equity for the third quarter of 2007 was 17.54%, compared to 17.29% for the third quarter of 2006. Return on assets for the third quarter of 2007 was 1.11% as compared to 1.09% for the third quarter of 2006.</w:t>
      </w:r>
    </w:p>
    <w:p>
      <w:pPr>
        <w:spacing w:after="0" w:line="72"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color w:val="auto"/>
        </w:rPr>
        <w:t>Reported earnings of $53.8 million for the nine months ended September 30, 2007 included a special $15.0 million provision for fraud related loan losses involving two halted real estate developments near Spruce Pine, North Carolina. The after-tax impact of this provision was $9.2 million, or $.20 per diluted share. Because management believes these losses are an isolated and non-recurring event we will highlight operating earnings information, which excludes the special provision, to provide a better understanding of our ongoing earnings and credit trends.</w:t>
      </w:r>
    </w:p>
    <w:p>
      <w:pPr>
        <w:spacing w:after="0" w:line="72" w:lineRule="exact"/>
        <w:rPr>
          <w:sz w:val="20"/>
          <w:szCs w:val="20"/>
          <w:color w:val="auto"/>
        </w:rPr>
      </w:pPr>
    </w:p>
    <w:p>
      <w:pPr>
        <w:ind w:right="60" w:firstLine="225"/>
        <w:spacing w:after="0" w:line="261" w:lineRule="auto"/>
        <w:rPr>
          <w:sz w:val="20"/>
          <w:szCs w:val="20"/>
          <w:color w:val="auto"/>
        </w:rPr>
      </w:pPr>
      <w:r>
        <w:rPr>
          <w:rFonts w:ascii="Times New Roman" w:cs="Times New Roman" w:eastAsia="Times New Roman" w:hAnsi="Times New Roman"/>
          <w:sz w:val="18"/>
          <w:szCs w:val="18"/>
          <w:color w:val="auto"/>
        </w:rPr>
        <w:t>For the first nine months of 2007, net operating income was $63.0 million compared to $50.4 million for the same period in 2006, an increase of 25%. Diluted operating earnings per share was $1.36 for the nine months ended September 30, 2007, compared with $1.22 for 2006, an increase of 11%. Operating return on tangible equity for the first nine months of 2007 was 17.42% compared to 17.54% for 2006. Operating return on assets for the nine months of 2007 was 1.11% compared to 1.09% for 2006.</w:t>
      </w:r>
    </w:p>
    <w:p>
      <w:pPr>
        <w:spacing w:after="0" w:line="72"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Operating earnings were driven by strong revenue growth over the past twelve months. During the first nine months of 2007, United saw a slow-down in loan growth, caused primarily by a lack of demand for new construction loans and loans for acquisition and development projects. Also during 2007, competitive pressures drove pricing on certificates of deposit above rates for similar structured wholesale borrowings leading to a shift in funding toward lower priced wholesale borrowed funds.</w:t>
      </w:r>
    </w:p>
    <w:p>
      <w:pPr>
        <w:spacing w:after="0" w:line="72" w:lineRule="exact"/>
        <w:rPr>
          <w:sz w:val="20"/>
          <w:szCs w:val="20"/>
          <w:color w:val="auto"/>
        </w:rPr>
      </w:pPr>
    </w:p>
    <w:p>
      <w:pPr>
        <w:ind w:right="80" w:firstLine="225"/>
        <w:spacing w:after="0" w:line="255" w:lineRule="auto"/>
        <w:rPr>
          <w:sz w:val="20"/>
          <w:szCs w:val="20"/>
          <w:color w:val="auto"/>
        </w:rPr>
      </w:pPr>
      <w:r>
        <w:rPr>
          <w:rFonts w:ascii="Times New Roman" w:cs="Times New Roman" w:eastAsia="Times New Roman" w:hAnsi="Times New Roman"/>
          <w:sz w:val="18"/>
          <w:szCs w:val="18"/>
          <w:color w:val="auto"/>
        </w:rPr>
        <w:t>Both net charge offs and nonperforming assets increased from a year ago and last quarter reflecting the current cycle in the housing market. Net charge offs as a percentage of average loans of 35 basis points compared with 15 basis points last quarter and 11 basis points a year ago. Nonperforming assets as a percentage of total assets rose to 77 basis points from 14 basis points a year ago and 54 basis points at the end of the second quarter. Included in nonperforming assets are $23.6 million in loans in the halted real estate developments near Spruce Pine, North Carolina. Excluding the Spruce Pine lot loans, the ratio of nonperforming assets to total assets was 49 basis points. The level of charge-offs increased this quarter as management deliberately pursued a strategy of aggressive liquidation to move credits off our balance sheet. Management believes this is an appropriate strategy for handling nonperforming assets.</w:t>
      </w:r>
    </w:p>
    <w:p>
      <w:pPr>
        <w:spacing w:after="0" w:line="81" w:lineRule="exact"/>
        <w:rPr>
          <w:sz w:val="20"/>
          <w:szCs w:val="20"/>
          <w:color w:val="auto"/>
        </w:rPr>
      </w:pPr>
    </w:p>
    <w:p>
      <w:pPr>
        <w:ind w:right="440" w:firstLine="225"/>
        <w:spacing w:after="0" w:line="261" w:lineRule="auto"/>
        <w:rPr>
          <w:sz w:val="20"/>
          <w:szCs w:val="20"/>
          <w:color w:val="auto"/>
        </w:rPr>
      </w:pPr>
      <w:r>
        <w:rPr>
          <w:rFonts w:ascii="Times New Roman" w:cs="Times New Roman" w:eastAsia="Times New Roman" w:hAnsi="Times New Roman"/>
          <w:sz w:val="18"/>
          <w:szCs w:val="18"/>
          <w:color w:val="auto"/>
        </w:rPr>
        <w:t>Fee revenue rose 29% reflecting increases in every category compared to the third quarter of 2006. For the first nine months of 2007, fee revenue increased 30% compared with 2006. Operating expenses were up 16% from the third quarter of 2006 and up 18% for the first nine months of 2007 as compared with the same periods a year ago. The increase in operating expenses reflects the added operating expenses of recently acquired banks and the significant de novo expansion activity over the last 18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80" w:firstLine="222"/>
        <w:spacing w:after="0" w:line="256" w:lineRule="auto"/>
        <w:rPr>
          <w:sz w:val="20"/>
          <w:szCs w:val="20"/>
          <w:color w:val="auto"/>
        </w:rPr>
      </w:pPr>
      <w:r>
        <w:rPr>
          <w:rFonts w:ascii="Times New Roman" w:cs="Times New Roman" w:eastAsia="Times New Roman" w:hAnsi="Times New Roman"/>
          <w:sz w:val="18"/>
          <w:szCs w:val="18"/>
          <w:color w:val="auto"/>
        </w:rPr>
        <w:t>The accounting and reporting policies of United Community Banks and its subsidiaries are in accordance with accounting principles generally accepted in the United States and conform to general practices within the banking industry. The more critical accounting and reporting policies include United’s accounting for the allowance for loan losses. In particular, United’s accounting policies relating to the allowance for loan losses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121"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The presentation of United’s financial results herein highlight net operating income, which is a measure of performance determined by methods other than accounting principles generally accepted in the United States of America, or GAAP. Management included non-GAAP net operating income because it believes it is useful for evaluating United’s operations and performance over periods of time, and uses net operating income in managing and evaluating United’s business and intends to use it in discussions about United’s operations and performance.</w:t>
      </w:r>
    </w:p>
    <w:p>
      <w:pPr>
        <w:spacing w:after="0" w:line="72" w:lineRule="exact"/>
        <w:rPr>
          <w:sz w:val="20"/>
          <w:szCs w:val="20"/>
          <w:color w:val="auto"/>
        </w:rPr>
      </w:pPr>
    </w:p>
    <w:p>
      <w:pPr>
        <w:ind w:right="60" w:firstLine="225"/>
        <w:spacing w:after="0" w:line="281" w:lineRule="auto"/>
        <w:rPr>
          <w:sz w:val="20"/>
          <w:szCs w:val="20"/>
          <w:color w:val="auto"/>
        </w:rPr>
      </w:pPr>
      <w:r>
        <w:rPr>
          <w:rFonts w:ascii="Times New Roman" w:cs="Times New Roman" w:eastAsia="Times New Roman" w:hAnsi="Times New Roman"/>
          <w:sz w:val="17"/>
          <w:szCs w:val="17"/>
          <w:color w:val="auto"/>
        </w:rPr>
        <w:t>Net operating income excludes the pre-tax effect of the special $15 million fraud related provision for loan losses recorded in the second quarter of 2007 involving lot loans near Spruce Pine, North Carolina because management believes that the circumstances leading to the special provision were isolated, non-recurring events and do not reflect overall trends in United’s earnings. Management believes this non-GAAP net operating income provides users of United’s financial information with a meaningful measure for assessing United’s financial results and credit trends and comparing financial results to prior periods.</w:t>
      </w:r>
    </w:p>
    <w:p>
      <w:pPr>
        <w:spacing w:after="0" w:line="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reconciliation of operating earnings measures to reported earnings measures using GAAP is presented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 Operating Earnings to GAAP Earnings Reconciliation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2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provision for fraud related loan losses</w:t>
            </w:r>
          </w:p>
        </w:tc>
        <w:tc>
          <w:tcPr>
            <w:tcW w:w="4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 of special provision</w:t>
            </w:r>
          </w:p>
        </w:tc>
        <w:tc>
          <w:tcPr>
            <w:tcW w:w="4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After-tax effect of special provision</w:t>
            </w:r>
          </w:p>
        </w:tc>
        <w:tc>
          <w:tcPr>
            <w:tcW w:w="4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9,165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Reconciliation</w:t>
            </w: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vMerge w:val="continue"/>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net income</w:t>
            </w:r>
          </w:p>
        </w:tc>
        <w:tc>
          <w:tcPr>
            <w:tcW w:w="4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21,076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62,957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After-tax effect of special provision</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(9,165)</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(9,165)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(GAAP)</w:t>
            </w:r>
          </w:p>
        </w:tc>
        <w:tc>
          <w:tcPr>
            <w:tcW w:w="4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11,911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53,792</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Reconciliation</w:t>
            </w: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vMerge w:val="continue"/>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operating earnings per share</w:t>
            </w:r>
          </w:p>
        </w:tc>
        <w:tc>
          <w:tcPr>
            <w:tcW w:w="4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Per share effect of special provision</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earnings per share (GAAP)</w:t>
            </w:r>
          </w:p>
        </w:tc>
        <w:tc>
          <w:tcPr>
            <w:tcW w:w="4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Reconciliation</w:t>
            </w: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vMerge w:val="continue"/>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operating earnings per share</w:t>
            </w:r>
          </w:p>
        </w:tc>
        <w:tc>
          <w:tcPr>
            <w:tcW w:w="4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Per share effect of special provision</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earnings per share (GAAP)</w:t>
            </w:r>
          </w:p>
        </w:tc>
        <w:tc>
          <w:tcPr>
            <w:tcW w:w="4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30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 Financial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2007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2006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Third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Quarter</w:t>
            </w:r>
          </w:p>
        </w:tc>
        <w:tc>
          <w:tcPr>
            <w:tcW w:w="80" w:type="dxa"/>
            <w:vAlign w:val="bottom"/>
          </w:tcPr>
          <w:p>
            <w:pPr>
              <w:spacing w:after="0"/>
              <w:rPr>
                <w:sz w:val="12"/>
                <w:szCs w:val="12"/>
                <w:color w:val="auto"/>
              </w:rPr>
            </w:pPr>
          </w:p>
        </w:tc>
        <w:tc>
          <w:tcPr>
            <w:tcW w:w="1700" w:type="dxa"/>
            <w:vAlign w:val="bottom"/>
            <w:gridSpan w:val="5"/>
          </w:tcPr>
          <w:p>
            <w:pPr>
              <w:jc w:val="right"/>
              <w:ind w:right="620"/>
              <w:spacing w:after="0" w:line="142" w:lineRule="exact"/>
              <w:rPr>
                <w:sz w:val="20"/>
                <w:szCs w:val="20"/>
                <w:color w:val="auto"/>
              </w:rPr>
            </w:pPr>
            <w:r>
              <w:rPr>
                <w:rFonts w:ascii="Times New Roman" w:cs="Times New Roman" w:eastAsia="Times New Roman" w:hAnsi="Times New Roman"/>
                <w:sz w:val="13"/>
                <w:szCs w:val="13"/>
                <w:b w:val="1"/>
                <w:bCs w:val="1"/>
                <w:color w:val="auto"/>
              </w:rPr>
              <w:t>For the Nine</w:t>
            </w:r>
          </w:p>
        </w:tc>
        <w:tc>
          <w:tcPr>
            <w:tcW w:w="320" w:type="dxa"/>
            <w:vAlign w:val="bottom"/>
          </w:tcPr>
          <w:p>
            <w:pPr>
              <w:spacing w:after="0"/>
              <w:rPr>
                <w:sz w:val="12"/>
                <w:szCs w:val="12"/>
                <w:color w:val="auto"/>
              </w:rPr>
            </w:pPr>
          </w:p>
        </w:tc>
        <w:tc>
          <w:tcPr>
            <w:tcW w:w="6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YTD</w:t>
            </w:r>
          </w:p>
        </w:tc>
        <w:tc>
          <w:tcPr>
            <w:tcW w:w="0" w:type="dxa"/>
            <w:vAlign w:val="bottom"/>
          </w:tcPr>
          <w:p>
            <w:pPr>
              <w:spacing w:after="0"/>
              <w:rPr>
                <w:sz w:val="1"/>
                <w:szCs w:val="1"/>
                <w:color w:val="auto"/>
              </w:rPr>
            </w:pPr>
          </w:p>
        </w:tc>
      </w:tr>
      <w:tr>
        <w:trPr>
          <w:trHeight w:val="129"/>
        </w:trPr>
        <w:tc>
          <w:tcPr>
            <w:tcW w:w="24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i w:val="1"/>
                <w:iCs w:val="1"/>
                <w:color w:val="auto"/>
              </w:rPr>
              <w:t>(in thousands, except per share</w:t>
            </w:r>
          </w:p>
        </w:tc>
        <w:tc>
          <w:tcPr>
            <w:tcW w:w="80" w:type="dxa"/>
            <w:vAlign w:val="bottom"/>
          </w:tcPr>
          <w:p>
            <w:pPr>
              <w:spacing w:after="0"/>
              <w:rPr>
                <w:sz w:val="11"/>
                <w:szCs w:val="11"/>
                <w:color w:val="auto"/>
              </w:rPr>
            </w:pPr>
          </w:p>
        </w:tc>
        <w:tc>
          <w:tcPr>
            <w:tcW w:w="80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Third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Second</w:t>
            </w:r>
          </w:p>
        </w:tc>
        <w:tc>
          <w:tcPr>
            <w:tcW w:w="80" w:type="dxa"/>
            <w:vAlign w:val="bottom"/>
          </w:tcPr>
          <w:p>
            <w:pPr>
              <w:spacing w:after="0"/>
              <w:rPr>
                <w:sz w:val="11"/>
                <w:szCs w:val="11"/>
                <w:color w:val="auto"/>
              </w:rPr>
            </w:pPr>
          </w:p>
        </w:tc>
        <w:tc>
          <w:tcPr>
            <w:tcW w:w="540" w:type="dxa"/>
            <w:vAlign w:val="bottom"/>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First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3"/>
                <w:szCs w:val="13"/>
                <w:b w:val="1"/>
                <w:bCs w:val="1"/>
                <w:color w:val="auto"/>
              </w:rPr>
              <w:t>Fourth</w:t>
            </w:r>
          </w:p>
        </w:tc>
        <w:tc>
          <w:tcPr>
            <w:tcW w:w="120" w:type="dxa"/>
            <w:vAlign w:val="bottom"/>
          </w:tcPr>
          <w:p>
            <w:pPr>
              <w:spacing w:after="0"/>
              <w:rPr>
                <w:sz w:val="11"/>
                <w:szCs w:val="11"/>
                <w:color w:val="auto"/>
              </w:rPr>
            </w:pPr>
          </w:p>
        </w:tc>
        <w:tc>
          <w:tcPr>
            <w:tcW w:w="56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Third</w:t>
            </w:r>
          </w:p>
        </w:tc>
        <w:tc>
          <w:tcPr>
            <w:tcW w:w="100" w:type="dxa"/>
            <w:vAlign w:val="bottom"/>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2007-2006</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5"/>
          </w:tcPr>
          <w:p>
            <w:pPr>
              <w:jc w:val="right"/>
              <w:ind w:right="560"/>
              <w:spacing w:after="0" w:line="129" w:lineRule="exact"/>
              <w:rPr>
                <w:sz w:val="20"/>
                <w:szCs w:val="20"/>
                <w:color w:val="auto"/>
              </w:rPr>
            </w:pPr>
            <w:r>
              <w:rPr>
                <w:rFonts w:ascii="Times New Roman" w:cs="Times New Roman" w:eastAsia="Times New Roman" w:hAnsi="Times New Roman"/>
                <w:sz w:val="13"/>
                <w:szCs w:val="13"/>
                <w:b w:val="1"/>
                <w:bCs w:val="1"/>
                <w:color w:val="auto"/>
              </w:rPr>
              <w:t>Months Ended</w:t>
            </w:r>
          </w:p>
        </w:tc>
        <w:tc>
          <w:tcPr>
            <w:tcW w:w="8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2007-2006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i w:val="1"/>
                <w:iCs w:val="1"/>
                <w:color w:val="auto"/>
              </w:rPr>
              <w:t>data; taxable equivalent)</w:t>
            </w:r>
          </w:p>
        </w:tc>
        <w:tc>
          <w:tcPr>
            <w:tcW w:w="80" w:type="dxa"/>
            <w:vAlign w:val="bottom"/>
          </w:tcPr>
          <w:p>
            <w:pPr>
              <w:spacing w:after="0"/>
              <w:rPr>
                <w:sz w:val="11"/>
                <w:szCs w:val="11"/>
                <w:color w:val="auto"/>
              </w:rPr>
            </w:pPr>
          </w:p>
        </w:tc>
        <w:tc>
          <w:tcPr>
            <w:tcW w:w="80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Quarter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3"/>
                <w:szCs w:val="13"/>
                <w:b w:val="1"/>
                <w:bCs w:val="1"/>
                <w:color w:val="auto"/>
              </w:rPr>
              <w:t>Quarter</w:t>
            </w:r>
          </w:p>
        </w:tc>
        <w:tc>
          <w:tcPr>
            <w:tcW w:w="8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2"/>
              </w:rPr>
              <w:t>Quarter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480"/>
              <w:spacing w:after="0" w:line="129" w:lineRule="exact"/>
              <w:rPr>
                <w:sz w:val="20"/>
                <w:szCs w:val="20"/>
                <w:color w:val="auto"/>
              </w:rPr>
            </w:pPr>
            <w:r>
              <w:rPr>
                <w:rFonts w:ascii="Times New Roman" w:cs="Times New Roman" w:eastAsia="Times New Roman" w:hAnsi="Times New Roman"/>
                <w:sz w:val="13"/>
                <w:szCs w:val="13"/>
                <w:b w:val="1"/>
                <w:bCs w:val="1"/>
                <w:color w:val="auto"/>
                <w:w w:val="92"/>
              </w:rPr>
              <w:t>Quarter</w:t>
            </w:r>
          </w:p>
        </w:tc>
        <w:tc>
          <w:tcPr>
            <w:tcW w:w="120" w:type="dxa"/>
            <w:vAlign w:val="bottom"/>
          </w:tcPr>
          <w:p>
            <w:pPr>
              <w:spacing w:after="0"/>
              <w:rPr>
                <w:sz w:val="11"/>
                <w:szCs w:val="11"/>
                <w:color w:val="auto"/>
              </w:rPr>
            </w:pPr>
          </w:p>
        </w:tc>
        <w:tc>
          <w:tcPr>
            <w:tcW w:w="66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Quarter</w:t>
            </w:r>
          </w:p>
        </w:tc>
        <w:tc>
          <w:tcPr>
            <w:tcW w:w="320" w:type="dxa"/>
            <w:vAlign w:val="bottom"/>
          </w:tcPr>
          <w:p>
            <w:pPr>
              <w:spacing w:after="0"/>
              <w:rPr>
                <w:sz w:val="11"/>
                <w:szCs w:val="11"/>
                <w:color w:val="auto"/>
              </w:rPr>
            </w:pPr>
          </w:p>
        </w:tc>
        <w:tc>
          <w:tcPr>
            <w:tcW w:w="100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3"/>
                <w:szCs w:val="13"/>
                <w:b w:val="1"/>
                <w:bCs w:val="1"/>
                <w:color w:val="auto"/>
                <w:w w:val="93"/>
              </w:rPr>
              <w:t>Change</w:t>
            </w: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2007</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2006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INCOME SUMMARY</w:t>
            </w: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right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144,884</w:t>
            </w:r>
          </w:p>
        </w:tc>
        <w:tc>
          <w:tcPr>
            <w:tcW w:w="260" w:type="dxa"/>
            <w:vAlign w:val="bottom"/>
          </w:tcPr>
          <w:p>
            <w:pPr>
              <w:spacing w:after="0"/>
              <w:rPr>
                <w:sz w:val="11"/>
                <w:szCs w:val="11"/>
                <w:color w:val="auto"/>
              </w:rPr>
            </w:pPr>
          </w:p>
        </w:tc>
        <w:tc>
          <w:tcPr>
            <w:tcW w:w="2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136,237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129,028</w:t>
            </w:r>
          </w:p>
        </w:tc>
        <w:tc>
          <w:tcPr>
            <w:tcW w:w="260" w:type="dxa"/>
            <w:vAlign w:val="bottom"/>
          </w:tcPr>
          <w:p>
            <w:pPr>
              <w:spacing w:after="0"/>
              <w:rPr>
                <w:sz w:val="11"/>
                <w:szCs w:val="11"/>
                <w:color w:val="auto"/>
              </w:rPr>
            </w:pPr>
          </w:p>
        </w:tc>
        <w:tc>
          <w:tcPr>
            <w:tcW w:w="2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123,463</w:t>
            </w: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116,304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410,150</w:t>
            </w:r>
          </w:p>
        </w:tc>
        <w:tc>
          <w:tcPr>
            <w:tcW w:w="4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323,232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73,203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68,270</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63,923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60,912</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55,431</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205,396</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147,903</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auto"/>
              </w:rPr>
              <w:t>Net interest revenue</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71,681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67,967</w:t>
            </w: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65,105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62,551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60,873</w:t>
            </w:r>
          </w:p>
        </w:tc>
        <w:tc>
          <w:tcPr>
            <w:tcW w:w="100" w:type="dxa"/>
            <w:vAlign w:val="bottom"/>
          </w:tcPr>
          <w:p>
            <w:pPr>
              <w:spacing w:after="0"/>
              <w:rPr>
                <w:sz w:val="12"/>
                <w:szCs w:val="12"/>
                <w:color w:val="auto"/>
              </w:rPr>
            </w:pPr>
          </w:p>
        </w:tc>
        <w:tc>
          <w:tcPr>
            <w:tcW w:w="1320" w:type="dxa"/>
            <w:vAlign w:val="bottom"/>
            <w:gridSpan w:val="3"/>
          </w:tcPr>
          <w:p>
            <w:pPr>
              <w:jc w:val="right"/>
              <w:ind w:right="340"/>
              <w:spacing w:after="0" w:line="143"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204,754</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175,329</w:t>
            </w:r>
          </w:p>
        </w:tc>
        <w:tc>
          <w:tcPr>
            <w:tcW w:w="120" w:type="dxa"/>
            <w:vAlign w:val="bottom"/>
          </w:tcPr>
          <w:p>
            <w:pPr>
              <w:spacing w:after="0"/>
              <w:rPr>
                <w:sz w:val="12"/>
                <w:szCs w:val="12"/>
                <w:color w:val="auto"/>
              </w:rPr>
            </w:pPr>
          </w:p>
        </w:tc>
        <w:tc>
          <w:tcPr>
            <w:tcW w:w="9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 xml:space="preserve">Provision for loan losses </w:t>
            </w: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3,700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3,700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3,700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3,700</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3,700</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11,100</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10,900</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Fee revenue</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15,615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16,554</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14,382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13,215</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12,146</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46,551</w:t>
            </w: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35,880</w:t>
            </w:r>
          </w:p>
        </w:tc>
        <w:tc>
          <w:tcPr>
            <w:tcW w:w="9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revenue</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83,596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80,821</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75,787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72,066</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69,319</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240,205</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200,309</w:t>
            </w: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Operating expenses</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48,182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47,702</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44,841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42,521</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41,441</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140,725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119,549</w:t>
            </w:r>
          </w:p>
        </w:tc>
        <w:tc>
          <w:tcPr>
            <w:tcW w:w="120" w:type="dxa"/>
            <w:vAlign w:val="bottom"/>
          </w:tcPr>
          <w:p>
            <w:pPr>
              <w:spacing w:after="0"/>
              <w:rPr>
                <w:sz w:val="11"/>
                <w:szCs w:val="11"/>
                <w:color w:val="auto"/>
              </w:rPr>
            </w:pPr>
          </w:p>
        </w:tc>
        <w:tc>
          <w:tcPr>
            <w:tcW w:w="9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Income before taxes</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35,414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33,119</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30,946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29,545</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27,878</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99,480</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80,760</w:t>
            </w: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12,878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12,043</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11,601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11,111</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10,465</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36,523</w:t>
            </w: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30,379</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Net operating income</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22,536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21,076</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19,345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18,434</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17,413</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62,957</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50,381</w:t>
            </w: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 xml:space="preserve">Fraud loss provision, net of tax </w:t>
            </w: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9,165</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9,165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22,536</w:t>
            </w:r>
          </w:p>
        </w:tc>
        <w:tc>
          <w:tcPr>
            <w:tcW w:w="2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11,911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19,345</w:t>
            </w:r>
          </w:p>
        </w:tc>
        <w:tc>
          <w:tcPr>
            <w:tcW w:w="2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18,434</w:t>
            </w:r>
          </w:p>
        </w:tc>
        <w:tc>
          <w:tcPr>
            <w:tcW w:w="1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17,413</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53,792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50,381</w:t>
            </w: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OPERATING PERFORMANCE </w:t>
            </w:r>
            <w:r>
              <w:rPr>
                <w:rFonts w:ascii="Times New Roman" w:cs="Times New Roman" w:eastAsia="Times New Roman" w:hAnsi="Times New Roman"/>
                <w:sz w:val="10"/>
                <w:szCs w:val="10"/>
                <w:b w:val="1"/>
                <w:bCs w:val="1"/>
                <w:color w:val="auto"/>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Earnings per common share:</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260" w:type="dxa"/>
            <w:vAlign w:val="bottom"/>
          </w:tcPr>
          <w:p>
            <w:pPr>
              <w:spacing w:after="0"/>
              <w:rPr>
                <w:sz w:val="11"/>
                <w:szCs w:val="11"/>
                <w:color w:val="auto"/>
              </w:rPr>
            </w:pPr>
          </w:p>
        </w:tc>
        <w:tc>
          <w:tcPr>
            <w:tcW w:w="2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260" w:type="dxa"/>
            <w:vAlign w:val="bottom"/>
          </w:tcPr>
          <w:p>
            <w:pPr>
              <w:spacing w:after="0"/>
              <w:rPr>
                <w:sz w:val="11"/>
                <w:szCs w:val="11"/>
                <w:color w:val="auto"/>
              </w:rPr>
            </w:pPr>
          </w:p>
        </w:tc>
        <w:tc>
          <w:tcPr>
            <w:tcW w:w="2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320" w:type="dxa"/>
            <w:vAlign w:val="bottom"/>
            <w:gridSpan w:val="3"/>
          </w:tcPr>
          <w:p>
            <w:pPr>
              <w:jc w:val="right"/>
              <w:ind w:right="44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9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Diluted</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 xml:space="preserve">Return on tangible equity </w:t>
            </w:r>
            <w:r>
              <w:rPr>
                <w:rFonts w:ascii="Times New Roman" w:cs="Times New Roman" w:eastAsia="Times New Roman" w:hAnsi="Times New Roman"/>
                <w:sz w:val="10"/>
                <w:szCs w:val="10"/>
                <w:color w:val="auto"/>
              </w:rPr>
              <w:t>(2)(3)(4)</w:t>
            </w: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17.54%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17.52%</w:t>
            </w: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17.18%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17.49%</w:t>
            </w:r>
          </w:p>
        </w:tc>
        <w:tc>
          <w:tcPr>
            <w:tcW w:w="12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17.29%</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17.42%</w:t>
            </w:r>
          </w:p>
        </w:tc>
        <w:tc>
          <w:tcPr>
            <w:tcW w:w="10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17.54%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 xml:space="preserve">Return on assets </w:t>
            </w: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Dividend payout ratio</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19.15</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17.78</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18.60</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19.57</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20" w:type="dxa"/>
            <w:vAlign w:val="bottom"/>
            <w:shd w:val="clear" w:color="auto" w:fill="CCEEFF"/>
          </w:tcPr>
          <w:p>
            <w:pPr>
              <w:ind w:left="200"/>
              <w:spacing w:after="0" w:line="115" w:lineRule="exact"/>
              <w:rPr>
                <w:sz w:val="20"/>
                <w:szCs w:val="20"/>
                <w:color w:val="auto"/>
              </w:rPr>
            </w:pPr>
            <w:r>
              <w:rPr>
                <w:rFonts w:ascii="Times New Roman" w:cs="Times New Roman" w:eastAsia="Times New Roman" w:hAnsi="Times New Roman"/>
                <w:sz w:val="13"/>
                <w:szCs w:val="13"/>
                <w:b w:val="1"/>
                <w:bCs w:val="1"/>
                <w:color w:val="auto"/>
              </w:rPr>
              <w:t>GAAP PERFORMANCE</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MEASURES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Per common share: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Basic earnings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2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2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320" w:type="dxa"/>
            <w:vAlign w:val="bottom"/>
            <w:gridSpan w:val="3"/>
            <w:shd w:val="clear" w:color="auto" w:fill="CCEEFF"/>
          </w:tcPr>
          <w:p>
            <w:pPr>
              <w:jc w:val="right"/>
              <w:ind w:right="44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98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Diluted earnings</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9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Cash dividends declared</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Book value</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16.98</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14.83</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14.37</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13.07</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17.53</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13.07</w:t>
            </w:r>
          </w:p>
        </w:tc>
        <w:tc>
          <w:tcPr>
            <w:tcW w:w="120" w:type="dxa"/>
            <w:vAlign w:val="bottom"/>
          </w:tcPr>
          <w:p>
            <w:pPr>
              <w:spacing w:after="0"/>
              <w:rPr>
                <w:sz w:val="11"/>
                <w:szCs w:val="11"/>
                <w:color w:val="auto"/>
              </w:rPr>
            </w:pPr>
          </w:p>
        </w:tc>
        <w:tc>
          <w:tcPr>
            <w:tcW w:w="9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 xml:space="preserve">Tangible book value </w:t>
            </w: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10.44</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11.06</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10.57</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10.16</w:t>
            </w:r>
          </w:p>
        </w:tc>
        <w:tc>
          <w:tcPr>
            <w:tcW w:w="1320" w:type="dxa"/>
            <w:vAlign w:val="bottom"/>
            <w:gridSpan w:val="3"/>
            <w:shd w:val="clear" w:color="auto" w:fill="CCEEFF"/>
          </w:tcPr>
          <w:p>
            <w:pPr>
              <w:jc w:val="right"/>
              <w:ind w:right="44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10.16</w:t>
            </w: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Key performance ratios:</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 xml:space="preserve">Return on equity </w:t>
            </w:r>
            <w:r>
              <w:rPr>
                <w:rFonts w:ascii="Times New Roman" w:cs="Times New Roman" w:eastAsia="Times New Roman" w:hAnsi="Times New Roman"/>
                <w:sz w:val="10"/>
                <w:szCs w:val="10"/>
                <w:color w:val="auto"/>
              </w:rPr>
              <w:t>(2)(4)</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10.66</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7.05</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13.26</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13.22</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10.04</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13.29</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 xml:space="preserve">Return on assets </w:t>
            </w:r>
            <w:r>
              <w:rPr>
                <w:rFonts w:ascii="Times New Roman" w:cs="Times New Roman" w:eastAsia="Times New Roman" w:hAnsi="Times New Roman"/>
                <w:sz w:val="10"/>
                <w:szCs w:val="10"/>
                <w:color w:val="auto"/>
              </w:rPr>
              <w:t>(4)</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3.89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3.94</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3.99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3.99</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4.07</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3.94</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4.07</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Efficiency ratio</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55.34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56.59</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56.56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55.93</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56.19</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56.14</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56.33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Dividend payout ratio</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19.15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34.62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17.78</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18.60</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22.88</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19.20</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Equity to assets</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8.94</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8.80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8.21</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8.04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9.39</w:t>
            </w: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8.01</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 xml:space="preserve">Tangible equity to assets </w:t>
            </w: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6.65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6.65</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6.66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6.46</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6.35</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6.65</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6.27</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ASSET QUALITY </w:t>
            </w:r>
            <w:r>
              <w:rPr>
                <w:rFonts w:ascii="Times New Roman" w:cs="Times New Roman" w:eastAsia="Times New Roman" w:hAnsi="Times New Roman"/>
                <w:sz w:val="10"/>
                <w:szCs w:val="10"/>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Allowance for loan losses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90,935</w:t>
            </w:r>
          </w:p>
        </w:tc>
        <w:tc>
          <w:tcPr>
            <w:tcW w:w="2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92,471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68,804</w:t>
            </w:r>
          </w:p>
        </w:tc>
        <w:tc>
          <w:tcPr>
            <w:tcW w:w="2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66,566</w:t>
            </w:r>
          </w:p>
        </w:tc>
        <w:tc>
          <w:tcPr>
            <w:tcW w:w="1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60,901</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90,935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60,901</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Non-performing assets</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63,337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43,601</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14,290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13,654</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9,347</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63,337</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9,347</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charge-offs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5,235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2,124</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1,462</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1,930</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1,307</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8,821</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3,594</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Allowance for loan losses to loans</w:t>
            </w: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1.54%</w:t>
            </w: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Non-performing assets to total assets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 xml:space="preserve">Net charge-offs to average loans </w:t>
            </w:r>
            <w:r>
              <w:rPr>
                <w:rFonts w:ascii="Times New Roman" w:cs="Times New Roman" w:eastAsia="Times New Roman" w:hAnsi="Times New Roman"/>
                <w:sz w:val="10"/>
                <w:szCs w:val="10"/>
                <w:color w:val="auto"/>
              </w:rPr>
              <w:t>(4)</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AVERAGE BALANCES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Loans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5,966,933</w:t>
            </w:r>
          </w:p>
        </w:tc>
        <w:tc>
          <w:tcPr>
            <w:tcW w:w="260" w:type="dxa"/>
            <w:vAlign w:val="bottom"/>
          </w:tcPr>
          <w:p>
            <w:pPr>
              <w:spacing w:after="0"/>
              <w:rPr>
                <w:sz w:val="11"/>
                <w:szCs w:val="11"/>
                <w:color w:val="auto"/>
              </w:rPr>
            </w:pPr>
          </w:p>
        </w:tc>
        <w:tc>
          <w:tcPr>
            <w:tcW w:w="2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w w:val="99"/>
              </w:rPr>
              <w:t>5,619,950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5,402,860</w:t>
            </w:r>
          </w:p>
        </w:tc>
        <w:tc>
          <w:tcPr>
            <w:tcW w:w="260" w:type="dxa"/>
            <w:vAlign w:val="bottom"/>
          </w:tcPr>
          <w:p>
            <w:pPr>
              <w:spacing w:after="0"/>
              <w:rPr>
                <w:sz w:val="11"/>
                <w:szCs w:val="11"/>
                <w:color w:val="auto"/>
              </w:rPr>
            </w:pPr>
          </w:p>
        </w:tc>
        <w:tc>
          <w:tcPr>
            <w:tcW w:w="2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w w:val="99"/>
              </w:rPr>
              <w:t>5,134,721</w:t>
            </w: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4,865,886</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4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5,665,314</w:t>
            </w:r>
          </w:p>
        </w:tc>
        <w:tc>
          <w:tcPr>
            <w:tcW w:w="4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4,688,512</w:t>
            </w:r>
          </w:p>
        </w:tc>
        <w:tc>
          <w:tcPr>
            <w:tcW w:w="120" w:type="dxa"/>
            <w:vAlign w:val="bottom"/>
          </w:tcPr>
          <w:p>
            <w:pPr>
              <w:spacing w:after="0"/>
              <w:rPr>
                <w:sz w:val="11"/>
                <w:szCs w:val="11"/>
                <w:color w:val="auto"/>
              </w:rPr>
            </w:pPr>
          </w:p>
        </w:tc>
        <w:tc>
          <w:tcPr>
            <w:tcW w:w="9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Investment securities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1,308,192</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w w:val="99"/>
              </w:rPr>
              <w:t>1,242,448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1,153,208</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w w:val="99"/>
              </w:rPr>
              <w:t>1,059,125</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1,029,981</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1,235,183</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1,036,092</w:t>
            </w: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Earning assets</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7,332,492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w w:val="99"/>
              </w:rPr>
              <w:t>6,915,134</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6,599,035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w w:val="99"/>
              </w:rPr>
              <w:t>6,225,943</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5,942,710</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6,951,573</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5,760,055</w:t>
            </w:r>
          </w:p>
        </w:tc>
        <w:tc>
          <w:tcPr>
            <w:tcW w:w="120" w:type="dxa"/>
            <w:vAlign w:val="bottom"/>
          </w:tcPr>
          <w:p>
            <w:pPr>
              <w:spacing w:after="0"/>
              <w:rPr>
                <w:sz w:val="11"/>
                <w:szCs w:val="11"/>
                <w:color w:val="auto"/>
              </w:rPr>
            </w:pPr>
          </w:p>
        </w:tc>
        <w:tc>
          <w:tcPr>
            <w:tcW w:w="9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8,083,739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w w:val="99"/>
              </w:rPr>
              <w:t>7,519,392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7,092,710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w w:val="99"/>
              </w:rPr>
              <w:t>6,669,950</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6,350,205</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7,568,910</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6,158,147</w:t>
            </w: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Deposits</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6,246,319</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w w:val="99"/>
              </w:rPr>
              <w:t>5,945,633</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5,764,426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w w:val="99"/>
              </w:rPr>
              <w:t>5,517,696</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5,085,168</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5,987,225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4,848,848</w:t>
            </w:r>
          </w:p>
        </w:tc>
        <w:tc>
          <w:tcPr>
            <w:tcW w:w="120" w:type="dxa"/>
            <w:vAlign w:val="bottom"/>
          </w:tcPr>
          <w:p>
            <w:pPr>
              <w:spacing w:after="0"/>
              <w:rPr>
                <w:sz w:val="11"/>
                <w:szCs w:val="11"/>
                <w:color w:val="auto"/>
              </w:rPr>
            </w:pPr>
          </w:p>
        </w:tc>
        <w:tc>
          <w:tcPr>
            <w:tcW w:w="9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Shareholders’ equity</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834,094</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672,348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624,100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547,419</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510,791</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710,950</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493,307</w:t>
            </w: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Common shares — basic</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48,348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44,949</w:t>
            </w:r>
          </w:p>
        </w:tc>
        <w:tc>
          <w:tcPr>
            <w:tcW w:w="8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43,000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41,096</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40,223</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45,452</w:t>
            </w: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40,156</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Common shares — diluted</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48,977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45,761</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43,912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42,311</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41,460</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46,235</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41,327</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AT PERIOD END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Loans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5,952,749</w:t>
            </w:r>
          </w:p>
        </w:tc>
        <w:tc>
          <w:tcPr>
            <w:tcW w:w="2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w w:val="99"/>
              </w:rPr>
              <w:t>5,999,093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5,402,198</w:t>
            </w:r>
          </w:p>
        </w:tc>
        <w:tc>
          <w:tcPr>
            <w:tcW w:w="2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w w:val="99"/>
              </w:rPr>
              <w:t>5,376,538</w:t>
            </w:r>
          </w:p>
        </w:tc>
        <w:tc>
          <w:tcPr>
            <w:tcW w:w="1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4,965,365</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5,952,749</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4,965,365</w:t>
            </w: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Investment securities</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1,296,826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w w:val="99"/>
              </w:rPr>
              <w:t>1,213,659</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1,150,424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w w:val="99"/>
              </w:rPr>
              <w:t>1,107,153</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980,273</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1,296,826</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980,273</w:t>
            </w:r>
          </w:p>
        </w:tc>
        <w:tc>
          <w:tcPr>
            <w:tcW w:w="120" w:type="dxa"/>
            <w:vAlign w:val="bottom"/>
          </w:tcPr>
          <w:p>
            <w:pPr>
              <w:spacing w:after="0"/>
              <w:rPr>
                <w:sz w:val="11"/>
                <w:szCs w:val="11"/>
                <w:color w:val="auto"/>
              </w:rPr>
            </w:pPr>
          </w:p>
        </w:tc>
        <w:tc>
          <w:tcPr>
            <w:tcW w:w="9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8,180,600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w w:val="99"/>
              </w:rPr>
              <w:t>8,087,667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7,186,602</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w w:val="99"/>
              </w:rPr>
              <w:t>7,101,249</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6,455,290</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8,180,600</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6,455,290</w:t>
            </w: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Deposits</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6,154,308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w w:val="99"/>
              </w:rPr>
              <w:t>6,361,269</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5,841,687</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w w:val="99"/>
              </w:rPr>
              <w:t>5,772,886</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5,309,219</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6,154,308</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5,309,219</w:t>
            </w:r>
          </w:p>
        </w:tc>
        <w:tc>
          <w:tcPr>
            <w:tcW w:w="120" w:type="dxa"/>
            <w:vAlign w:val="bottom"/>
          </w:tcPr>
          <w:p>
            <w:pPr>
              <w:spacing w:after="0"/>
              <w:rPr>
                <w:sz w:val="11"/>
                <w:szCs w:val="11"/>
                <w:color w:val="auto"/>
              </w:rPr>
            </w:pPr>
          </w:p>
        </w:tc>
        <w:tc>
          <w:tcPr>
            <w:tcW w:w="9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Shareholders’ equity</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833,761</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828,731</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638,456</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616,767</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526,734</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833,761</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526,734</w:t>
            </w: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4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 shares outstanding</w:t>
            </w:r>
          </w:p>
        </w:tc>
        <w:tc>
          <w:tcPr>
            <w:tcW w:w="8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47,542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48,781</w:t>
            </w:r>
          </w:p>
        </w:tc>
        <w:tc>
          <w:tcPr>
            <w:tcW w:w="8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43,038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42,891</w:t>
            </w: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40,269</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47,542</w:t>
            </w:r>
          </w:p>
        </w:tc>
        <w:tc>
          <w:tcPr>
            <w:tcW w:w="10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40,269</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effect of special $15 million fraud related provision for loan losses recorded in the second quarter of 2007.</w:t>
      </w:r>
    </w:p>
    <w:p>
      <w:pPr>
        <w:spacing w:after="0" w:line="76" w:lineRule="exact"/>
        <w:rPr>
          <w:rFonts w:ascii="Times New Roman" w:cs="Times New Roman" w:eastAsia="Times New Roman" w:hAnsi="Times New Roman"/>
          <w:sz w:val="18"/>
          <w:szCs w:val="18"/>
          <w:color w:val="auto"/>
        </w:rPr>
      </w:pPr>
    </w:p>
    <w:p>
      <w:pPr>
        <w:ind w:left="460" w:right="10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available to common shareholders, which excludes preferred stock dividends, divided by average realized common equity, which excludes accumulated other comprehensive income (loss).</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effect of acquisition related intangibles and associated amortization.</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76" w:lineRule="exact"/>
        <w:rPr>
          <w:rFonts w:ascii="Times New Roman" w:cs="Times New Roman" w:eastAsia="Times New Roman" w:hAnsi="Times New Roman"/>
          <w:sz w:val="18"/>
          <w:szCs w:val="18"/>
          <w:color w:val="auto"/>
        </w:rPr>
      </w:pPr>
    </w:p>
    <w:p>
      <w:pPr>
        <w:ind w:left="460" w:right="140" w:hanging="452"/>
        <w:spacing w:after="0" w:line="25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Quality measures for the third quarter, second quarater and first nine months of 2007 include $23.6 million in nonperforming loans that relate to two real estate developments. Additionally, in the second quarter of 2007, United recorded a $15 million special provision for loan losses for expected losses related to this matter. This fraud-related matter was isolated and considered to be non-recurring. Excluding the non-recurring amounts, the allowance for loan losses would be $75,935 and $77,471, the allowance for loan losses to loans ratio would be 1.28% and 1.29%, non-performing assets would be $39,749 and $19,968, and the ratio of non-performing assets to total assets would be .49% and .25% at September 30, 2007 and June 30, 2007, respectively.</w:t>
      </w:r>
    </w:p>
    <w:p>
      <w:pPr>
        <w:sectPr>
          <w:pgSz w:w="11900" w:h="16838" w:orient="portrait"/>
          <w:cols w:equalWidth="0" w:num="1">
            <w:col w:w="11420"/>
          </w:cols>
          <w:pgMar w:left="240" w:top="415" w:right="239"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Revenue (Taxable Equivalent)</w:t>
      </w:r>
    </w:p>
    <w:p>
      <w:pPr>
        <w:spacing w:after="0" w:line="121"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Net interest revenue (the difference between the interest earned on assets and the interest paid on deposits and borrowed funds) is the single largest component of total revenue. United actively manages this revenue source to provide an optimal level of revenue while balancing interest rate, credit and liquidity risks. Net interest revenue for the third quarter 2007 was $71.7 million, up $10.8 million, or 18% over last year. The increase from the third quarter of 2006 was driven by balance sheet growth in the second half of 2006 and acquisitions. Average loans increased $1.1 billion, or 23%, from the third quarter of last year, mostly reflecting acquisitions completed over the last twelve months. Excluding acquired loans at period end, loan growth was 4% from September 30, 2006. The quarter-end loan balances decreased $46.3 million compared with June 30, 2007. Year over year loan growth occurred in all of United’s markets with increases of $41.8 million in north Georgia, $81.5 million in western North Carolina, $50.1 million in east Tennessee, $58.9 million in the coastal Georgia markets and $755.1 million in the Atlanta Region (including $800.2 million from acquisitions).</w:t>
      </w:r>
    </w:p>
    <w:p>
      <w:pPr>
        <w:spacing w:after="0" w:line="77" w:lineRule="exact"/>
        <w:rPr>
          <w:sz w:val="20"/>
          <w:szCs w:val="20"/>
          <w:color w:val="auto"/>
        </w:rPr>
      </w:pPr>
    </w:p>
    <w:p>
      <w:pPr>
        <w:ind w:right="80" w:firstLine="215"/>
        <w:spacing w:after="0" w:line="261" w:lineRule="auto"/>
        <w:rPr>
          <w:sz w:val="20"/>
          <w:szCs w:val="20"/>
          <w:color w:val="auto"/>
        </w:rPr>
      </w:pPr>
      <w:r>
        <w:rPr>
          <w:rFonts w:ascii="Times New Roman" w:cs="Times New Roman" w:eastAsia="Times New Roman" w:hAnsi="Times New Roman"/>
          <w:sz w:val="18"/>
          <w:szCs w:val="18"/>
          <w:color w:val="auto"/>
        </w:rPr>
        <w:t>Average interest-earning assets for the third quarter of 2007 increased $1.4 billion, or 23%, over the same period in 2006. The increase reflects moderate organic loan growth and the acquisitions of First Bank of the South during the second quarter of 2007 and of Southern National Bank in the fourth quarter of 2006, as well as an increase in the investment securities portfolio. The majority of the increase in interest-earning assets was funded by interest-bearing sources resulting in increases in average interest-bearing liabilities of approximately $1.302 billion as compared with the quarter ended September 30, 2006.</w:t>
      </w:r>
    </w:p>
    <w:p>
      <w:pPr>
        <w:spacing w:after="0" w:line="72" w:lineRule="exact"/>
        <w:rPr>
          <w:sz w:val="20"/>
          <w:szCs w:val="20"/>
          <w:color w:val="auto"/>
        </w:rPr>
      </w:pPr>
    </w:p>
    <w:p>
      <w:pPr>
        <w:ind w:right="100" w:firstLine="222"/>
        <w:spacing w:after="0" w:line="261" w:lineRule="auto"/>
        <w:rPr>
          <w:sz w:val="20"/>
          <w:szCs w:val="20"/>
          <w:color w:val="auto"/>
        </w:rPr>
      </w:pPr>
      <w:r>
        <w:rPr>
          <w:rFonts w:ascii="Times New Roman" w:cs="Times New Roman" w:eastAsia="Times New Roman" w:hAnsi="Times New Roman"/>
          <w:sz w:val="18"/>
          <w:szCs w:val="18"/>
          <w:color w:val="auto"/>
        </w:rPr>
        <w:t>The banking industry uses two ratios to measure relative profitability of net interest revenue. The net interest rate spread measures the difference between the average yield on interest-earning assets and the average rate paid on interest-bearing liabilities. The interest rate spread eliminates the impact of non-interest-bearing deposits and gives a direct perspective on the effect of market interest rate movements. The net interest margin is defined as net interest revenue as a percent of average total interest-earning assets and takes into account the positive impact of investing non interest-bearing deposits and capital.</w:t>
      </w:r>
    </w:p>
    <w:p>
      <w:pPr>
        <w:spacing w:after="0" w:line="72"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2007 and 2006, the net interest spread was 3.34% and 3.49%, respectively, while the net interest margin was 3.89% and 4.07%, respectively. A number of factors contributed to the net interest spread and net interest margin compression from a year ago. Competition for deposits also increased from a year ago, particularly with time deposits. Another factor effecting yields was pricing competition for good quality loans. Additionally, the higher level of nonperforming assets lowered loan yields. The reversal of accrued interest and the discontinuance of further interest accruals decreased the yield on our loan portfolio. For most of 2006, as interest rates were rising, we were able to fund our balance sheet with certificates of deposit that were priced as much as 100 basis points below comparable wholesale borrowings. In late 2006 and into 2007, competition for certificates of deposit pushed pricing above comparable wholesale borrowings. We chose not to compete aggressively and allowed higher priced, single relationship certificates of deposit to leave the bank and replaced those funds with wholesale borrowings.</w:t>
      </w:r>
    </w:p>
    <w:p>
      <w:pPr>
        <w:spacing w:after="0" w:line="77" w:lineRule="exact"/>
        <w:rPr>
          <w:sz w:val="20"/>
          <w:szCs w:val="20"/>
          <w:color w:val="auto"/>
        </w:rPr>
      </w:pPr>
    </w:p>
    <w:p>
      <w:pPr>
        <w:jc w:val="both"/>
        <w:ind w:right="340" w:firstLine="215"/>
        <w:spacing w:after="0" w:line="266" w:lineRule="auto"/>
        <w:rPr>
          <w:sz w:val="20"/>
          <w:szCs w:val="20"/>
          <w:color w:val="auto"/>
        </w:rPr>
      </w:pPr>
      <w:r>
        <w:rPr>
          <w:rFonts w:ascii="Times New Roman" w:cs="Times New Roman" w:eastAsia="Times New Roman" w:hAnsi="Times New Roman"/>
          <w:sz w:val="18"/>
          <w:szCs w:val="18"/>
          <w:color w:val="auto"/>
        </w:rPr>
        <w:t>Also affecting the net interest margin was an investment of $50 million in bank owned life insurance (BOLI) purchased in the second quarter of 2007. Because the earnings on BOLI are recorded as fee revenue but the cost of funding the investment is recorded as interest expense, the investment in BOLI reduces net interest revenue and the net interest margin.</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Most of United’s loan portfolio accrues interest at a floating rate. At September 30, 2007, United had approximately $3.3 billion in loans indexed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daily Prime Rate published in the Wall Street Journal compared with $2.8 billion a year ago. At September 30, 2007 and 2006, United had receive-fixed swap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a total notional value of $530 million which are used to reduce United’s exposure to changes in interest rates that were accounted for as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 hedges of prime-based loans. United also has receive-fixed/pay 1-month LIBOR interest rate swap contracts with an aggregate notional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 million that are being accounted for as fair value hedges of brokered time deposits and fixed rate Federal Home Loan Bank advances. In addition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swap contracts, United had purchased interest rate floors having a total notional amount of $500 million for which it paid premiums totaling $13 million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being accounted for as cash flow hedges of daily repricing, primed-based loans. While the swap contracts hedge our portfolio against the risks of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they will reduce the benefit of interest rate increases in the future. The use of interest rate derivative contracts is more fully explained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Sensitivity Management section of this report beginning on page 24.</w:t>
      </w:r>
    </w:p>
    <w:p>
      <w:pPr>
        <w:spacing w:after="0" w:line="99" w:lineRule="exact"/>
        <w:rPr>
          <w:sz w:val="20"/>
          <w:szCs w:val="20"/>
          <w:color w:val="auto"/>
        </w:rPr>
      </w:pPr>
    </w:p>
    <w:p>
      <w:pPr>
        <w:ind w:right="60" w:firstLine="222"/>
        <w:spacing w:after="0" w:line="261" w:lineRule="auto"/>
        <w:rPr>
          <w:sz w:val="20"/>
          <w:szCs w:val="20"/>
          <w:color w:val="auto"/>
        </w:rPr>
      </w:pPr>
      <w:r>
        <w:rPr>
          <w:rFonts w:ascii="Times New Roman" w:cs="Times New Roman" w:eastAsia="Times New Roman" w:hAnsi="Times New Roman"/>
          <w:sz w:val="18"/>
          <w:szCs w:val="18"/>
          <w:color w:val="auto"/>
        </w:rPr>
        <w:t>The average yield on interest-earning assets for the third quarter of 2007 was 7.85%, compared with 7.77% in the third quarter of 2006. The average yield on interest earning assets for the first nine months of 2007 was 7.89%, compared with 7.50% for the first nine months of 2006. Loan yields were up 8 basis points, compared with the third quarter of 2006, due primarily to the effect of the Federal Reserve’s rate increases during the first half of 2006 although the full effect was somewhat suppressed by the increase in nonperforming loans described above.</w:t>
      </w:r>
    </w:p>
    <w:p>
      <w:pPr>
        <w:spacing w:after="0" w:line="72" w:lineRule="exact"/>
        <w:rPr>
          <w:sz w:val="20"/>
          <w:szCs w:val="20"/>
          <w:color w:val="auto"/>
        </w:rPr>
      </w:pPr>
    </w:p>
    <w:p>
      <w:pPr>
        <w:ind w:right="40" w:firstLine="222"/>
        <w:spacing w:after="0" w:line="266" w:lineRule="auto"/>
        <w:rPr>
          <w:sz w:val="20"/>
          <w:szCs w:val="20"/>
          <w:color w:val="auto"/>
        </w:rPr>
      </w:pPr>
      <w:r>
        <w:rPr>
          <w:rFonts w:ascii="Times New Roman" w:cs="Times New Roman" w:eastAsia="Times New Roman" w:hAnsi="Times New Roman"/>
          <w:sz w:val="18"/>
          <w:szCs w:val="18"/>
          <w:color w:val="auto"/>
        </w:rPr>
        <w:t>The average cost of interest-bearing liabilities for the third quarter was 4.51%, an increase of 23 basis points from the same period in 2006. For the nine months ended September 30, 2007 the average cost of interest bearing liabilities was 4.51% an increase of 54 basis points. The increase reflects the impact of rising rates on United’s floating rate sources of funding and increased deposit pricing in selected products and markets.</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 shows the relationship between interest revenue and expense and the average balances of interest-earning assets and interest-bearing liabilities for the three months ended September 30, 2007 and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Table 3 — Average Consolidated Balance Sheets and Net Interest Analysis </w:t>
      </w:r>
      <w:r>
        <w:rPr>
          <w:rFonts w:ascii="Times New Roman" w:cs="Times New Roman" w:eastAsia="Times New Roman" w:hAnsi="Times New Roman"/>
          <w:sz w:val="18"/>
          <w:szCs w:val="18"/>
          <w:color w:val="auto"/>
        </w:rPr>
        <w:t>For the Three Months Ended September 30,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2007</w:t>
            </w: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taxable equivalent)</w:t>
            </w:r>
          </w:p>
        </w:tc>
        <w:tc>
          <w:tcPr>
            <w:tcW w:w="300" w:type="dxa"/>
            <w:vAlign w:val="bottom"/>
          </w:tcPr>
          <w:p>
            <w:pPr>
              <w:spacing w:after="0"/>
              <w:rPr>
                <w:sz w:val="10"/>
                <w:szCs w:val="10"/>
                <w:color w:val="auto"/>
              </w:rPr>
            </w:pPr>
          </w:p>
        </w:tc>
        <w:tc>
          <w:tcPr>
            <w:tcW w:w="1480" w:type="dxa"/>
            <w:vAlign w:val="bottom"/>
            <w:gridSpan w:val="2"/>
          </w:tcPr>
          <w:p>
            <w:pPr>
              <w:jc w:val="right"/>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6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Avg.</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tcPr>
          <w:p>
            <w:pPr>
              <w:jc w:val="right"/>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10"/>
                <w:szCs w:val="10"/>
                <w:color w:val="auto"/>
              </w:rPr>
            </w:pPr>
          </w:p>
        </w:tc>
        <w:tc>
          <w:tcPr>
            <w:tcW w:w="12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2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Avg.</w:t>
            </w:r>
          </w:p>
        </w:tc>
        <w:tc>
          <w:tcPr>
            <w:tcW w:w="0" w:type="dxa"/>
            <w:vAlign w:val="bottom"/>
          </w:tcPr>
          <w:p>
            <w:pPr>
              <w:spacing w:after="0"/>
              <w:rPr>
                <w:sz w:val="1"/>
                <w:szCs w:val="1"/>
                <w:color w:val="auto"/>
              </w:rPr>
            </w:pPr>
          </w:p>
        </w:tc>
      </w:tr>
      <w:tr>
        <w:trPr>
          <w:trHeight w:val="180"/>
        </w:trPr>
        <w:tc>
          <w:tcPr>
            <w:tcW w:w="33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tcPr>
          <w:p>
            <w:pPr>
              <w:spacing w:after="0"/>
              <w:rPr>
                <w:sz w:val="15"/>
                <w:szCs w:val="15"/>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Loans, net of unearned income </w:t>
            </w:r>
            <w:r>
              <w:rPr>
                <w:rFonts w:ascii="Times New Roman" w:cs="Times New Roman" w:eastAsia="Times New Roman" w:hAnsi="Times New Roman"/>
                <w:sz w:val="15"/>
                <w:szCs w:val="15"/>
                <w:color w:val="auto"/>
              </w:rPr>
              <w:t>(1)(2)</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$ 5,966,933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9"/>
              </w:rPr>
              <w:t>126,992</w:t>
            </w: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8.44%</w:t>
            </w: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$ 4,865,886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9"/>
              </w:rPr>
              <w:t>103,061</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Taxable securities </w:t>
            </w:r>
            <w:r>
              <w:rPr>
                <w:rFonts w:ascii="Times New Roman" w:cs="Times New Roman" w:eastAsia="Times New Roman" w:hAnsi="Times New Roman"/>
                <w:sz w:val="15"/>
                <w:szCs w:val="15"/>
                <w:color w:val="auto"/>
              </w:rPr>
              <w:t>(3)</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1,266,609</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16,637</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5.25</w:t>
            </w: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984,189</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11,822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Tax-exempt securities </w:t>
            </w:r>
            <w:r>
              <w:rPr>
                <w:rFonts w:ascii="Times New Roman" w:cs="Times New Roman" w:eastAsia="Times New Roman" w:hAnsi="Times New Roman"/>
                <w:sz w:val="15"/>
                <w:szCs w:val="15"/>
                <w:color w:val="auto"/>
              </w:rPr>
              <w:t>(1) (3)</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41,583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704</w:t>
            </w: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6.77</w:t>
            </w: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45,792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780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Federal funds sold and other interest-</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earning assets</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57,367</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551</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3.84</w:t>
            </w: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46,843</w:t>
            </w:r>
          </w:p>
        </w:tc>
        <w:tc>
          <w:tcPr>
            <w:tcW w:w="1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641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7,332,492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9"/>
              </w:rPr>
              <w:t>144,884</w:t>
            </w: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7.85</w:t>
            </w: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5,942,710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9"/>
              </w:rPr>
              <w:t>116,304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7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(93,832)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(60,606)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141,536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116,004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173,605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125,423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5"/>
                <w:szCs w:val="15"/>
                <w:color w:val="auto"/>
              </w:rPr>
              <w:t>(3)</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529,938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226,674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$ 8,083,739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$ 6,350,205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$ 1,431,168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12,046</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3.34</w:t>
            </w: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$ 1,094,911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8,100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Money market</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496,005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5,002</w:t>
            </w: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4.00</w:t>
            </w: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216,131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2,155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Savings</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201,031</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553</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170,079</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226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Time less than $100,000</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1,624,698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20,151</w:t>
            </w: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4.92</w:t>
            </w: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1,446,388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16,503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Time greater than $100,000</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1,391,139</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18,192</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5.19</w:t>
            </w: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1,162,207</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14,382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Brokered</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358,614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4,519</w:t>
            </w: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w:t>
            </w: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340,301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3,809</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3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30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5,502,655</w:t>
            </w: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60,463</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4.36</w:t>
            </w: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4,430,017</w:t>
            </w: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45,175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Federal funds purchased and other</w:t>
            </w:r>
          </w:p>
        </w:tc>
        <w:tc>
          <w:tcPr>
            <w:tcW w:w="3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borrowings</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348,472</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4,738</w:t>
            </w: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5.39</w:t>
            </w: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162,372</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2,254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474,555</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5,902</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4.93</w:t>
            </w: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438,875</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5,828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Long-term debt</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119,596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2,100</w:t>
            </w: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6.97</w:t>
            </w: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111,869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2,174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borrowed funds</w:t>
            </w: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942,623</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640" w:type="dxa"/>
            <w:vAlign w:val="bottom"/>
          </w:tcPr>
          <w:p>
            <w:pPr>
              <w:spacing w:after="0"/>
              <w:rPr>
                <w:sz w:val="20"/>
                <w:szCs w:val="20"/>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713,116</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6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6,445,278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73,203</w:t>
            </w: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4.51</w:t>
            </w: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5,143,133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55,431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743,664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655,151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60,703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41,130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7,249,645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5,839,414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834,094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510,791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00" w:type="dxa"/>
            <w:vAlign w:val="bottom"/>
            <w:shd w:val="clear" w:color="auto" w:fill="CCEEFF"/>
          </w:tcPr>
          <w:p>
            <w:pPr>
              <w:ind w:left="600"/>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w:t>
            </w:r>
          </w:p>
        </w:tc>
        <w:tc>
          <w:tcPr>
            <w:tcW w:w="3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$ 8,083,739</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$ 6,350,205</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71,681</w:t>
            </w: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60,873</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interest-rate spread</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interest margin </w:t>
            </w:r>
            <w:r>
              <w:rPr>
                <w:rFonts w:ascii="Times New Roman" w:cs="Times New Roman" w:eastAsia="Times New Roman" w:hAnsi="Times New Roman"/>
                <w:sz w:val="15"/>
                <w:szCs w:val="15"/>
                <w:color w:val="auto"/>
              </w:rPr>
              <w:t>(4)</w:t>
            </w: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10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average balance of loans outstanding are loans where the accrual of interest has been discontinued.</w:t>
      </w:r>
    </w:p>
    <w:p>
      <w:pPr>
        <w:spacing w:after="0" w:line="76" w:lineRule="exact"/>
        <w:rPr>
          <w:rFonts w:ascii="Times New Roman" w:cs="Times New Roman" w:eastAsia="Times New Roman" w:hAnsi="Times New Roman"/>
          <w:sz w:val="18"/>
          <w:szCs w:val="18"/>
          <w:color w:val="auto"/>
        </w:rPr>
      </w:pPr>
    </w:p>
    <w:p>
      <w:pPr>
        <w:ind w:left="460" w:right="1140" w:hanging="452"/>
        <w:spacing w:after="0" w:line="328"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available for sale are shown at amortized cost. Pretax unrealized losses of $13.3 million in 2007 and $21.6 million in 2006 are included in other assets for purposes of this presentation.</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taxable equivalent net-interest revenue divided by average interest-earning assets.</w:t>
      </w:r>
    </w:p>
    <w:p>
      <w:pPr>
        <w:sectPr>
          <w:pgSz w:w="11900" w:h="16838" w:orient="portrait"/>
          <w:cols w:equalWidth="0" w:num="1">
            <w:col w:w="11420"/>
          </w:cols>
          <w:pgMar w:left="240" w:top="41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 shows the relationship between interest revenue and expense and the average balances of interest-earning assets and interest bearing liabilities for the nine months ended September 30, 2007 and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 Average Consolidated Balance Sheets and Net Interest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2007</w:t>
            </w:r>
          </w:p>
        </w:tc>
        <w:tc>
          <w:tcPr>
            <w:tcW w:w="5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taxable equivalent)</w:t>
            </w:r>
          </w:p>
        </w:tc>
        <w:tc>
          <w:tcPr>
            <w:tcW w:w="220" w:type="dxa"/>
            <w:vAlign w:val="bottom"/>
          </w:tcPr>
          <w:p>
            <w:pPr>
              <w:spacing w:after="0"/>
              <w:rPr>
                <w:sz w:val="10"/>
                <w:szCs w:val="10"/>
                <w:color w:val="auto"/>
              </w:rPr>
            </w:pPr>
          </w:p>
        </w:tc>
        <w:tc>
          <w:tcPr>
            <w:tcW w:w="114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Avg.</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Avg.</w:t>
            </w:r>
          </w:p>
        </w:tc>
        <w:tc>
          <w:tcPr>
            <w:tcW w:w="0" w:type="dxa"/>
            <w:vAlign w:val="bottom"/>
          </w:tcPr>
          <w:p>
            <w:pPr>
              <w:spacing w:after="0"/>
              <w:rPr>
                <w:sz w:val="1"/>
                <w:szCs w:val="1"/>
                <w:color w:val="auto"/>
              </w:rPr>
            </w:pPr>
          </w:p>
        </w:tc>
      </w:tr>
      <w:tr>
        <w:trPr>
          <w:trHeight w:val="180"/>
        </w:trPr>
        <w:tc>
          <w:tcPr>
            <w:tcW w:w="3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Loans, net of unearned income </w:t>
            </w:r>
            <w:r>
              <w:rPr>
                <w:rFonts w:ascii="Times New Roman" w:cs="Times New Roman" w:eastAsia="Times New Roman" w:hAnsi="Times New Roman"/>
                <w:sz w:val="15"/>
                <w:szCs w:val="15"/>
                <w:color w:val="auto"/>
              </w:rPr>
              <w:t>(1)(2)</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$ 5,665,314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360,430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$ 4,688,512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284,683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Taxable securities </w:t>
            </w:r>
            <w:r>
              <w:rPr>
                <w:rFonts w:ascii="Times New Roman" w:cs="Times New Roman" w:eastAsia="Times New Roman" w:hAnsi="Times New Roman"/>
                <w:sz w:val="15"/>
                <w:szCs w:val="15"/>
                <w:color w:val="auto"/>
              </w:rPr>
              <w:t>(3)</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1,192,815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46,081</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988,504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34,661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Tax-exempt securities </w:t>
            </w:r>
            <w:r>
              <w:rPr>
                <w:rFonts w:ascii="Times New Roman" w:cs="Times New Roman" w:eastAsia="Times New Roman" w:hAnsi="Times New Roman"/>
                <w:sz w:val="15"/>
                <w:szCs w:val="15"/>
                <w:color w:val="auto"/>
              </w:rPr>
              <w:t>(1) (3)</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42,368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2,160</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6.80</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47,588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2,463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Federal funds sold and other interest-earning</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assets</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51,076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1,479</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3.86</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35,451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1,425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6,951,573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410,150</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5,760,055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323,232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(78,541)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(57,716)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130,816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122,603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159,674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5"/>
                <w:szCs w:val="15"/>
                <w:color w:val="auto"/>
              </w:rPr>
              <w:t>(3)</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405,388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$ 7,568,910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$ 6,158,147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NOW</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$ 1,378,200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34,143</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$ 1,093,145</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21,429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Money market</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371,716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11,082</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186,957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4,969</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Savings</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187,693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1,236</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680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less than $100,000</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1,631,243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59,925</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1,354,421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42,604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Time greater than $100,000</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1,383,004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54,000</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36,938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Brokered</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12,541</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10,137</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5,294,018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172,927</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4,204,224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116,757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other</w:t>
            </w: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borrowings</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255,115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10,226</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152,303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5,814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430,151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15,738</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510,168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18,837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6,505</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7.54</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111,868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6,495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borrowed funds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800,656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32,469</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5.42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774,339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31,146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6,094,674</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9"/>
              </w:rPr>
              <w:t>205,396</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4,978,563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9"/>
              </w:rPr>
              <w:t>147,903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693,207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644,626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70,079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41,652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6,857,960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5,664,841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710,950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$ 7,568,910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$ 6,158,148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204,754</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175,329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interest-rate spread</w:t>
            </w: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interest margin </w:t>
            </w: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10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average balance of loans outstanding are loans where the accrual of interest has been discontinued.</w:t>
      </w:r>
    </w:p>
    <w:p>
      <w:pPr>
        <w:spacing w:after="0" w:line="76"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available for sale are shown at amortized cost. Pretax unrealized losses of $10.4 million in 2007 and $19.1 million in 2006 are included in other assets for purposes of this presentation.</w:t>
      </w:r>
    </w:p>
    <w:p>
      <w:pPr>
        <w:spacing w:after="0" w:line="1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taxable equivalent net-interest revenue divided by average interest-earning assets.</w:t>
      </w:r>
    </w:p>
    <w:p>
      <w:pPr>
        <w:sectPr>
          <w:pgSz w:w="11900" w:h="16838" w:orient="portrait"/>
          <w:cols w:equalWidth="0" w:num="1">
            <w:col w:w="11420"/>
          </w:cols>
          <w:pgMar w:left="240" w:top="415" w:right="239" w:bottom="1036"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036"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impact on net interest revenue for changes in the average outstanding balances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2"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Table 5 — Change in Interest Revenue and Expense on a Taxable Equivalent Basis </w:t>
      </w:r>
      <w:r>
        <w:rPr>
          <w:rFonts w:ascii="Times New Roman" w:cs="Times New Roman" w:eastAsia="Times New Roman" w:hAnsi="Times New Roman"/>
          <w:sz w:val="18"/>
          <w:szCs w:val="18"/>
          <w:i w:val="1"/>
          <w:i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60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2007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2006</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2006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 to Changes in</w:t>
            </w: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Due to Changes in</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0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66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Volume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$ 23,431</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$ 23,931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61,616</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14,131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securities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1,183</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Tax-exempt securities</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sold and other interest-earning assets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6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NOW accounts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1,222</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6,321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279</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 less than $100,000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1,510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7,811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 greater than $100,000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852</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11,855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Brokered deposits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497</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 &amp; other borrowings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(383)</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(218)</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borrowed funds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35,026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22,467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Increase in net interest revenue</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$ 13,083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(2,275)</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$ 10,808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34,658</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(5,233)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Loan Losses</w:t>
      </w:r>
    </w:p>
    <w:p>
      <w:pPr>
        <w:spacing w:after="0" w:line="121" w:lineRule="exact"/>
        <w:rPr>
          <w:sz w:val="20"/>
          <w:szCs w:val="20"/>
          <w:color w:val="auto"/>
        </w:rPr>
      </w:pPr>
    </w:p>
    <w:p>
      <w:pPr>
        <w:ind w:right="20" w:firstLine="222"/>
        <w:spacing w:after="0" w:line="252" w:lineRule="auto"/>
        <w:rPr>
          <w:sz w:val="20"/>
          <w:szCs w:val="20"/>
          <w:color w:val="auto"/>
        </w:rPr>
      </w:pPr>
      <w:r>
        <w:rPr>
          <w:rFonts w:ascii="Times New Roman" w:cs="Times New Roman" w:eastAsia="Times New Roman" w:hAnsi="Times New Roman"/>
          <w:sz w:val="18"/>
          <w:szCs w:val="18"/>
          <w:color w:val="auto"/>
        </w:rPr>
        <w:t>The provision for loan losses was $3.7 million for the third quarter of 2007, compared with $3.7 million for the same period in 2006. For the first nine months of 2007, the provision for loan losses was $26.1 million compared with $10.9 million for the first nine months of 2006. The provision for loan losses for the first nine months of 2007 included a special $15 million provision for fraud related loan losses in two real estate developments located near Spruce Pine, North Carolina. In June 2007, the North Carolina Attorney General obtained a receiver to take custody of the developers’ assets citing possible fraud on the part of the developers. United has loans outstanding to 83 individual borrowers that total $23.6 million secured by undeveloped lots in these developments. United was one of twelve banks that had loaned money to borrowers to finance the purchase of lots. The loans were made to appropriately qualified borrowers in accordance with our standard underwriting procedures. At the time the loans were made, we were not aware that most of the borrowers were simultaneously obtaining loans for additional lots at other banks and thereby taking on debt possibly beyond their repayment ability. We were also unaware that the borrowers’ down payments were not paid in cash as indicated on the closing statements, but were financed by a second mortgage from the developer and that the developer agreed to service the borrowers’ debts. We have also subsequently learned that the appraisals relied upon in the underwriting process had been inflated by using comparable sales that were not at arms length to persons related to the developer and that many of the lots were subdivided into parcels that are too small to be used for their intended purpose. Based on our findings and our internal estimate of expected losses, we recorded a</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$15 million special provision for loan losses in the second quarter and these loans were placed on non-accrual status and included in nonperforming assets. We are working with the receiver, the other banks involved, the borrowers and our insurance carrier in order to minimize our losses. None of the loans had been charged off as of September 30, 2007.</w:t>
      </w:r>
    </w:p>
    <w:p>
      <w:pPr>
        <w:spacing w:after="0" w:line="78" w:lineRule="exact"/>
        <w:rPr>
          <w:sz w:val="20"/>
          <w:szCs w:val="20"/>
          <w:color w:val="auto"/>
        </w:rPr>
      </w:pPr>
    </w:p>
    <w:p>
      <w:pPr>
        <w:ind w:right="200" w:firstLine="225"/>
        <w:spacing w:after="0" w:line="276" w:lineRule="auto"/>
        <w:rPr>
          <w:sz w:val="20"/>
          <w:szCs w:val="20"/>
          <w:color w:val="auto"/>
        </w:rPr>
      </w:pPr>
      <w:r>
        <w:rPr>
          <w:rFonts w:ascii="Times New Roman" w:cs="Times New Roman" w:eastAsia="Times New Roman" w:hAnsi="Times New Roman"/>
          <w:sz w:val="17"/>
          <w:szCs w:val="17"/>
          <w:color w:val="auto"/>
        </w:rPr>
        <w:t>Net loan charge-offs as an annualized percentage of average outstanding loans for the three months ended September 30, 2007 was .35%, as compared with .11% for the third quarter of 2006. For the first nine months of 2007 net loan charge offs as an annualized percentage of average outstanding loans was</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.21% versus .10% for 2006. Net loan charge-offs exceeded and are likely to continue exceeding the Company’s historical six-year range of .11% to .25% and likely could exceed this range for the next few quarters due to the challenging housing market, and the Company’s strategy of aggressive liquidation of nonperforming assets.</w:t>
      </w:r>
    </w:p>
    <w:p>
      <w:pPr>
        <w:spacing w:after="0" w:line="78" w:lineRule="exact"/>
        <w:rPr>
          <w:sz w:val="20"/>
          <w:szCs w:val="20"/>
          <w:color w:val="auto"/>
        </w:rPr>
      </w:pPr>
    </w:p>
    <w:p>
      <w:pPr>
        <w:jc w:val="both"/>
        <w:ind w:right="60" w:firstLine="222"/>
        <w:spacing w:after="0" w:line="266" w:lineRule="auto"/>
        <w:rPr>
          <w:sz w:val="20"/>
          <w:szCs w:val="20"/>
          <w:color w:val="auto"/>
        </w:rPr>
      </w:pPr>
      <w:r>
        <w:rPr>
          <w:rFonts w:ascii="Times New Roman" w:cs="Times New Roman" w:eastAsia="Times New Roman" w:hAnsi="Times New Roman"/>
          <w:sz w:val="18"/>
          <w:szCs w:val="18"/>
          <w:color w:val="auto"/>
        </w:rPr>
        <w:t>The provision for loan losses is based on management’s evaluation of losses inherent in the loan portfolio and the corresponding analysis of the allowance for loan losses at quarter-end. It is expected that for the next few quarters, net loan charge-offs could exceed the additional provisioning of loan losses. This is reflective of the losses inherent in the loan portfolio, and in</w:t>
      </w:r>
    </w:p>
    <w:p>
      <w:pPr>
        <w:sectPr>
          <w:pgSz w:w="11900" w:h="16838" w:orient="portrait"/>
          <w:cols w:equalWidth="0" w:num="1">
            <w:col w:w="11420"/>
          </w:cols>
          <w:pgMar w:left="240" w:top="415" w:right="2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management’s opinion does not reflect an increase in losses in the loan portfolio beyond what is already included in the allowance for loan losses. Additional discussion on loan quality and the allowance for loan losses is included in the Asset Quality section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Revenue</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Fee revenue for the third quarter of 2007 totaled $15.6 million, an increase of $3.5 million, or 29% from 2006. Fee revenue accounted for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of total revenue for the third quarters of 2007 and 2006. During the first nine months of 2007, fee revenue totaled $46.6 million compared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$35.9 million for 2006, an increase of 30%. This strong growth is the result of United’s continued focus on increasing fee revenue through new products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The following table presents the components of fee revenue for the third quarter of 2007 and 2006.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 Fee 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and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6,914</w:t>
            </w:r>
          </w:p>
        </w:tc>
        <w:tc>
          <w:tcPr>
            <w:tcW w:w="14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23,083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20,095</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 and other related fees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1,928</w:t>
            </w: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6,817</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5,149</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2,040</w:t>
            </w:r>
          </w:p>
        </w:tc>
        <w:tc>
          <w:tcPr>
            <w:tcW w:w="14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6,369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5,196</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Brokerage fees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784</w:t>
            </w: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3,031</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2,430</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gains (losses), net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(382)</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(385)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Loss on prepayments of borrowings</w:t>
            </w:r>
          </w:p>
        </w:tc>
        <w:tc>
          <w:tcPr>
            <w:tcW w:w="140" w:type="dxa"/>
            <w:vAlign w:val="bottom"/>
          </w:tcPr>
          <w:p>
            <w:pPr>
              <w:spacing w:after="0"/>
              <w:rPr>
                <w:sz w:val="18"/>
                <w:szCs w:val="18"/>
                <w:color w:val="auto"/>
              </w:rPr>
            </w:pPr>
          </w:p>
        </w:tc>
        <w:tc>
          <w:tcPr>
            <w:tcW w:w="1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(346)</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(636)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1,208</w:t>
            </w:r>
          </w:p>
        </w:tc>
        <w:tc>
          <w:tcPr>
            <w:tcW w:w="14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6,597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4,031</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680" w:type="dxa"/>
            <w:vAlign w:val="bottom"/>
          </w:tcPr>
          <w:p>
            <w:pPr>
              <w:spacing w:after="0"/>
              <w:rPr>
                <w:sz w:val="19"/>
                <w:szCs w:val="19"/>
                <w:color w:val="auto"/>
              </w:rPr>
            </w:pP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46,551</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35,880</w:t>
            </w:r>
          </w:p>
        </w:tc>
        <w:tc>
          <w:tcPr>
            <w:tcW w:w="68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0" w:firstLine="225"/>
        <w:spacing w:after="0" w:line="261" w:lineRule="auto"/>
        <w:rPr>
          <w:sz w:val="20"/>
          <w:szCs w:val="20"/>
          <w:color w:val="auto"/>
        </w:rPr>
      </w:pPr>
      <w:r>
        <w:rPr>
          <w:rFonts w:ascii="Times New Roman" w:cs="Times New Roman" w:eastAsia="Times New Roman" w:hAnsi="Times New Roman"/>
          <w:sz w:val="18"/>
          <w:szCs w:val="18"/>
          <w:color w:val="auto"/>
        </w:rPr>
        <w:t>Service charges and fees for the third quarter of 2007 increased $941,000, or 14%, from 2006. This increase was primarily due to growth in transactions and new accounts resulting from core deposit programs, increased usage, growth in overdraft products, and the cross-selling of other products and services. Also included in service charges and fees were ATM and debit card usage fees which rose $337,000 from a year ago, primarily the result of a larger customer base added through acquisitions, de novo growth and core deposit programs.</w:t>
      </w:r>
    </w:p>
    <w:p>
      <w:pPr>
        <w:spacing w:after="0" w:line="72" w:lineRule="exact"/>
        <w:rPr>
          <w:sz w:val="20"/>
          <w:szCs w:val="20"/>
          <w:color w:val="auto"/>
        </w:rPr>
      </w:pPr>
    </w:p>
    <w:p>
      <w:pPr>
        <w:jc w:val="both"/>
        <w:ind w:right="60" w:firstLine="225"/>
        <w:spacing w:after="0" w:line="266" w:lineRule="auto"/>
        <w:rPr>
          <w:sz w:val="20"/>
          <w:szCs w:val="20"/>
          <w:color w:val="auto"/>
        </w:rPr>
      </w:pPr>
      <w:r>
        <w:rPr>
          <w:rFonts w:ascii="Times New Roman" w:cs="Times New Roman" w:eastAsia="Times New Roman" w:hAnsi="Times New Roman"/>
          <w:sz w:val="18"/>
          <w:szCs w:val="18"/>
          <w:color w:val="auto"/>
        </w:rPr>
        <w:t>Mortgage loans and related fees of $2.1 million for the quarter were up $190,000, or 10%, from 2006. The increase is due to improved pricing. In the third quarter of 2007, United originated 549 loans totaling $101 million compared with 574 loans totaling $99 million in the third quarter of 2006. Substantially all originated residential mortgages were sold into the secondary market, including the right to service these loans.</w:t>
      </w:r>
    </w:p>
    <w:p>
      <w:pPr>
        <w:spacing w:after="0" w:line="68" w:lineRule="exact"/>
        <w:rPr>
          <w:sz w:val="20"/>
          <w:szCs w:val="20"/>
          <w:color w:val="auto"/>
        </w:rPr>
      </w:pPr>
    </w:p>
    <w:p>
      <w:pPr>
        <w:ind w:right="140" w:firstLine="225"/>
        <w:spacing w:after="0" w:line="282" w:lineRule="auto"/>
        <w:rPr>
          <w:sz w:val="20"/>
          <w:szCs w:val="20"/>
          <w:color w:val="auto"/>
        </w:rPr>
      </w:pPr>
      <w:r>
        <w:rPr>
          <w:rFonts w:ascii="Times New Roman" w:cs="Times New Roman" w:eastAsia="Times New Roman" w:hAnsi="Times New Roman"/>
          <w:sz w:val="18"/>
          <w:szCs w:val="18"/>
          <w:color w:val="auto"/>
        </w:rPr>
        <w:t>Consulting fees of $2.4 million were up $341,000, a 17% increase from the third quarter of 2006. The increase was primarily due to new business growth in the advisory services practice.</w:t>
      </w:r>
    </w:p>
    <w:p>
      <w:pPr>
        <w:spacing w:after="0" w:line="54" w:lineRule="exact"/>
        <w:rPr>
          <w:sz w:val="20"/>
          <w:szCs w:val="20"/>
          <w:color w:val="auto"/>
        </w:rPr>
      </w:pPr>
    </w:p>
    <w:p>
      <w:pPr>
        <w:ind w:right="260" w:firstLine="225"/>
        <w:spacing w:after="0" w:line="282" w:lineRule="auto"/>
        <w:rPr>
          <w:sz w:val="20"/>
          <w:szCs w:val="20"/>
          <w:color w:val="auto"/>
        </w:rPr>
      </w:pPr>
      <w:r>
        <w:rPr>
          <w:rFonts w:ascii="Times New Roman" w:cs="Times New Roman" w:eastAsia="Times New Roman" w:hAnsi="Times New Roman"/>
          <w:sz w:val="18"/>
          <w:szCs w:val="18"/>
          <w:color w:val="auto"/>
        </w:rPr>
        <w:t>Brokerage fees of $895,000 were up $111,000, or 14%, from the third quarter of 2006. This increase was due primarily to an increase in trading activity resulting from a strong market.</w:t>
      </w:r>
    </w:p>
    <w:p>
      <w:pPr>
        <w:spacing w:after="0" w:line="54" w:lineRule="exact"/>
        <w:rPr>
          <w:sz w:val="20"/>
          <w:szCs w:val="20"/>
          <w:color w:val="auto"/>
        </w:rPr>
      </w:pPr>
    </w:p>
    <w:p>
      <w:pPr>
        <w:ind w:right="660" w:firstLine="225"/>
        <w:spacing w:after="0" w:line="282" w:lineRule="auto"/>
        <w:rPr>
          <w:sz w:val="20"/>
          <w:szCs w:val="20"/>
          <w:color w:val="auto"/>
        </w:rPr>
      </w:pPr>
      <w:r>
        <w:rPr>
          <w:rFonts w:ascii="Times New Roman" w:cs="Times New Roman" w:eastAsia="Times New Roman" w:hAnsi="Times New Roman"/>
          <w:sz w:val="18"/>
          <w:szCs w:val="18"/>
          <w:color w:val="auto"/>
        </w:rPr>
        <w:t>Other fee revenue of $2.1 million increased $933,000, or 77% from 2006. This increase is primarily due to purchase of additional bank owned life insurance that added $720,000 of fee revenue for third quarter 2007 related to earnings recognized on these assets.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00" w:firstLine="225"/>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2007, total operating expenses were $48.2 million, an increase of 16%, compared with $41.4 million in 2006. Operating expenses from First Bank of the South, acquired on June 1, 2007 and Southern National Bank, acquired on December 1, 2006, accounted for approximately $3.2 million of the $6.7 million increase. The following table presents the components of operating expenses for the three and nine months ended September 30, 2007 and 2006.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7 — 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7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7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29,698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26,087</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88,037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74,440</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and equipment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3,936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3,863</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11,593</w:t>
            </w:r>
          </w:p>
        </w:tc>
        <w:tc>
          <w:tcPr>
            <w:tcW w:w="12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10,970</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2,945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10,124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public relations</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1,882</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5,651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72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Postage, printing and supplies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1,379</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4,819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938</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5,409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7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503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3,844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13,124</w:t>
            </w:r>
          </w:p>
        </w:tc>
        <w:tc>
          <w:tcPr>
            <w:tcW w:w="12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10,767</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41,441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140,725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5"/>
              </w:rPr>
              <w:t>119,549</w:t>
            </w:r>
          </w:p>
        </w:tc>
        <w:tc>
          <w:tcPr>
            <w:tcW w:w="6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firstLine="225"/>
        <w:spacing w:after="0" w:line="258" w:lineRule="auto"/>
        <w:rPr>
          <w:sz w:val="20"/>
          <w:szCs w:val="20"/>
          <w:color w:val="auto"/>
        </w:rPr>
      </w:pPr>
      <w:r>
        <w:rPr>
          <w:rFonts w:ascii="Times New Roman" w:cs="Times New Roman" w:eastAsia="Times New Roman" w:hAnsi="Times New Roman"/>
          <w:sz w:val="18"/>
          <w:szCs w:val="18"/>
          <w:color w:val="auto"/>
        </w:rPr>
        <w:t>Salaries and employee benefits for the third quarter of 2007 totaled $29.7 million, an increase of $3.6 million, or 14%, over the same period in 2006. Acquisitions accounted for approximately $1.5 million of the increase, with the remainder primarily due to the cost of staffing de novo locations and business growth. At September 30, 2007, total staff was 2,012, an increase of 169 employees from the third quarter of 2006. Of this increase, 44 staff members, representing 26% of the increase in staff, were added for de novo expansion and 113 staff members, representing 67% of the increase in staff, were added through acquisitions.</w:t>
      </w:r>
    </w:p>
    <w:p>
      <w:pPr>
        <w:spacing w:after="0" w:line="76" w:lineRule="exact"/>
        <w:rPr>
          <w:sz w:val="20"/>
          <w:szCs w:val="20"/>
          <w:color w:val="auto"/>
        </w:rPr>
      </w:pPr>
    </w:p>
    <w:p>
      <w:pPr>
        <w:ind w:right="220" w:firstLine="225"/>
        <w:spacing w:after="0" w:line="282" w:lineRule="auto"/>
        <w:rPr>
          <w:sz w:val="20"/>
          <w:szCs w:val="20"/>
          <w:color w:val="auto"/>
        </w:rPr>
      </w:pPr>
      <w:r>
        <w:rPr>
          <w:rFonts w:ascii="Times New Roman" w:cs="Times New Roman" w:eastAsia="Times New Roman" w:hAnsi="Times New Roman"/>
          <w:sz w:val="18"/>
          <w:szCs w:val="18"/>
          <w:color w:val="auto"/>
        </w:rPr>
        <w:t>Communication and equipment expense for the third quarter of 2007 was up $73,000, or 2%, from 2006. This increase is the result of acquisitions offset by lower depreciation and maintenance charges.</w:t>
      </w:r>
    </w:p>
    <w:p>
      <w:pPr>
        <w:spacing w:after="0" w:line="54"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Occupancy expense for the third quarter of 2007 was up $672,000, or 23%, from 2006. The majority of this increase was the result of higher facilities costs and maintenance expenses resulting from additional banking offices added through acquisitions and de novo expansion.</w:t>
      </w:r>
    </w:p>
    <w:p>
      <w:pPr>
        <w:spacing w:after="0" w:line="54" w:lineRule="exact"/>
        <w:rPr>
          <w:sz w:val="20"/>
          <w:szCs w:val="20"/>
          <w:color w:val="auto"/>
        </w:rPr>
      </w:pPr>
    </w:p>
    <w:p>
      <w:pPr>
        <w:ind w:right="480" w:firstLine="215"/>
        <w:spacing w:after="0" w:line="282" w:lineRule="auto"/>
        <w:rPr>
          <w:sz w:val="20"/>
          <w:szCs w:val="20"/>
          <w:color w:val="auto"/>
        </w:rPr>
      </w:pPr>
      <w:r>
        <w:rPr>
          <w:rFonts w:ascii="Times New Roman" w:cs="Times New Roman" w:eastAsia="Times New Roman" w:hAnsi="Times New Roman"/>
          <w:sz w:val="18"/>
          <w:szCs w:val="18"/>
          <w:color w:val="auto"/>
        </w:rPr>
        <w:t>Advertising and public relations expense for the third quarter of 2007 was down $345,000, or 18%, from 2006, due to efforts to control discretionary spending and expense growth.</w:t>
      </w:r>
    </w:p>
    <w:p>
      <w:pPr>
        <w:spacing w:after="0" w:line="54" w:lineRule="exact"/>
        <w:rPr>
          <w:sz w:val="20"/>
          <w:szCs w:val="20"/>
          <w:color w:val="auto"/>
        </w:rPr>
      </w:pPr>
    </w:p>
    <w:p>
      <w:pPr>
        <w:ind w:right="380" w:firstLine="225"/>
        <w:spacing w:after="0" w:line="282" w:lineRule="auto"/>
        <w:rPr>
          <w:sz w:val="20"/>
          <w:szCs w:val="20"/>
          <w:color w:val="auto"/>
        </w:rPr>
      </w:pPr>
      <w:r>
        <w:rPr>
          <w:rFonts w:ascii="Times New Roman" w:cs="Times New Roman" w:eastAsia="Times New Roman" w:hAnsi="Times New Roman"/>
          <w:sz w:val="18"/>
          <w:szCs w:val="18"/>
          <w:color w:val="auto"/>
        </w:rPr>
        <w:t>Postage, printing and supplies expense for the third quarter of 2007 was up $100,000, or 7%, from 2006. The increase is primarily from higher cost of postage and courier costs resulting from the growing number of offices, both through acquisitions and de novo expansion.</w:t>
      </w:r>
    </w:p>
    <w:p>
      <w:pPr>
        <w:spacing w:after="0" w:line="54"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Professional fees increased $982,000 from 2006. Increasing legal costs associated with the loan workouts and other corporate initiatives, along with the higher cost of outsourced services contributed to this increase.</w:t>
      </w:r>
    </w:p>
    <w:p>
      <w:pPr>
        <w:spacing w:after="0" w:line="54" w:lineRule="exact"/>
        <w:rPr>
          <w:sz w:val="20"/>
          <w:szCs w:val="20"/>
          <w:color w:val="auto"/>
        </w:rPr>
      </w:pPr>
    </w:p>
    <w:p>
      <w:pPr>
        <w:jc w:val="both"/>
        <w:ind w:right="60" w:firstLine="225"/>
        <w:spacing w:after="0" w:line="289" w:lineRule="auto"/>
        <w:rPr>
          <w:sz w:val="20"/>
          <w:szCs w:val="20"/>
          <w:color w:val="auto"/>
        </w:rPr>
      </w:pPr>
      <w:r>
        <w:rPr>
          <w:rFonts w:ascii="Times New Roman" w:cs="Times New Roman" w:eastAsia="Times New Roman" w:hAnsi="Times New Roman"/>
          <w:sz w:val="17"/>
          <w:szCs w:val="17"/>
          <w:color w:val="auto"/>
        </w:rPr>
        <w:t>Other expense increased $1.4 million, or 36%, from 2006. More than half of the increase was the result of the new FDIC insurance assessment initiated by the FDIC. Although the new FDIC insurance assessment was effective January 1, 2007, United had credits that completely offset the cost during the first two quarters of 2007. The remainder of this increase was the result of higher costs associated with the growth in ATM transactions and internet banking activities.</w:t>
      </w:r>
    </w:p>
    <w:p>
      <w:pPr>
        <w:spacing w:after="0" w:line="50" w:lineRule="exact"/>
        <w:rPr>
          <w:sz w:val="20"/>
          <w:szCs w:val="20"/>
          <w:color w:val="auto"/>
        </w:rPr>
      </w:pPr>
    </w:p>
    <w:p>
      <w:pPr>
        <w:ind w:right="20" w:firstLine="222"/>
        <w:spacing w:after="0" w:line="261" w:lineRule="auto"/>
        <w:rPr>
          <w:sz w:val="20"/>
          <w:szCs w:val="20"/>
          <w:color w:val="auto"/>
        </w:rPr>
      </w:pPr>
      <w:r>
        <w:rPr>
          <w:rFonts w:ascii="Times New Roman" w:cs="Times New Roman" w:eastAsia="Times New Roman" w:hAnsi="Times New Roman"/>
          <w:sz w:val="18"/>
          <w:szCs w:val="18"/>
          <w:color w:val="auto"/>
        </w:rPr>
        <w:t>The efficiency ratio measures total operating expenses as a percentage of total revenue, excluding the provision for loan losses, gains or losses from prepayment of borrowings, and net securities gains or losses. United’s efficiency ratio for the third quarter was 55.34% compared with 56.19% for the third quarter of 2006. United’s efficiency ratio was under its long-term efficiency goal of 56% — 58%, which reflected management’s focus on controlling expense growth in light of a slower pace of loan growth in 2007.</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Income tax expense was $12.4 million for the third quarter, as compared with $10.0 million for the third quarter of 2006, representing a 35.5% and 36.5% effective tax rate, respectively. For the first nine months of 2007 and 2006, income tax expense was $29.3 million and $29.0 million, respectively. The effective tax rate for the same periods was 35.3% and 36.6%, respectively. The effective tax rates were lower than the statutory tax rates primarily due to interest and revenue on certain investment securities and loans that are exempt from income taxes, tax exempt fee revenue and tax credits received on affordable housing investments. The tax rates for 2007 are lower than 2006 primarily as a result of an additional $50 million investment in bank owned life insurance in the second quarter of 2007. Additional information regarding income taxes can be found in Note 14 to the consolidated financial statements filed with United’s 2006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121" w:lineRule="exact"/>
        <w:rPr>
          <w:sz w:val="20"/>
          <w:szCs w:val="20"/>
          <w:color w:val="auto"/>
        </w:rPr>
      </w:pPr>
    </w:p>
    <w:p>
      <w:pPr>
        <w:ind w:right="60" w:firstLine="222"/>
        <w:spacing w:after="0" w:line="255" w:lineRule="auto"/>
        <w:rPr>
          <w:sz w:val="20"/>
          <w:szCs w:val="20"/>
          <w:color w:val="auto"/>
        </w:rPr>
      </w:pPr>
      <w:r>
        <w:rPr>
          <w:rFonts w:ascii="Times New Roman" w:cs="Times New Roman" w:eastAsia="Times New Roman" w:hAnsi="Times New Roman"/>
          <w:sz w:val="18"/>
          <w:szCs w:val="18"/>
          <w:color w:val="auto"/>
        </w:rPr>
        <w:t>Total assets at September 30, 2007 were $8.2 billion, compared with $6.5 billion at September 30, 2006. Average total assets for the third quarter of 2007 were $8.1 billion, up $1.7 billion from average assets in the third quarter of 2006. A significant portion of the growth in assets was the result of the acquisitions of First Bank of the South on June 1, 2007 with total assets of $809 million, including intangible assets, and Southern National Bank on December 1, 2006 with total assets of $416 million in assets, including intangible assets. Loan growth was strong in 2006, but slowed in early 2007 primarily due to a slowdown in residential construction activities related to the surplus of housing and finished lot inventory within United’s markets. Many developers were delaying development projects until housing and finished lot inventories return to more normal levels. Also, because of the longer expected marketing times and concern for a price correction, many loan opportunities did not meet United’s own internal underwriting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presents a summary of the loan portfolio.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 Loans Outstanding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Loan Type</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(commercial and industrial)</w:t>
            </w:r>
          </w:p>
        </w:tc>
        <w:tc>
          <w:tcPr>
            <w:tcW w:w="29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408,466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295,698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1,441,192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1,229,910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1,157,561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commercial</w:t>
            </w:r>
          </w:p>
        </w:tc>
        <w:tc>
          <w:tcPr>
            <w:tcW w:w="2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1,849,658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1,525,608</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1,429,363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2,465,504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2,333,585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1,459,023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9"/>
              </w:rPr>
              <w:t>1,337,728</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Installment</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178,564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179,617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w:t>
            </w:r>
          </w:p>
        </w:tc>
        <w:tc>
          <w:tcPr>
            <w:tcW w:w="2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5,952,749</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5,376,538</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4,965,365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 percentage of total loans:</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(commercial and industrial)</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(secured by real estate)</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commercial</w:t>
            </w:r>
          </w:p>
        </w:tc>
        <w:tc>
          <w:tcPr>
            <w:tcW w:w="2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mortgage</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Installment</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Geographic Location</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Atlanta Region</w:t>
            </w:r>
          </w:p>
        </w:tc>
        <w:tc>
          <w:tcPr>
            <w:tcW w:w="29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2,450,907</w:t>
            </w:r>
          </w:p>
        </w:tc>
        <w:tc>
          <w:tcPr>
            <w:tcW w:w="4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9"/>
              </w:rPr>
              <w:t>2,005,024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Georgia</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2,025,619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2,033,553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833,524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773,302</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Coastal Georgia</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401,940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357,659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240,759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207,000</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190,705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loans</w:t>
            </w:r>
          </w:p>
        </w:tc>
        <w:tc>
          <w:tcPr>
            <w:tcW w:w="2980" w:type="dxa"/>
            <w:vAlign w:val="bottom"/>
            <w:gridSpan w:val="2"/>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5,952,749</w:t>
            </w: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5,376,538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4,965,365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60" w:type="dxa"/>
            <w:vAlign w:val="bottom"/>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firstLine="215"/>
        <w:spacing w:after="0" w:line="256" w:lineRule="auto"/>
        <w:rPr>
          <w:sz w:val="20"/>
          <w:szCs w:val="20"/>
          <w:color w:val="auto"/>
        </w:rPr>
      </w:pPr>
      <w:r>
        <w:rPr>
          <w:rFonts w:ascii="Times New Roman" w:cs="Times New Roman" w:eastAsia="Times New Roman" w:hAnsi="Times New Roman"/>
          <w:sz w:val="18"/>
          <w:szCs w:val="18"/>
          <w:color w:val="auto"/>
        </w:rPr>
        <w:t>At September 30, 2007, total loans were $6.0 billion, an increase of $1.0 billion, or 20%, from September 30, 2006. During 2006, United experienced strong loan growth in all markets, with particular strength in construction and land development loans. In the third quarter of 2007, construction loans decreased from second quarter levels due to the slowdown in the housing market, especially in the Atlanta region. With the acquisition of First Bank of the South, United gained additional expertise in commercial lending that United plans to leverage to better diversify the loan portfolio and boost overall loan growth. The addition of First Bank of the South increased commercial loans to 31% of the loan portfolio at September 30, 2007 from 29% at December 31, 2006.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121" w:lineRule="exact"/>
        <w:rPr>
          <w:sz w:val="20"/>
          <w:szCs w:val="20"/>
          <w:color w:val="auto"/>
        </w:rPr>
      </w:pPr>
    </w:p>
    <w:p>
      <w:pPr>
        <w:ind w:right="80" w:firstLine="225"/>
        <w:spacing w:after="0" w:line="258" w:lineRule="auto"/>
        <w:rPr>
          <w:sz w:val="20"/>
          <w:szCs w:val="20"/>
          <w:color w:val="auto"/>
        </w:rPr>
      </w:pPr>
      <w:r>
        <w:rPr>
          <w:rFonts w:ascii="Times New Roman" w:cs="Times New Roman" w:eastAsia="Times New Roman" w:hAnsi="Times New Roman"/>
          <w:sz w:val="18"/>
          <w:szCs w:val="18"/>
          <w:color w:val="auto"/>
        </w:rPr>
        <w:t xml:space="preserve">United manages asset quality and controls credit risk through close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at all of United’s community banks. Additional information on the credit administration function is included in Item 1 under the heading </w:t>
      </w:r>
      <w:r>
        <w:rPr>
          <w:rFonts w:ascii="Times New Roman" w:cs="Times New Roman" w:eastAsia="Times New Roman" w:hAnsi="Times New Roman"/>
          <w:sz w:val="18"/>
          <w:szCs w:val="18"/>
          <w:i w:val="1"/>
          <w:iCs w:val="1"/>
          <w:color w:val="auto"/>
        </w:rPr>
        <w:t>Loan Review and Non-performing Assets</w:t>
      </w:r>
      <w:r>
        <w:rPr>
          <w:rFonts w:ascii="Times New Roman" w:cs="Times New Roman" w:eastAsia="Times New Roman" w:hAnsi="Times New Roman"/>
          <w:sz w:val="18"/>
          <w:szCs w:val="18"/>
          <w:color w:val="auto"/>
        </w:rPr>
        <w:t xml:space="preserve"> in United’s Annual Report on Form 10-K.</w:t>
      </w:r>
    </w:p>
    <w:p>
      <w:pPr>
        <w:spacing w:after="0" w:line="76" w:lineRule="exact"/>
        <w:rPr>
          <w:sz w:val="20"/>
          <w:szCs w:val="20"/>
          <w:color w:val="auto"/>
        </w:rPr>
      </w:pPr>
    </w:p>
    <w:p>
      <w:pPr>
        <w:ind w:right="100" w:firstLine="222"/>
        <w:spacing w:after="0" w:line="261" w:lineRule="auto"/>
        <w:rPr>
          <w:sz w:val="20"/>
          <w:szCs w:val="20"/>
          <w:color w:val="auto"/>
        </w:rPr>
      </w:pPr>
      <w:r>
        <w:rPr>
          <w:rFonts w:ascii="Times New Roman" w:cs="Times New Roman" w:eastAsia="Times New Roman" w:hAnsi="Times New Roman"/>
          <w:sz w:val="18"/>
          <w:szCs w:val="18"/>
          <w:color w:val="auto"/>
        </w:rPr>
        <w:t>The provision for loan losses charged to earnings was based upon management’s judgment of the amount necessary to maintain the allowance at a level adequate to absorb probable losses at quarter-end. The amount each period is dependent upon many factors including growth and changes in the composition of the loan portfolio, net charge-offs, delinquencies, management’s assessment of loan portfolio quality, the value of collateral, and other economic factors and trends. The evaluation of these factors is performed quarterly by management through an analysis of the adequacy of the allowance for loan losses.</w:t>
      </w:r>
    </w:p>
    <w:p>
      <w:pPr>
        <w:spacing w:after="0" w:line="72" w:lineRule="exact"/>
        <w:rPr>
          <w:sz w:val="20"/>
          <w:szCs w:val="20"/>
          <w:color w:val="auto"/>
        </w:rPr>
      </w:pPr>
    </w:p>
    <w:p>
      <w:pPr>
        <w:ind w:right="260" w:firstLine="225"/>
        <w:spacing w:after="0" w:line="256" w:lineRule="auto"/>
        <w:rPr>
          <w:sz w:val="20"/>
          <w:szCs w:val="20"/>
          <w:color w:val="auto"/>
        </w:rPr>
      </w:pPr>
      <w:r>
        <w:rPr>
          <w:rFonts w:ascii="Times New Roman" w:cs="Times New Roman" w:eastAsia="Times New Roman" w:hAnsi="Times New Roman"/>
          <w:sz w:val="18"/>
          <w:szCs w:val="18"/>
          <w:color w:val="auto"/>
        </w:rPr>
        <w:t>Reviews of non-performing loans, past due loans and larger credits, designed to identify potential charges to the allowance for loan losses, as well as determine the adequacy of the allowance, are conducted on a regular basis during the quarter. These reviews are performed by the senior lending officers, credit administration and management, as well as a separate loan review department, and consider such factors as the financial strength of borrowers, the value of the applicable collateral, past loan loss experience, anticipated loan losses, growth in the loan portfolio, prevailing economic conditions and other factors. United also uses external loan review to supplement the activities of the loan review department and to ensure the independence of the loan review process.</w:t>
      </w:r>
    </w:p>
    <w:p>
      <w:pPr>
        <w:spacing w:after="0" w:line="80" w:lineRule="exact"/>
        <w:rPr>
          <w:sz w:val="20"/>
          <w:szCs w:val="20"/>
          <w:color w:val="auto"/>
        </w:rPr>
      </w:pPr>
    </w:p>
    <w:p>
      <w:pPr>
        <w:ind w:right="14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the allowance for loan losses for the three-month and nine-month periods ended September 30, 2007 and 2006.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Summary of Loan Loss Experience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92,471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58,508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66,566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53,595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Allowance from acquisitions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7,091</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charged-off</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(5,764)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(10,480)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05"/>
        </w:trPr>
        <w:tc>
          <w:tcPr>
            <w:tcW w:w="5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charge-offs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(8,822)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26,100</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10,900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end of period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90,935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60,901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90,935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60,901</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loans:</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 period end</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9"/>
              </w:rPr>
              <w:t>5,952,749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9"/>
              </w:rPr>
              <w:t>4,965,365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7"/>
              </w:rPr>
              <w:t>5,952,749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4,965,365</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9"/>
              </w:rPr>
              <w:t>5,966,933</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9"/>
              </w:rPr>
              <w:t>4,865,886</w:t>
            </w: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5,665,314</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4,688,512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 percentage of average loans (annualized):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charge-offs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Allowance as a percentage of period end loans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as a percentage of period end non-performing loans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0" w:firstLine="225"/>
        <w:spacing w:after="0" w:line="266" w:lineRule="auto"/>
        <w:rPr>
          <w:sz w:val="20"/>
          <w:szCs w:val="20"/>
          <w:color w:val="auto"/>
        </w:rPr>
      </w:pPr>
      <w:r>
        <w:rPr>
          <w:rFonts w:ascii="Times New Roman" w:cs="Times New Roman" w:eastAsia="Times New Roman" w:hAnsi="Times New Roman"/>
          <w:sz w:val="18"/>
          <w:szCs w:val="18"/>
          <w:color w:val="auto"/>
        </w:rPr>
        <w:t>Management believes that the allowance for loan losses at September 30, 2007 is appropriate to absorb losses inherent in the loan portfolio. This assessment involves uncertainty and judgment; therefore, the appropriateness of the allowance for loan losses cannot be determined with precision and may be subject to change in future periods. In addition, bank regulatory authorities, as part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of their periodic examination of the Banks, may require adjustments to the provision for loan losses in future periods if, in their opinion, the results of their review warrant such additions.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table below summarizes non-performing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10 — Non-Performing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2006</w:t>
            </w:r>
          </w:p>
        </w:tc>
        <w:tc>
          <w:tcPr>
            <w:tcW w:w="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23,208</w:t>
            </w: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12,458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Non-accrual loans — Spruce Pine, NC lot loans</w:t>
            </w: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23,575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16,554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63,337</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loans as a percentage of total loans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Excluding Spruce Pine, NC lot loans</w:t>
            </w: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as a percentage of total assets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Excluding Spruce Pine, NC lot loans</w:t>
            </w:r>
          </w:p>
        </w:tc>
        <w:tc>
          <w:tcPr>
            <w:tcW w:w="2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40" w:firstLine="225"/>
        <w:spacing w:after="0" w:line="256" w:lineRule="auto"/>
        <w:rPr>
          <w:sz w:val="20"/>
          <w:szCs w:val="20"/>
          <w:color w:val="auto"/>
        </w:rPr>
      </w:pPr>
      <w:r>
        <w:rPr>
          <w:rFonts w:ascii="Times New Roman" w:cs="Times New Roman" w:eastAsia="Times New Roman" w:hAnsi="Times New Roman"/>
          <w:sz w:val="18"/>
          <w:szCs w:val="18"/>
          <w:color w:val="auto"/>
        </w:rPr>
        <w:t>Non-performing loans totaled $23.2 million at September 30, 2007, excluding the Spruce Pine, North Carolina lot loans, compared with $12.5 million at December 31, 2006 and $8.3 million at September 30, 2006. The increase in non-performing loans at September 30, 2007 is primarily due to the deterioration in the housing market. The largest concentration of non-performing assets, excluding the Spruce Pine, North Carolina lot loans, was in the Atlanta region, representing about 65% of the total. Residential construction was the largest category of non-performing assets, representing about 40% of the total. Non-performing assets, which include non-performing loans and foreclosed real estate, totaled $63.3 million at September 30, 2007, compared with $13.7 million at December 31, 2006 and $9.3 million at September 30, 2006.</w:t>
      </w:r>
    </w:p>
    <w:p>
      <w:pPr>
        <w:spacing w:after="0" w:line="80" w:lineRule="exact"/>
        <w:rPr>
          <w:sz w:val="20"/>
          <w:szCs w:val="20"/>
          <w:color w:val="auto"/>
        </w:rPr>
      </w:pPr>
    </w:p>
    <w:p>
      <w:pPr>
        <w:ind w:right="20" w:firstLine="225"/>
        <w:spacing w:after="0" w:line="258" w:lineRule="auto"/>
        <w:rPr>
          <w:sz w:val="20"/>
          <w:szCs w:val="20"/>
          <w:color w:val="auto"/>
        </w:rPr>
      </w:pPr>
      <w:r>
        <w:rPr>
          <w:rFonts w:ascii="Times New Roman" w:cs="Times New Roman" w:eastAsia="Times New Roman" w:hAnsi="Times New Roman"/>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placed on non-accrual status, interest previously accrued, but not collected, is reversed against current interest revenue. Depending on management’s evaluation of the borrower and loan collateral, interest revenue on a non-accrual loan may be recognized on a cash basis as payments are received. There were no commitments to lend additional funds to customers whose loans were on non-accrual status at September 30, 2007.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21" w:lineRule="exact"/>
        <w:rPr>
          <w:sz w:val="20"/>
          <w:szCs w:val="20"/>
          <w:color w:val="auto"/>
        </w:rPr>
      </w:pPr>
    </w:p>
    <w:p>
      <w:pPr>
        <w:ind w:right="440" w:firstLine="222"/>
        <w:spacing w:after="0" w:line="261"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w:t>
      </w:r>
    </w:p>
    <w:p>
      <w:pPr>
        <w:spacing w:after="0" w:line="72" w:lineRule="exact"/>
        <w:rPr>
          <w:sz w:val="20"/>
          <w:szCs w:val="20"/>
          <w:color w:val="auto"/>
        </w:rPr>
      </w:pPr>
    </w:p>
    <w:p>
      <w:pPr>
        <w:ind w:right="160" w:firstLine="222"/>
        <w:spacing w:after="0" w:line="266" w:lineRule="auto"/>
        <w:rPr>
          <w:sz w:val="20"/>
          <w:szCs w:val="20"/>
          <w:color w:val="auto"/>
        </w:rPr>
      </w:pPr>
      <w:r>
        <w:rPr>
          <w:rFonts w:ascii="Times New Roman" w:cs="Times New Roman" w:eastAsia="Times New Roman" w:hAnsi="Times New Roman"/>
          <w:sz w:val="18"/>
          <w:szCs w:val="18"/>
          <w:color w:val="auto"/>
        </w:rPr>
        <w:t>Total investment securities available for sale at quarter-end increased $316.6 million from a year ago. The growth in the investment securities portfolio slightly exceeded growth in the rest of the balance sheet. At September 30, 2007, the securities portfolio was 16% of total assets, compared with 15% a year ago.</w:t>
      </w:r>
    </w:p>
    <w:p>
      <w:pPr>
        <w:spacing w:after="0" w:line="68" w:lineRule="exact"/>
        <w:rPr>
          <w:sz w:val="20"/>
          <w:szCs w:val="20"/>
          <w:color w:val="auto"/>
        </w:rPr>
      </w:pPr>
    </w:p>
    <w:p>
      <w:pPr>
        <w:ind w:right="120" w:firstLine="222"/>
        <w:spacing w:after="0" w:line="255" w:lineRule="auto"/>
        <w:rPr>
          <w:sz w:val="20"/>
          <w:szCs w:val="20"/>
          <w:color w:val="auto"/>
        </w:rPr>
      </w:pPr>
      <w:r>
        <w:rPr>
          <w:rFonts w:ascii="Times New Roman" w:cs="Times New Roman" w:eastAsia="Times New Roman" w:hAnsi="Times New Roman"/>
          <w:sz w:val="18"/>
          <w:szCs w:val="18"/>
          <w:color w:val="auto"/>
        </w:rPr>
        <w:t>The investment securities portfolio primarily consists of U.S. Government agency securities, U.S. Government sponsored agency mortgage-backed securities, non-agency mortgage-backed securities, and municipal securities. Mortgage-backed securities rely on the underlying pools of mortgage loans to provide a cash flow of principal and interest. The actual maturities of these securities will differ from the contractual maturities because loans underlying the securities may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timing of cash receipts and can result in the holding of a below market yielding asset for a longer time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21" w:lineRule="exact"/>
        <w:rPr>
          <w:sz w:val="20"/>
          <w:szCs w:val="20"/>
          <w:color w:val="auto"/>
        </w:rPr>
      </w:pPr>
    </w:p>
    <w:p>
      <w:pPr>
        <w:ind w:right="120" w:firstLine="222"/>
        <w:spacing w:after="0" w:line="258" w:lineRule="auto"/>
        <w:rPr>
          <w:sz w:val="20"/>
          <w:szCs w:val="20"/>
          <w:color w:val="auto"/>
        </w:rPr>
      </w:pPr>
      <w:r>
        <w:rPr>
          <w:rFonts w:ascii="Times New Roman" w:cs="Times New Roman" w:eastAsia="Times New Roman" w:hAnsi="Times New Roman"/>
          <w:sz w:val="18"/>
          <w:szCs w:val="18"/>
          <w:color w:val="auto"/>
        </w:rPr>
        <w:t>Total deposits at September 30, 2007 were $6.2 billion, an increase of $845.1 million, or 16%, from September 30, 2006. Total non-interest-bearing demand deposit accounts of $737 million increased $70 million, or 11%, NOW accounts of $1.5 billion increased $360 million, or 33%, money market accounts of $495 million increased $259 million, or 109%, and savings accounts of $195 million increased $28 million, or 16% reflecting the acquisitions of First Bank of the South and Southern National Bank and the ongoing success of United’s initiatives to raise core deposits. Excluding acquisitions, demand, NOW, money market and savings accounts increased $193 million, or 9%, from September 30, 2006.</w:t>
      </w:r>
    </w:p>
    <w:p>
      <w:pPr>
        <w:spacing w:after="0" w:line="76" w:lineRule="exact"/>
        <w:rPr>
          <w:sz w:val="20"/>
          <w:szCs w:val="20"/>
          <w:color w:val="auto"/>
        </w:rPr>
      </w:pPr>
    </w:p>
    <w:p>
      <w:pPr>
        <w:ind w:right="80" w:firstLine="222"/>
        <w:spacing w:after="0" w:line="255" w:lineRule="auto"/>
        <w:rPr>
          <w:sz w:val="20"/>
          <w:szCs w:val="20"/>
          <w:color w:val="auto"/>
        </w:rPr>
      </w:pPr>
      <w:r>
        <w:rPr>
          <w:rFonts w:ascii="Times New Roman" w:cs="Times New Roman" w:eastAsia="Times New Roman" w:hAnsi="Times New Roman"/>
          <w:sz w:val="18"/>
          <w:szCs w:val="18"/>
          <w:color w:val="auto"/>
        </w:rPr>
        <w:t>Total time deposits as of September 30, 2007 were $3.3 billion, an increase of $128 million, or 4%, from the third quarter of 2006. Time deposits less than $100,000 totaled $1.6 billion, compared with $1.5 billion a year ago, an increase of 5%. Time deposits of $100,000 and greater totaled $1.4 billion compared with $1.2 billion at September 30, 2006, an increase of 9%. Although much of the increase was the result of the acquisitions, in 2006 time deposit rates lagged the rise in rates on comparable wholesale borrowings allowing us to aggressively fund our balance sheet with certificates of deposits at rates as much as 100 basis points below wholesale borrowing rates. In late 2006 and into early 2007, competition for time deposits drove rates above wholesale borrowings leading us to allow non-relationship time deposits to leave the bank in favor of lower priced wholesale funding sources. Despite the shift in funding toward wholesale borrowings, our loan to deposit ratio remains below 100%.</w:t>
      </w:r>
    </w:p>
    <w:p>
      <w:pPr>
        <w:spacing w:after="0" w:line="81" w:lineRule="exact"/>
        <w:rPr>
          <w:sz w:val="20"/>
          <w:szCs w:val="20"/>
          <w:color w:val="auto"/>
        </w:rPr>
      </w:pPr>
    </w:p>
    <w:p>
      <w:pPr>
        <w:ind w:right="420" w:firstLine="225"/>
        <w:spacing w:after="0" w:line="282" w:lineRule="auto"/>
        <w:rPr>
          <w:sz w:val="20"/>
          <w:szCs w:val="20"/>
          <w:color w:val="auto"/>
        </w:rPr>
      </w:pPr>
      <w:r>
        <w:rPr>
          <w:rFonts w:ascii="Times New Roman" w:cs="Times New Roman" w:eastAsia="Times New Roman" w:hAnsi="Times New Roman"/>
          <w:sz w:val="18"/>
          <w:szCs w:val="18"/>
          <w:color w:val="auto"/>
        </w:rPr>
        <w:t>United utilizes “brokered” time deposits, issued in certificates of less than $100,000, as an alternative source of cost-effective funding. Brokered time deposits outstanding at September 30, 2007 were $308 million compared with $361 million at September 30, 2006, a decrease of 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Funding</w:t>
      </w:r>
    </w:p>
    <w:p>
      <w:pPr>
        <w:spacing w:after="0" w:line="121" w:lineRule="exact"/>
        <w:rPr>
          <w:sz w:val="20"/>
          <w:szCs w:val="20"/>
          <w:color w:val="auto"/>
        </w:rPr>
      </w:pPr>
    </w:p>
    <w:p>
      <w:pPr>
        <w:ind w:right="200" w:firstLine="215"/>
        <w:spacing w:after="0" w:line="258" w:lineRule="auto"/>
        <w:rPr>
          <w:sz w:val="20"/>
          <w:szCs w:val="20"/>
          <w:color w:val="auto"/>
        </w:rPr>
      </w:pPr>
      <w:r>
        <w:rPr>
          <w:rFonts w:ascii="Times New Roman" w:cs="Times New Roman" w:eastAsia="Times New Roman" w:hAnsi="Times New Roman"/>
          <w:sz w:val="18"/>
          <w:szCs w:val="18"/>
          <w:color w:val="auto"/>
        </w:rPr>
        <w:t>At September 30, 2007, both of the Banks were shareholders in a Federal Home Loan Bank (“FHLB”). Through this affiliation, FHLB secured advances totaled $519 million and $413 million at September 30, 2007 and 2006, respectively. United anticipates continued utilization of this short and long-term source of funds. FHLB advances outstanding at September 30, 2007 had both fixed and floating interest rates ranging from 2.85% to 6.59%. Additional information regarding FHLB advances, including scheduled maturities, is provided in Note 10 to the consolidated financial statements included in United’s 2006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121" w:lineRule="exact"/>
        <w:rPr>
          <w:sz w:val="20"/>
          <w:szCs w:val="20"/>
          <w:color w:val="auto"/>
        </w:rPr>
      </w:pPr>
    </w:p>
    <w:p>
      <w:pPr>
        <w:ind w:right="20" w:firstLine="222"/>
        <w:spacing w:after="0" w:line="261"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impact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72"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Net interest revenue is influenced by changes in the level of interest rates. United manages its exposure to fluctuations in interest rates through policies established by the Asset/Liability Management Committee (“ALCO”). ALCO meets regularly and has responsibility for approving asset/liability management policies, formulating and implementing strategies to improve balance sheet positioning and/or earnings, and reviewing United’s interest rate sensitivity.</w:t>
      </w:r>
    </w:p>
    <w:p>
      <w:pPr>
        <w:spacing w:after="0" w:line="68"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One of the tools management utilizes to estimate the sensitivity of net interest revenue to changes in interest rates is an interest rate simulation model. Such estimates are based upon a number of assumptions for various scenarios, including the level of balance sheet growth, deposit repricing characteristics and the rate of prepayments. The simulation model measures the potential change in net interest revenue over a twelve-month period under various interest rate scenarios. United’s baseline scenario assumes rates remain flat (“flat rate scenario”) over the next twelve months and is the scenario that all others are compared to in order to measure the change in net interest revenue. United runs ramp scenarios that assume gradual increases and decreases of 200 basis points each over the next twelve months. United’s policy for net interest revenue simulation is limited to a change from the flat rate scenario of less than 10% for the up or down 200 basis point ramp scenarios over twelve months. At September 30, 2007, United’s simulation model indicated that a 200 basis point increase in rates over the next twelve months would cause an approximate .3% increase in net interest revenue and a 200 basis point decrease in rates over the next twelve months would cause an approximate .8% decrease in net interest revenue.</w:t>
      </w:r>
    </w:p>
    <w:p>
      <w:pPr>
        <w:spacing w:after="0" w:line="81" w:lineRule="exact"/>
        <w:rPr>
          <w:sz w:val="20"/>
          <w:szCs w:val="20"/>
          <w:color w:val="auto"/>
        </w:rPr>
      </w:pPr>
    </w:p>
    <w:p>
      <w:pPr>
        <w:ind w:right="240" w:firstLine="225"/>
        <w:spacing w:after="0" w:line="258" w:lineRule="auto"/>
        <w:rPr>
          <w:sz w:val="20"/>
          <w:szCs w:val="20"/>
          <w:color w:val="auto"/>
        </w:rPr>
      </w:pPr>
      <w:r>
        <w:rPr>
          <w:rFonts w:ascii="Times New Roman" w:cs="Times New Roman" w:eastAsia="Times New Roman" w:hAnsi="Times New Roman"/>
          <w:sz w:val="18"/>
          <w:szCs w:val="18"/>
          <w:color w:val="auto"/>
        </w:rPr>
        <w:t>In order to manage its interest rate sensitivity, United uses off-balance sheet contracts that are considered derivative financial instruments. Derivative financial instruments can be a cost and capital effective means of modifying the repricing characteristics of on-balance sheet assets and liabilities. At September 30, 2007, United was a party to interest rate swap contracts under which it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presents the derivative contracts outstanding at September 30, 2007.</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11 — Derivative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3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Type/Maturity</w:t>
            </w: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Received /</w:t>
            </w: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Rate Paid</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(9)</w:t>
            </w:r>
          </w:p>
        </w:tc>
        <w:tc>
          <w:tcPr>
            <w:tcW w:w="0" w:type="dxa"/>
            <w:vAlign w:val="bottom"/>
          </w:tcPr>
          <w:p>
            <w:pPr>
              <w:spacing w:after="0"/>
              <w:rPr>
                <w:sz w:val="1"/>
                <w:szCs w:val="1"/>
                <w:color w:val="auto"/>
              </w:rPr>
            </w:pPr>
          </w:p>
        </w:tc>
      </w:tr>
      <w:tr>
        <w:trPr>
          <w:trHeight w:val="173"/>
        </w:trPr>
        <w:tc>
          <w:tcPr>
            <w:tcW w:w="62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Floor Rate</w:t>
            </w:r>
          </w:p>
        </w:tc>
        <w:tc>
          <w:tcPr>
            <w:tcW w:w="1380" w:type="dxa"/>
            <w:vAlign w:val="bottom"/>
            <w:gridSpan w:val="2"/>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Hedges: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LIBOR Swaps (Brokered CDs)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September 29, 2008 </w:t>
            </w:r>
            <w:r>
              <w:rPr>
                <w:rFonts w:ascii="Times New Roman" w:cs="Times New Roman" w:eastAsia="Times New Roman" w:hAnsi="Times New Roman"/>
                <w:sz w:val="15"/>
                <w:szCs w:val="15"/>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5.25%</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June 18, 2008 </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20,000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5.15</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November 3, 2008 </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April 13, 2017 </w:t>
            </w:r>
            <w:r>
              <w:rPr>
                <w:rFonts w:ascii="Times New Roman" w:cs="Times New Roman" w:eastAsia="Times New Roman" w:hAnsi="Times New Roman"/>
                <w:sz w:val="15"/>
                <w:szCs w:val="15"/>
                <w:color w:val="auto"/>
              </w:rPr>
              <w:t>(4)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40" w:type="dxa"/>
            <w:vAlign w:val="bottom"/>
          </w:tcPr>
          <w:p>
            <w:pPr>
              <w:spacing w:after="0"/>
              <w:rPr>
                <w:sz w:val="19"/>
                <w:szCs w:val="19"/>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5.20</w:t>
            </w:r>
          </w:p>
        </w:tc>
        <w:tc>
          <w:tcPr>
            <w:tcW w:w="700" w:type="dxa"/>
            <w:vAlign w:val="bottom"/>
          </w:tcPr>
          <w:p>
            <w:pPr>
              <w:spacing w:after="0"/>
              <w:rPr>
                <w:sz w:val="19"/>
                <w:szCs w:val="19"/>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4.94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5.15</w:t>
            </w: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5.19</w:t>
            </w:r>
          </w:p>
        </w:tc>
        <w:tc>
          <w:tcPr>
            <w:tcW w:w="7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LIBOR Swaps (FHLB Advances)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January 5, 2009 </w:t>
            </w: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5.06</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March 2, 2009 </w:t>
            </w:r>
            <w:r>
              <w:rPr>
                <w:rFonts w:ascii="Times New Roman" w:cs="Times New Roman" w:eastAsia="Times New Roman" w:hAnsi="Times New Roman"/>
                <w:sz w:val="15"/>
                <w:szCs w:val="15"/>
                <w:color w:val="auto"/>
              </w:rPr>
              <w:t>(6)</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40" w:type="dxa"/>
            <w:vAlign w:val="bottom"/>
          </w:tcPr>
          <w:p>
            <w:pPr>
              <w:spacing w:after="0"/>
              <w:rPr>
                <w:sz w:val="19"/>
                <w:szCs w:val="19"/>
                <w:color w:val="auto"/>
              </w:rPr>
            </w:pPr>
          </w:p>
        </w:tc>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5"/>
              </w:rPr>
              <w:t>4.90</w:t>
            </w:r>
          </w:p>
        </w:tc>
        <w:tc>
          <w:tcPr>
            <w:tcW w:w="700" w:type="dxa"/>
            <w:vAlign w:val="bottom"/>
          </w:tcPr>
          <w:p>
            <w:pPr>
              <w:spacing w:after="0"/>
              <w:rPr>
                <w:sz w:val="19"/>
                <w:szCs w:val="19"/>
                <w:color w:val="auto"/>
              </w:rPr>
            </w:pPr>
          </w:p>
        </w:tc>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5"/>
              </w:rPr>
              <w:t>5.54</w:t>
            </w: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4.98</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 Fair Value Hedges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5"/>
              </w:rPr>
              <w:t>5.07</w:t>
            </w:r>
          </w:p>
        </w:tc>
        <w:tc>
          <w:tcPr>
            <w:tcW w:w="70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5"/>
              </w:rPr>
              <w:t>5.36</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Prime Swaps (Prime Loans) </w:t>
            </w:r>
            <w:r>
              <w:rPr>
                <w:rFonts w:ascii="Times New Roman" w:cs="Times New Roman" w:eastAsia="Times New Roman" w:hAnsi="Times New Roman"/>
                <w:sz w:val="15"/>
                <w:szCs w:val="15"/>
                <w:b w:val="1"/>
                <w:bCs w:val="1"/>
                <w:color w:val="auto"/>
              </w:rPr>
              <w:t>(7)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November 5, 2007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8.41</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 2008</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8.40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April 17, 2008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8.25</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April 17, 2008</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8.25</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May 1, 2008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8.33</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1, 2008</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8.34</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August 4, 2008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8.32</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November 4, 2008</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100,000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8.32</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February 1, 2009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8.31</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 4, 2009</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30,000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8.29</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June 11, 2010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8.26</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64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5"/>
              </w:rPr>
              <w:t>8.32</w:t>
            </w:r>
          </w:p>
        </w:tc>
        <w:tc>
          <w:tcPr>
            <w:tcW w:w="70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5"/>
              </w:rPr>
              <w:t>7.75</w:t>
            </w: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Prime Floors (Prime Loans) </w:t>
            </w:r>
            <w:r>
              <w:rPr>
                <w:rFonts w:ascii="Times New Roman" w:cs="Times New Roman" w:eastAsia="Times New Roman" w:hAnsi="Times New Roman"/>
                <w:sz w:val="15"/>
                <w:szCs w:val="15"/>
                <w:b w:val="1"/>
                <w:bCs w:val="1"/>
                <w:color w:val="auto"/>
              </w:rPr>
              <w:t>(8)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 2009</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25,000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8.75</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May 1, 2009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8.75</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August 1, 2009</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75,000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8.75</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November 1, 2009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75,000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8.75</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4, 2010</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100,000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8.75</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May 4, 2010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100,000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8.75</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August 1, 2010</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8.75</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August 4, 2010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50,000</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8.75</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Total Cash Flow Hedges: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1,030,000</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Total Derivative Contracts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1,135,000</w:t>
            </w: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Paid equals 1-Month LIBOR minus .0075</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Paid equals 1-Month LIBOR minus .2725</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Paid equals 1-Month LIBOR minus .3435</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Paid equals 1-Month LIBOR minus .1100</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Paid equals 1-Month LIBOR minus .1101</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Paid equals 1-Month LIBOR minus .1280.</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Paid equals Prime rate as of September 30, 2007</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contracts receive cash payments equal to the floor rate less the prime rate.</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accrued interest</w:t>
      </w:r>
    </w:p>
    <w:p>
      <w:pPr>
        <w:sectPr>
          <w:pgSz w:w="11900" w:h="16838" w:orient="portrait"/>
          <w:cols w:equalWidth="0" w:num="1">
            <w:col w:w="11420"/>
          </w:cols>
          <w:pgMar w:left="240" w:top="41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impact of the change in the fair value of the derivative financial instrument and the offsetting impact of the change in fair value of the hedged asset or liability. At September 30, 2007, United had interest rate swap contracts with a total notional amount of $530 million that were designated as cash flow hedges of prime based loans. United had interest rate floor contracts with a total notional of $500 million that were also designated as cash flow hedges of prime based loans. United also has six receive fixed, pay LIBOR swap contracts with a total notional of $105 million that were accounted for as fair value hedges of brokered deposits and fixed rate FHLB advances.</w:t>
      </w:r>
    </w:p>
    <w:p>
      <w:pPr>
        <w:spacing w:after="0" w:line="80"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impact on the financial condition or results of operations. In order to mitigate potential credit risk, from time to time United may require the counterparties to derivative contracts to pledge securities as collateral to cover the net exposure.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121" w:lineRule="exact"/>
        <w:rPr>
          <w:sz w:val="20"/>
          <w:szCs w:val="20"/>
          <w:color w:val="auto"/>
        </w:rPr>
      </w:pPr>
    </w:p>
    <w:p>
      <w:pPr>
        <w:ind w:right="240" w:firstLine="222"/>
        <w:spacing w:after="0" w:line="258" w:lineRule="auto"/>
        <w:rPr>
          <w:sz w:val="20"/>
          <w:szCs w:val="20"/>
          <w:color w:val="auto"/>
        </w:rPr>
      </w:pPr>
      <w:r>
        <w:rPr>
          <w:rFonts w:ascii="Times New Roman" w:cs="Times New Roman" w:eastAsia="Times New Roman" w:hAnsi="Times New Roman"/>
          <w:sz w:val="18"/>
          <w:szCs w:val="18"/>
          <w:color w:val="auto"/>
        </w:rPr>
        <w:t>The objective of liquidity management is to ensure that sufficient funding is available, at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w:t>
      </w:r>
    </w:p>
    <w:p>
      <w:pPr>
        <w:spacing w:after="0" w:line="76" w:lineRule="exact"/>
        <w:rPr>
          <w:sz w:val="20"/>
          <w:szCs w:val="20"/>
          <w:color w:val="auto"/>
        </w:rPr>
      </w:pPr>
    </w:p>
    <w:p>
      <w:pPr>
        <w:ind w:right="40" w:firstLine="222"/>
        <w:spacing w:after="0" w:line="289" w:lineRule="auto"/>
        <w:rPr>
          <w:sz w:val="20"/>
          <w:szCs w:val="20"/>
          <w:color w:val="auto"/>
        </w:rPr>
      </w:pPr>
      <w:r>
        <w:rPr>
          <w:rFonts w:ascii="Times New Roman" w:cs="Times New Roman" w:eastAsia="Times New Roman" w:hAnsi="Times New Roman"/>
          <w:sz w:val="17"/>
          <w:szCs w:val="17"/>
          <w:color w:val="auto"/>
        </w:rPr>
        <w:t>The primary objectives of asset/liability management are to provide for adequate liquidity in order to meet the needs of customers and to maintain an optimal balance between interest-sensitive assets and interest-sensitive liabilities; so that United can also meet the investment requirements of its shareholders as market interest rates change. Daily monitoring of the sources and uses of funds is necessary to maintain a position that meets both requirements.</w:t>
      </w:r>
    </w:p>
    <w:p>
      <w:pPr>
        <w:spacing w:after="0" w:line="50" w:lineRule="exact"/>
        <w:rPr>
          <w:sz w:val="20"/>
          <w:szCs w:val="20"/>
          <w:color w:val="auto"/>
        </w:rPr>
      </w:pPr>
    </w:p>
    <w:p>
      <w:pPr>
        <w:ind w:firstLine="222"/>
        <w:spacing w:after="0" w:line="266"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loan principal repayments and the maturities and sales of securities. Mortgage loans held for sale totaled $23.7 million at September 30, 2007, and typically turn over every 45 days as the closed loans are sold to investors in the secondary market.</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liability section of the balance sheet provides liquidity through interest-bearing and noninterest-bearing deposit accounts. Federal funds purchased,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FHLB advances and securities sold under agreements to repurchase are additional sources of liquidity and represent United’s incremental borrowing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sources of liquidity are generally short-term in nature and are used as necessary to fund asset growth and meet other short-term liquidity needs.</w:t>
      </w:r>
    </w:p>
    <w:p>
      <w:pPr>
        <w:spacing w:after="0" w:line="99" w:lineRule="exact"/>
        <w:rPr>
          <w:sz w:val="20"/>
          <w:szCs w:val="20"/>
          <w:color w:val="auto"/>
        </w:rPr>
      </w:pPr>
    </w:p>
    <w:p>
      <w:pPr>
        <w:ind w:right="500" w:firstLine="225"/>
        <w:spacing w:after="0" w:line="261" w:lineRule="auto"/>
        <w:rPr>
          <w:sz w:val="20"/>
          <w:szCs w:val="20"/>
          <w:color w:val="auto"/>
        </w:rPr>
      </w:pPr>
      <w:r>
        <w:rPr>
          <w:rFonts w:ascii="Times New Roman" w:cs="Times New Roman" w:eastAsia="Times New Roman" w:hAnsi="Times New Roman"/>
          <w:sz w:val="18"/>
          <w:szCs w:val="18"/>
          <w:color w:val="auto"/>
        </w:rPr>
        <w:t>United has available a line of credit and a joint credit agreement at its holding company with other financial institutions totaling $75 million. At September 30, 2007, United had an outstanding balance of $25.0 million on these credit facilities. United had sufficient qualifying collateral to increase FHLB advances by $385 million at September 30, 2007. United’s internal policy limits brokered deposits to 25% of total non-brokered deposits. At September 30, 2007, United had the capacity to increase brokered deposits by $1.2 billion and still remain within this limit.</w:t>
      </w:r>
    </w:p>
    <w:p>
      <w:pPr>
        <w:spacing w:after="0" w:line="72" w:lineRule="exact"/>
        <w:rPr>
          <w:sz w:val="20"/>
          <w:szCs w:val="20"/>
          <w:color w:val="auto"/>
        </w:rPr>
      </w:pPr>
    </w:p>
    <w:p>
      <w:pPr>
        <w:ind w:right="20" w:firstLine="215"/>
        <w:spacing w:after="0" w:line="254" w:lineRule="auto"/>
        <w:rPr>
          <w:sz w:val="20"/>
          <w:szCs w:val="20"/>
          <w:color w:val="auto"/>
        </w:rPr>
      </w:pPr>
      <w:r>
        <w:rPr>
          <w:rFonts w:ascii="Times New Roman" w:cs="Times New Roman" w:eastAsia="Times New Roman" w:hAnsi="Times New Roman"/>
          <w:sz w:val="18"/>
          <w:szCs w:val="18"/>
          <w:color w:val="auto"/>
        </w:rPr>
        <w:t>As disclosed in United’s consolidated statement of cash flows, net cash provided by operating activities was $86.2 million for the nine months ended September 30, 2007. The major contributors in this category were net income of $53.8 million, provision for loan losses of $26.1 million, a decrease in mortgage loans held for sale of $11.6 million, non cash expenses for depreciation, amortization and accretion of $10.6 million, and stock based compensation of $2.6 million,. Those sources were offset by uses including an increase in other assets and accrued interest receivable of $9.2 million and a decrease in accrued expenses and other liabilities of $8.5 million. Net cash used by investing activities of $280.5 million consisted primarily of purchases of investment securities of $484.2 million, a net increase in loans totaling $81.4 million, the purchase of bank owned life insurance of $50 million, purchases of premises and equipment of $26.8 million, and cash paid for acquisitions of $4.3 million. Net cash provided by financing activities of $261.5 million consisted primarily a net increase in federal funds purchased, repurchase agreements, and other short-term borrowings of $472.9 million that were offset by a net decrease in deposits of $186.4 million and the use of cash to purchase treasury stock of $31.9 million, and by the use of cash for dividends paid of $11.7 million. In the opinion of management, the liquidity position at September 30, 2007 is sufficient to meet its expected cash flow requirements.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121"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Shareholders’ equity at September 30, 2007 was $833.8 million, an increase of $307.0 million, or 58%, from September 30, 2006. Accumulated other comprehensive income (loss) is not included in the calculation of regulatory capital adequacy ratios. Excluding the change in the accumulated other comprehensive income (loss), shareholders’ equity increased $298 million, or 56%, from September 30, 2006. Dividends of $12.6 million, or $.27 per share, were declared on common stock during the first nine months of 2007, an increase of 30% from the amount declared in the same period in 2006 due to a 13% increase in the dividend rate and an increase in the number of outstanding shares primarily resulting from the acquisitions of First Bank of the South and Southern National Bank. The dividend payout ratio was 19% for the third quarters of 2007 and 2006 based on operating earnings per share. Although, United retains a portion of its earnings in order to provide a cost-effective source of capital for continued growth and expansion, the company recognizes that cash dividends are an important component of shareholder value, and therefore, provides for cash dividends when earnings and capital levels permit.</w:t>
      </w:r>
    </w:p>
    <w:p>
      <w:pPr>
        <w:spacing w:after="0" w:line="77"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United had in place a Board approved repurchase authorization of 1,000,000 shares of its outstanding common stock that expires on December 31, 2007. At its July 19, 2007 meeting, United’s Board of Directors increased the authorization to 2,000,000 shares. In the third quarter, United repurchased 1,304,775 shares of its outstanding common stock at a cost of $31.9 million. At its October 18, 2007 meeting, United’s Board further increased the authorization to 3,000,000 shares and extended the expiration date to December 31, 2008.</w:t>
      </w:r>
    </w:p>
    <w:p>
      <w:pPr>
        <w:spacing w:after="0" w:line="72" w:lineRule="exact"/>
        <w:rPr>
          <w:sz w:val="20"/>
          <w:szCs w:val="20"/>
          <w:color w:val="auto"/>
        </w:rPr>
      </w:pPr>
    </w:p>
    <w:p>
      <w:pPr>
        <w:ind w:right="400" w:firstLine="225"/>
        <w:spacing w:after="0" w:line="282" w:lineRule="auto"/>
        <w:rPr>
          <w:sz w:val="20"/>
          <w:szCs w:val="20"/>
          <w:color w:val="auto"/>
        </w:rPr>
      </w:pPr>
      <w:r>
        <w:rPr>
          <w:rFonts w:ascii="Times New Roman" w:cs="Times New Roman" w:eastAsia="Times New Roman" w:hAnsi="Times New Roman"/>
          <w:sz w:val="18"/>
          <w:szCs w:val="18"/>
          <w:color w:val="auto"/>
        </w:rPr>
        <w:t>United’s common stock trades on the Nasdaq Global Select Market under the symbol “UCBI”. Below is a quarterly schedule of high, low and closing stock prices and average daily volume for 2007 and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 Stock Price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2007</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2006</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9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0"/>
                <w:szCs w:val="10"/>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Pr>
          <w:p>
            <w:pPr>
              <w:spacing w:after="0"/>
              <w:rPr>
                <w:sz w:val="10"/>
                <w:szCs w:val="10"/>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Close</w:t>
            </w:r>
          </w:p>
        </w:tc>
        <w:tc>
          <w:tcPr>
            <w:tcW w:w="26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Avg Daily</w:t>
            </w:r>
          </w:p>
        </w:tc>
        <w:tc>
          <w:tcPr>
            <w:tcW w:w="260" w:type="dxa"/>
            <w:vAlign w:val="bottom"/>
          </w:tcPr>
          <w:p>
            <w:pPr>
              <w:spacing w:after="0"/>
              <w:rPr>
                <w:sz w:val="10"/>
                <w:szCs w:val="10"/>
                <w:color w:val="auto"/>
              </w:rPr>
            </w:pPr>
          </w:p>
        </w:tc>
        <w:tc>
          <w:tcPr>
            <w:tcW w:w="9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0"/>
                <w:szCs w:val="10"/>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0"/>
                <w:szCs w:val="10"/>
                <w:color w:val="auto"/>
              </w:rPr>
            </w:pPr>
          </w:p>
        </w:tc>
        <w:tc>
          <w:tcPr>
            <w:tcW w:w="9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Close</w:t>
            </w:r>
          </w:p>
        </w:tc>
        <w:tc>
          <w:tcPr>
            <w:tcW w:w="24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Avg Daily</w:t>
            </w: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$34.98</w:t>
            </w:r>
          </w:p>
        </w:tc>
        <w:tc>
          <w:tcPr>
            <w:tcW w:w="11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$30.81</w:t>
            </w:r>
          </w:p>
        </w:tc>
        <w:tc>
          <w:tcPr>
            <w:tcW w:w="11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$32.79</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232,269</w:t>
            </w:r>
          </w:p>
        </w:tc>
        <w:tc>
          <w:tcPr>
            <w:tcW w:w="12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$29.64</w:t>
            </w:r>
          </w:p>
        </w:tc>
        <w:tc>
          <w:tcPr>
            <w:tcW w:w="11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$26.02</w:t>
            </w:r>
          </w:p>
        </w:tc>
        <w:tc>
          <w:tcPr>
            <w:tcW w:w="12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$28.15</w:t>
            </w:r>
          </w:p>
        </w:tc>
        <w:tc>
          <w:tcPr>
            <w:tcW w:w="12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59,252</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33.03</w:t>
            </w: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25.80</w:t>
            </w: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25.89</w:t>
            </w:r>
          </w:p>
        </w:tc>
        <w:tc>
          <w:tcPr>
            <w:tcW w:w="1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266,682</w:t>
            </w:r>
          </w:p>
        </w:tc>
        <w:tc>
          <w:tcPr>
            <w:tcW w:w="12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31.26</w:t>
            </w: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27.02</w:t>
            </w:r>
          </w:p>
        </w:tc>
        <w:tc>
          <w:tcPr>
            <w:tcW w:w="12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30.44</w:t>
            </w:r>
          </w:p>
        </w:tc>
        <w:tc>
          <w:tcPr>
            <w:tcW w:w="12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92,937</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27.50</w:t>
            </w:r>
          </w:p>
        </w:tc>
        <w:tc>
          <w:tcPr>
            <w:tcW w:w="11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22.16</w:t>
            </w:r>
          </w:p>
        </w:tc>
        <w:tc>
          <w:tcPr>
            <w:tcW w:w="11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24.52</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346,596</w:t>
            </w:r>
          </w:p>
        </w:tc>
        <w:tc>
          <w:tcPr>
            <w:tcW w:w="12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33.10</w:t>
            </w:r>
          </w:p>
        </w:tc>
        <w:tc>
          <w:tcPr>
            <w:tcW w:w="11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27.51</w:t>
            </w:r>
          </w:p>
        </w:tc>
        <w:tc>
          <w:tcPr>
            <w:tcW w:w="12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30.05</w:t>
            </w:r>
          </w:p>
        </w:tc>
        <w:tc>
          <w:tcPr>
            <w:tcW w:w="12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86,495</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33.37</w:t>
            </w: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29.03</w:t>
            </w:r>
          </w:p>
        </w:tc>
        <w:tc>
          <w:tcPr>
            <w:tcW w:w="12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32.32</w:t>
            </w:r>
          </w:p>
        </w:tc>
        <w:tc>
          <w:tcPr>
            <w:tcW w:w="12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87,626</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increase in the average daily trading volume in 2007 resulted from United’s inclusion in Standard &amp; Poors’ SmallCap 600 index on March 9, 2007.</w:t>
      </w:r>
    </w:p>
    <w:p>
      <w:pPr>
        <w:spacing w:after="0" w:line="117" w:lineRule="exact"/>
        <w:rPr>
          <w:sz w:val="20"/>
          <w:szCs w:val="20"/>
          <w:color w:val="auto"/>
        </w:rPr>
      </w:pPr>
    </w:p>
    <w:p>
      <w:pPr>
        <w:ind w:right="300" w:firstLine="22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quarterly cash dividends declared in 2007 and 2006 and the respective payout ratios as a percentage of basic operating earnings per share, which excludes the effect of a $15 million special fraud-related loan loss provision in the second quarter of 2007.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13 — Dividend Payout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4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2007</w:t>
            </w:r>
          </w:p>
        </w:tc>
        <w:tc>
          <w:tcPr>
            <w:tcW w:w="8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2006</w:t>
            </w:r>
          </w:p>
        </w:tc>
      </w:tr>
      <w:tr>
        <w:trPr>
          <w:trHeight w:val="142"/>
        </w:trPr>
        <w:tc>
          <w:tcPr>
            <w:tcW w:w="6220" w:type="dxa"/>
            <w:vAlign w:val="bottom"/>
          </w:tcPr>
          <w:p>
            <w:pPr>
              <w:spacing w:after="0"/>
              <w:rPr>
                <w:sz w:val="12"/>
                <w:szCs w:val="12"/>
                <w:color w:val="auto"/>
              </w:rPr>
            </w:pPr>
          </w:p>
        </w:tc>
        <w:tc>
          <w:tcPr>
            <w:tcW w:w="1440" w:type="dxa"/>
            <w:vAlign w:val="bottom"/>
            <w:tcBorders>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88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Payout %</w:t>
            </w:r>
          </w:p>
        </w:tc>
        <w:tc>
          <w:tcPr>
            <w:tcW w:w="560" w:type="dxa"/>
            <w:vAlign w:val="bottom"/>
          </w:tcPr>
          <w:p>
            <w:pPr>
              <w:spacing w:after="0"/>
              <w:rPr>
                <w:sz w:val="12"/>
                <w:szCs w:val="12"/>
                <w:color w:val="auto"/>
              </w:rPr>
            </w:pPr>
          </w:p>
        </w:tc>
        <w:tc>
          <w:tcPr>
            <w:tcW w:w="8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440" w:type="dxa"/>
            <w:vAlign w:val="bottom"/>
            <w:tcBorders>
              <w:bottom w:val="single" w:sz="8" w:color="auto"/>
            </w:tcBorders>
          </w:tcPr>
          <w:p>
            <w:pPr>
              <w:jc w:val="center"/>
              <w:ind w:left="496"/>
              <w:spacing w:after="0" w:line="142" w:lineRule="exact"/>
              <w:rPr>
                <w:sz w:val="20"/>
                <w:szCs w:val="20"/>
                <w:color w:val="auto"/>
              </w:rPr>
            </w:pPr>
            <w:r>
              <w:rPr>
                <w:rFonts w:ascii="Times New Roman" w:cs="Times New Roman" w:eastAsia="Times New Roman" w:hAnsi="Times New Roman"/>
                <w:sz w:val="14"/>
                <w:szCs w:val="14"/>
                <w:b w:val="1"/>
                <w:bCs w:val="1"/>
                <w:color w:val="auto"/>
              </w:rPr>
              <w:t>Payout %</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4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$.09</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$.08</w:t>
            </w:r>
          </w:p>
        </w:tc>
        <w:tc>
          <w:tcPr>
            <w:tcW w:w="1440" w:type="dxa"/>
            <w:vAlign w:val="bottom"/>
            <w:shd w:val="clear" w:color="auto" w:fill="CCEEFF"/>
          </w:tcPr>
          <w:p>
            <w:pPr>
              <w:jc w:val="center"/>
              <w:ind w:left="496"/>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44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.09</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5"/>
                <w:szCs w:val="15"/>
                <w:color w:val="auto"/>
              </w:rPr>
              <w:t>*</w:t>
            </w:r>
          </w:p>
        </w:tc>
        <w:tc>
          <w:tcPr>
            <w:tcW w:w="14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.08</w:t>
            </w:r>
          </w:p>
        </w:tc>
        <w:tc>
          <w:tcPr>
            <w:tcW w:w="1440" w:type="dxa"/>
            <w:vAlign w:val="bottom"/>
          </w:tcPr>
          <w:p>
            <w:pPr>
              <w:jc w:val="center"/>
              <w:ind w:left="496"/>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4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.09</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.08</w:t>
            </w:r>
          </w:p>
        </w:tc>
        <w:tc>
          <w:tcPr>
            <w:tcW w:w="1440" w:type="dxa"/>
            <w:vAlign w:val="bottom"/>
            <w:shd w:val="clear" w:color="auto" w:fill="CCEEFF"/>
          </w:tcPr>
          <w:p>
            <w:pPr>
              <w:jc w:val="center"/>
              <w:ind w:left="496"/>
              <w:spacing w:after="0"/>
              <w:rPr>
                <w:sz w:val="20"/>
                <w:szCs w:val="20"/>
                <w:color w:val="auto"/>
              </w:rPr>
            </w:pPr>
            <w:r>
              <w:rPr>
                <w:rFonts w:ascii="Times New Roman" w:cs="Times New Roman" w:eastAsia="Times New Roman" w:hAnsi="Times New Roman"/>
                <w:sz w:val="18"/>
                <w:szCs w:val="18"/>
                <w:color w:val="auto"/>
                <w:w w:val="99"/>
              </w:rPr>
              <w:t>19</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.08</w:t>
            </w:r>
          </w:p>
        </w:tc>
        <w:tc>
          <w:tcPr>
            <w:tcW w:w="1440" w:type="dxa"/>
            <w:vAlign w:val="bottom"/>
          </w:tcPr>
          <w:p>
            <w:pPr>
              <w:jc w:val="center"/>
              <w:ind w:left="496"/>
              <w:spacing w:after="0"/>
              <w:rPr>
                <w:sz w:val="20"/>
                <w:szCs w:val="20"/>
                <w:color w:val="auto"/>
              </w:rPr>
            </w:pPr>
            <w:r>
              <w:rPr>
                <w:rFonts w:ascii="Times New Roman" w:cs="Times New Roman" w:eastAsia="Times New Roman" w:hAnsi="Times New Roman"/>
                <w:sz w:val="18"/>
                <w:szCs w:val="18"/>
                <w:color w:val="auto"/>
                <w:w w:val="99"/>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right="22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basic operating earnings per share which excludes the effect of the $15 million special fraud-related provision for loan losses. Including the special provision, the dividend payout ratio was 35% for the second quarter of 2007.</w:t>
      </w:r>
    </w:p>
    <w:p>
      <w:pPr>
        <w:spacing w:after="0" w:line="54"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risk-adjusted assets to determine the risk based capital ratios. The guidelines require an 8% total risk-based capital ratio, of which 4% must be Tier I capital. To be considered well capitalized under the guidelines, a 10% total risk-based capital ratio is required, of which 6% must be Tier I capital.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215"/>
        <w:spacing w:after="0" w:line="258" w:lineRule="auto"/>
        <w:rPr>
          <w:sz w:val="20"/>
          <w:szCs w:val="20"/>
          <w:color w:val="auto"/>
        </w:rPr>
      </w:pPr>
      <w:r>
        <w:rPr>
          <w:rFonts w:ascii="Times New Roman" w:cs="Times New Roman" w:eastAsia="Times New Roman" w:hAnsi="Times New Roman"/>
          <w:sz w:val="18"/>
          <w:szCs w:val="18"/>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table shows United’s capital ratios, as calculated under regulatory guidelines, at September 30, 2007 and 2006.</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Table 14 — Capital Ratios</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7620</wp:posOffset>
            </wp:positionV>
            <wp:extent cx="1346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ind w:left="644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Actual</w:t>
      </w:r>
      <w:r>
        <w:rPr>
          <w:sz w:val="20"/>
          <w:szCs w:val="20"/>
          <w:color w:val="auto"/>
        </w:rPr>
        <w:tab/>
      </w:r>
      <w:r>
        <w:rPr>
          <w:rFonts w:ascii="Times New Roman" w:cs="Times New Roman" w:eastAsia="Times New Roman" w:hAnsi="Times New Roman"/>
          <w:sz w:val="14"/>
          <w:szCs w:val="14"/>
          <w:b w:val="1"/>
          <w:bCs w:val="1"/>
          <w:color w:val="auto"/>
        </w:rPr>
        <w:t>Regulatory</w:t>
      </w:r>
    </w:p>
    <w:p>
      <w:pPr>
        <w:ind w:left="6400"/>
        <w:spacing w:after="0" w:line="231" w:lineRule="auto"/>
        <w:tabs>
          <w:tab w:leader="none" w:pos="774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Minimum</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7620</wp:posOffset>
            </wp:positionV>
            <wp:extent cx="1346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ind w:left="40"/>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Actual</w:t>
      </w:r>
      <w:r>
        <w:rPr>
          <w:sz w:val="20"/>
          <w:szCs w:val="20"/>
          <w:color w:val="auto"/>
        </w:rPr>
        <w:tab/>
      </w:r>
      <w:r>
        <w:rPr>
          <w:rFonts w:ascii="Times New Roman" w:cs="Times New Roman" w:eastAsia="Times New Roman" w:hAnsi="Times New Roman"/>
          <w:sz w:val="14"/>
          <w:szCs w:val="14"/>
          <w:b w:val="1"/>
          <w:bCs w:val="1"/>
          <w:color w:val="auto"/>
        </w:rPr>
        <w:t>Regulatory</w:t>
      </w:r>
    </w:p>
    <w:p>
      <w:pPr>
        <w:spacing w:after="0" w:line="231" w:lineRule="auto"/>
        <w:tabs>
          <w:tab w:leader="none" w:pos="134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Minimum</w:t>
      </w:r>
    </w:p>
    <w:p>
      <w:pPr>
        <w:spacing w:after="0" w:line="1" w:lineRule="exact"/>
        <w:rPr>
          <w:sz w:val="20"/>
          <w:szCs w:val="20"/>
          <w:color w:val="auto"/>
        </w:rPr>
      </w:pPr>
    </w:p>
    <w:p>
      <w:pPr>
        <w:sectPr>
          <w:pgSz w:w="11900" w:h="16838" w:orient="portrait"/>
          <w:cols w:equalWidth="0" w:num="2">
            <w:col w:w="8520" w:space="720"/>
            <w:col w:w="2180"/>
          </w:cols>
          <w:pgMar w:left="240" w:top="415"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I Leverage:</w:t>
            </w:r>
          </w:p>
        </w:tc>
        <w:tc>
          <w:tcPr>
            <w:tcW w:w="2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3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$ 551,265</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$ 232,942</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4"/>
              </w:rPr>
              <w:t>$ 457,079</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$ 187,020</w:t>
            </w: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Ratio</w:t>
            </w:r>
          </w:p>
        </w:tc>
        <w:tc>
          <w:tcPr>
            <w:tcW w:w="3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7.10%</w:t>
            </w:r>
          </w:p>
        </w:tc>
        <w:tc>
          <w:tcPr>
            <w:tcW w:w="17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3.00%</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7.33%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Tier I Risk-Based:</w:t>
            </w:r>
          </w:p>
        </w:tc>
        <w:tc>
          <w:tcPr>
            <w:tcW w:w="2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3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$ 551,265</w:t>
            </w:r>
          </w:p>
        </w:tc>
        <w:tc>
          <w:tcPr>
            <w:tcW w:w="17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$ 251,337</w:t>
            </w:r>
          </w:p>
        </w:tc>
        <w:tc>
          <w:tcPr>
            <w:tcW w:w="11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4"/>
              </w:rPr>
              <w:t>$ 457,079</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$ 206,290</w:t>
            </w: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Ratio</w:t>
            </w:r>
          </w:p>
        </w:tc>
        <w:tc>
          <w:tcPr>
            <w:tcW w:w="3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8.77%</w:t>
            </w: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4.00%</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8.86%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Risk-Based:</w:t>
            </w:r>
          </w:p>
        </w:tc>
        <w:tc>
          <w:tcPr>
            <w:tcW w:w="2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w:t>
            </w:r>
          </w:p>
        </w:tc>
        <w:tc>
          <w:tcPr>
            <w:tcW w:w="3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$ 696,511</w:t>
            </w: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$ 502,674</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4"/>
              </w:rPr>
              <w:t>$ 587,580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$ 412,581</w:t>
            </w: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Ratio</w:t>
            </w:r>
          </w:p>
        </w:tc>
        <w:tc>
          <w:tcPr>
            <w:tcW w:w="3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11.08%</w:t>
            </w:r>
          </w:p>
        </w:tc>
        <w:tc>
          <w:tcPr>
            <w:tcW w:w="17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8.00%</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11.39%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bl>
    <w:p>
      <w:pPr>
        <w:spacing w:after="0" w:line="90" w:lineRule="exact"/>
        <w:rPr>
          <w:sz w:val="20"/>
          <w:szCs w:val="20"/>
          <w:color w:val="auto"/>
        </w:rPr>
      </w:pPr>
    </w:p>
    <w:p>
      <w:pPr>
        <w:ind w:right="500" w:firstLine="225"/>
        <w:spacing w:after="0" w:line="266" w:lineRule="auto"/>
        <w:rPr>
          <w:sz w:val="20"/>
          <w:szCs w:val="20"/>
          <w:color w:val="auto"/>
        </w:rPr>
      </w:pPr>
      <w:r>
        <w:rPr>
          <w:rFonts w:ascii="Times New Roman" w:cs="Times New Roman" w:eastAsia="Times New Roman" w:hAnsi="Times New Roman"/>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68" w:lineRule="exact"/>
        <w:rPr>
          <w:sz w:val="20"/>
          <w:szCs w:val="20"/>
          <w:color w:val="auto"/>
        </w:rPr>
      </w:pPr>
    </w:p>
    <w:p>
      <w:pPr>
        <w:ind w:right="320" w:firstLine="222"/>
        <w:spacing w:after="0" w:line="282" w:lineRule="auto"/>
        <w:rPr>
          <w:sz w:val="20"/>
          <w:szCs w:val="20"/>
          <w:color w:val="auto"/>
        </w:rPr>
      </w:pPr>
      <w:r>
        <w:rPr>
          <w:rFonts w:ascii="Times New Roman" w:cs="Times New Roman" w:eastAsia="Times New Roman" w:hAnsi="Times New Roman"/>
          <w:sz w:val="18"/>
          <w:szCs w:val="18"/>
          <w:color w:val="auto"/>
        </w:rPr>
        <w:t>The capital ratios of United and the Banks currently exceed the minimum ratios as defined by federal regulators. United monitors these ratios to ensure that United and the Banks remain above regulatory minimum guidelines.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 and Changing Prices</w:t>
      </w:r>
    </w:p>
    <w:p>
      <w:pPr>
        <w:spacing w:after="0" w:line="121" w:lineRule="exact"/>
        <w:rPr>
          <w:sz w:val="20"/>
          <w:szCs w:val="20"/>
          <w:color w:val="auto"/>
        </w:rPr>
      </w:pPr>
    </w:p>
    <w:p>
      <w:pPr>
        <w:ind w:right="520" w:firstLine="215"/>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impact on the growth of total assets and the resulting need to increase equity capital at higher than normal rates in order to maintain an appropriate equity to assets ratio.</w:t>
      </w:r>
    </w:p>
    <w:p>
      <w:pPr>
        <w:spacing w:after="0" w:line="68" w:lineRule="exact"/>
        <w:rPr>
          <w:sz w:val="20"/>
          <w:szCs w:val="20"/>
          <w:color w:val="auto"/>
        </w:rPr>
      </w:pPr>
    </w:p>
    <w:p>
      <w:pPr>
        <w:jc w:val="both"/>
        <w:ind w:right="320" w:firstLine="225"/>
        <w:spacing w:after="0" w:line="266" w:lineRule="auto"/>
        <w:rPr>
          <w:sz w:val="20"/>
          <w:szCs w:val="20"/>
          <w:color w:val="auto"/>
        </w:rPr>
      </w:pPr>
      <w:r>
        <w:rPr>
          <w:rFonts w:ascii="Times New Roman" w:cs="Times New Roman" w:eastAsia="Times New Roman" w:hAnsi="Times New Roman"/>
          <w:sz w:val="18"/>
          <w:szCs w:val="18"/>
          <w:color w:val="auto"/>
        </w:rPr>
        <w:t>United’s management believes the impact of inflation on financial results depends on United’s ability to react to changes in interest rates and, by such reaction, reduce the inflationary impact on performance. United has an asset/liability management program to manage interest rate sensitivity. In addition, periodic reviews of banking services and products are conducted to adjust pricing in view of current and expected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ind w:right="20" w:firstLine="222"/>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United’s quantitative and qualitative disclosures about market risk as of September 30, 2007 from that presented in the Annual Report on Form 10-K for the year ended December 31, 2006. The interest rate sensitivity position at September 30, 2007 is included in management’s discussion and analysis on page 24 of this report.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United’s management, including the Chief Executive Officer and Chief Financial Officer, supervised and participated in an evaluation of the company’s disclosure controls and procedures as of September 30, 2007.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81" w:lineRule="exact"/>
        <w:rPr>
          <w:sz w:val="20"/>
          <w:szCs w:val="20"/>
          <w:color w:val="auto"/>
        </w:rPr>
      </w:pPr>
    </w:p>
    <w:p>
      <w:pPr>
        <w:ind w:right="40" w:firstLine="222"/>
        <w:spacing w:after="0" w:line="282" w:lineRule="auto"/>
        <w:rPr>
          <w:sz w:val="20"/>
          <w:szCs w:val="20"/>
          <w:color w:val="auto"/>
        </w:rPr>
      </w:pPr>
      <w:r>
        <w:rPr>
          <w:rFonts w:ascii="Times New Roman" w:cs="Times New Roman" w:eastAsia="Times New Roman" w:hAnsi="Times New Roman"/>
          <w:sz w:val="18"/>
          <w:szCs w:val="18"/>
          <w:color w:val="auto"/>
        </w:rPr>
        <w:t>There were no changes in United’s internal controls over financial reporting that occurred during Unite’s last fiscal quarter that have materially affected, or are reasonably likely to materially affect, United’s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0" w:firstLine="225"/>
        <w:spacing w:after="0" w:line="266" w:lineRule="auto"/>
        <w:rPr>
          <w:sz w:val="20"/>
          <w:szCs w:val="20"/>
          <w:color w:val="auto"/>
        </w:rPr>
      </w:pPr>
      <w:r>
        <w:rPr>
          <w:rFonts w:ascii="Times New Roman" w:cs="Times New Roman" w:eastAsia="Times New Roman" w:hAnsi="Times New Roman"/>
          <w:sz w:val="18"/>
          <w:szCs w:val="18"/>
          <w:color w:val="auto"/>
        </w:rPr>
        <w:t>In the ordinary course of operations, United and the Banks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United’s Form 10-K for the year ended December 31, 2006.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180" w:firstLine="225"/>
        <w:spacing w:after="0" w:line="261" w:lineRule="auto"/>
        <w:rPr>
          <w:sz w:val="20"/>
          <w:szCs w:val="20"/>
          <w:color w:val="auto"/>
        </w:rPr>
      </w:pPr>
      <w:r>
        <w:rPr>
          <w:rFonts w:ascii="Times New Roman" w:cs="Times New Roman" w:eastAsia="Times New Roman" w:hAnsi="Times New Roman"/>
          <w:sz w:val="18"/>
          <w:szCs w:val="18"/>
          <w:color w:val="auto"/>
        </w:rPr>
        <w:t>United had in place a Board approved repurchase authorization of 1,000,000 shares of its outstanding common stock that expires on December 31, 2007. At its July 19, 2007 meeting, United’s Board of Directors increased the authorization to 2,000,000 shares. In the third quarter, United repurchased</w:t>
      </w:r>
    </w:p>
    <w:p>
      <w:pPr>
        <w:ind w:right="840"/>
        <w:spacing w:after="0" w:line="261" w:lineRule="auto"/>
        <w:rPr>
          <w:sz w:val="20"/>
          <w:szCs w:val="20"/>
          <w:color w:val="auto"/>
        </w:rPr>
      </w:pPr>
      <w:r>
        <w:rPr>
          <w:rFonts w:ascii="Times New Roman" w:cs="Times New Roman" w:eastAsia="Times New Roman" w:hAnsi="Times New Roman"/>
          <w:sz w:val="18"/>
          <w:szCs w:val="18"/>
          <w:color w:val="auto"/>
        </w:rPr>
        <w:t>1,304,775 shares of its outstanding common stock at a cost of $31.9 million. At its October 18, 2007 meeting, United’s Board further increased the authorization to 3,000,000 shares and extended the expiration date to December 31, 2008.</w:t>
      </w:r>
    </w:p>
    <w:p>
      <w:pPr>
        <w:spacing w:after="0" w:line="72"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purchases of our common stock by us or any affiliated purchaser during the three months ended September 30, 2007. Stock repurchases may be made in the open market or in private transactions at time and in amounts that we deem appropriate. However, there is no guarantee as to the exact number of additional shares that may be repurchased, and we may terminate or limit the stock repurchase program at any time. We will hold the repurchased shares as treasury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15 — Stock Repurchase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7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7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0" w:type="dxa"/>
            <w:vAlign w:val="bottom"/>
          </w:tcPr>
          <w:p>
            <w:pPr>
              <w:spacing w:after="0"/>
              <w:rPr>
                <w:sz w:val="1"/>
                <w:szCs w:val="1"/>
                <w:color w:val="auto"/>
              </w:rPr>
            </w:pPr>
          </w:p>
        </w:tc>
      </w:tr>
      <w:tr>
        <w:trPr>
          <w:trHeight w:val="173"/>
        </w:trPr>
        <w:tc>
          <w:tcPr>
            <w:tcW w:w="47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2"/>
                <w:szCs w:val="12"/>
                <w:color w:val="auto"/>
              </w:rPr>
              <w:t>(1)</w:t>
            </w:r>
          </w:p>
        </w:tc>
        <w:tc>
          <w:tcPr>
            <w:tcW w:w="280" w:type="dxa"/>
            <w:vAlign w:val="bottom"/>
          </w:tcPr>
          <w:p>
            <w:pPr>
              <w:spacing w:after="0"/>
              <w:rPr>
                <w:sz w:val="15"/>
                <w:szCs w:val="15"/>
                <w:color w:val="auto"/>
              </w:rPr>
            </w:pPr>
          </w:p>
        </w:tc>
        <w:tc>
          <w:tcPr>
            <w:tcW w:w="12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2007</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23.91</w:t>
            </w:r>
          </w:p>
        </w:tc>
        <w:tc>
          <w:tcPr>
            <w:tcW w:w="17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62,000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August 2007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602,775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24.08</w:t>
            </w: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602,775</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2007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24.81</w:t>
            </w:r>
          </w:p>
        </w:tc>
        <w:tc>
          <w:tcPr>
            <w:tcW w:w="17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640,000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1,695,225</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third quarter</w:t>
            </w:r>
          </w:p>
        </w:tc>
        <w:tc>
          <w:tcPr>
            <w:tcW w:w="4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1,304,775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5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1,304,775</w:t>
            </w: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right="12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purchased includes an aggregate of 1,755 shares surrendered to us to satisfy tax withholding obligations in connection with the vesting of shares of restricted stock and/or the exercise of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Defaults upon Senior Securities </w:t>
      </w:r>
      <w:r>
        <w:rPr>
          <w:rFonts w:ascii="Times New Roman" w:cs="Times New Roman" w:eastAsia="Times New Roman" w:hAnsi="Times New Roman"/>
          <w:sz w:val="18"/>
          <w:szCs w:val="18"/>
          <w:color w:val="auto"/>
        </w:rPr>
        <w:t>— None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Submission of Matters to a Vote of Security Holders </w:t>
      </w:r>
      <w:r>
        <w:rPr>
          <w:rFonts w:ascii="Times New Roman" w:cs="Times New Roman" w:eastAsia="Times New Roman" w:hAnsi="Times New Roman"/>
          <w:sz w:val="18"/>
          <w:szCs w:val="18"/>
          <w:color w:val="auto"/>
        </w:rPr>
        <w:t>— 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Other Information </w:t>
      </w:r>
      <w:r>
        <w:rPr>
          <w:rFonts w:ascii="Times New Roman" w:cs="Times New Roman" w:eastAsia="Times New Roman" w:hAnsi="Times New Roman"/>
          <w:sz w:val="18"/>
          <w:szCs w:val="18"/>
          <w:color w:val="auto"/>
        </w:rPr>
        <w:t>— None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740" w:type="dxa"/>
            <w:vAlign w:val="bottom"/>
          </w:tcPr>
          <w:p>
            <w:pPr>
              <w:spacing w:after="0"/>
              <w:rPr>
                <w:sz w:val="20"/>
                <w:szCs w:val="20"/>
                <w:color w:val="auto"/>
              </w:rPr>
            </w:pPr>
          </w:p>
        </w:tc>
      </w:tr>
      <w:tr>
        <w:trPr>
          <w:trHeight w:val="414"/>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w:t>
            </w: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Restated Articles of Incorporation of United Community Banks, Inc., (incorporated herein by reference to Exhibit 3.1 to United</w:t>
            </w:r>
          </w:p>
        </w:tc>
      </w:tr>
      <w:tr>
        <w:trPr>
          <w:trHeight w:val="216"/>
        </w:trPr>
        <w:tc>
          <w:tcPr>
            <w:tcW w:w="162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Community Banks, Inc.’s Quarterly Report on Form 10-Q for the quarter ended June 30, 2001, File No. 0-21656, filed with the</w:t>
            </w:r>
          </w:p>
        </w:tc>
      </w:tr>
      <w:tr>
        <w:trPr>
          <w:trHeight w:val="234"/>
        </w:trPr>
        <w:tc>
          <w:tcPr>
            <w:tcW w:w="162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Commission on August 14, 2001).</w:t>
            </w:r>
          </w:p>
        </w:tc>
      </w:tr>
      <w:tr>
        <w:trPr>
          <w:trHeight w:val="265"/>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3.2</w:t>
            </w: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to the Restated Articles of Incorporation of United Community Banks, Inc. (incorporated herein by reference to</w:t>
            </w:r>
          </w:p>
        </w:tc>
      </w:tr>
      <w:tr>
        <w:trPr>
          <w:trHeight w:val="216"/>
        </w:trPr>
        <w:tc>
          <w:tcPr>
            <w:tcW w:w="162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3.3 to United Community Banks, Inc.’s Registration Statement on Form S-4, File No. 333-118893, filed with the</w:t>
            </w:r>
          </w:p>
        </w:tc>
      </w:tr>
      <w:tr>
        <w:trPr>
          <w:trHeight w:val="234"/>
        </w:trPr>
        <w:tc>
          <w:tcPr>
            <w:tcW w:w="162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Commission on September 9, 2004).</w:t>
            </w:r>
          </w:p>
        </w:tc>
      </w:tr>
      <w:tr>
        <w:trPr>
          <w:trHeight w:val="265"/>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w:t>
            </w: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Amended and Restated Bylaws of United Community Banks, Inc., dated September 12, 1997 (incorporated herein by reference to</w:t>
            </w:r>
          </w:p>
        </w:tc>
      </w:tr>
      <w:tr>
        <w:trPr>
          <w:trHeight w:val="216"/>
        </w:trPr>
        <w:tc>
          <w:tcPr>
            <w:tcW w:w="162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3.1 to United Community Banks, Inc.’s Annual Report on Form 10-K, for the year ended December 31, 1997, File No. 0-</w:t>
            </w:r>
          </w:p>
        </w:tc>
      </w:tr>
      <w:tr>
        <w:trPr>
          <w:trHeight w:val="234"/>
        </w:trPr>
        <w:tc>
          <w:tcPr>
            <w:tcW w:w="162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21656, filed with the Commission on March 27, 1998).</w:t>
            </w:r>
          </w:p>
        </w:tc>
      </w:tr>
      <w:tr>
        <w:trPr>
          <w:trHeight w:val="265"/>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4.1</w:t>
            </w: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See Exhibits 3.1, 3.2 and 3.3 for provisions of the Restated Articles of Incorporation, as amended, and Amended and Restated</w:t>
            </w:r>
          </w:p>
        </w:tc>
      </w:tr>
      <w:tr>
        <w:trPr>
          <w:trHeight w:val="234"/>
        </w:trPr>
        <w:tc>
          <w:tcPr>
            <w:tcW w:w="162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Bylaws, which define the rights of the Shareholders.</w:t>
            </w:r>
          </w:p>
        </w:tc>
      </w:tr>
      <w:tr>
        <w:trPr>
          <w:trHeight w:val="265"/>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31.1</w:t>
            </w: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 by Jimmy C. Tallent, President and Chief Executive Officer of United Community Banks, Inc., as adopted pursuant</w:t>
            </w:r>
          </w:p>
        </w:tc>
      </w:tr>
      <w:tr>
        <w:trPr>
          <w:trHeight w:val="234"/>
        </w:trPr>
        <w:tc>
          <w:tcPr>
            <w:tcW w:w="162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tc>
      </w:tr>
      <w:tr>
        <w:trPr>
          <w:trHeight w:val="265"/>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 by Rex S. Schuette, Executive Vice President and Chief Financial Officer of United Community Banks, Inc., as</w:t>
            </w:r>
          </w:p>
        </w:tc>
      </w:tr>
      <w:tr>
        <w:trPr>
          <w:trHeight w:val="234"/>
        </w:trPr>
        <w:tc>
          <w:tcPr>
            <w:tcW w:w="162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bl>
    <w:p>
      <w:pPr>
        <w:spacing w:after="0" w:line="49" w:lineRule="exact"/>
        <w:rPr>
          <w:sz w:val="20"/>
          <w:szCs w:val="20"/>
          <w:color w:val="auto"/>
        </w:rPr>
      </w:pPr>
    </w:p>
    <w:p>
      <w:pPr>
        <w:ind w:left="5620" w:right="640" w:hanging="5031"/>
        <w:spacing w:after="0" w:line="501" w:lineRule="auto"/>
        <w:tabs>
          <w:tab w:leader="none" w:pos="20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i w:val="1"/>
          <w:iCs w:val="1"/>
          <w:color w:val="auto"/>
        </w:rPr>
        <w:t>/s/ Jimmy C. Tallent</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i w:val="1"/>
          <w:iCs w:val="1"/>
          <w:color w:val="auto"/>
        </w:rPr>
        <w:t>/s/ Rex S. Schuette</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i w:val="1"/>
          <w:iCs w:val="1"/>
          <w:color w:val="auto"/>
        </w:rPr>
        <w:t>/s/ Alan H. Kumler</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Date: November 7, 2007</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40"/>
          </w:cols>
          <w:pgMar w:left="240" w:top="415" w:right="1019" w:bottom="1440" w:gutter="0" w:footer="0" w:header="0"/>
        </w:sectPr>
      </w:pPr>
    </w:p>
    <w:bookmarkStart w:id="34" w:name="page35"/>
    <w:bookmarkEnd w:id="34"/>
    <w:p>
      <w:pPr>
        <w:ind w:left="52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Jimmy C. Tallent, President and Chief Executive Officer of United Community Banks, Inc. (the “registrant”), certify that:</w:t>
      </w:r>
    </w:p>
    <w:p>
      <w:pPr>
        <w:spacing w:after="0" w:line="117"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registrant;</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0" w:firstLine="8"/>
        <w:spacing w:after="0" w:line="266"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68"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6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20" w:firstLine="4"/>
        <w:spacing w:after="0" w:line="266"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80" w:firstLine="4"/>
        <w:spacing w:after="0" w:line="282" w:lineRule="auto"/>
        <w:tabs>
          <w:tab w:leader="none" w:pos="6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100" w:firstLine="4"/>
        <w:spacing w:after="0" w:line="282"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3"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460" w:firstLine="4"/>
        <w:spacing w:after="0" w:line="282" w:lineRule="auto"/>
        <w:tabs>
          <w:tab w:leader="none" w:pos="6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40" w:firstLine="4"/>
        <w:spacing w:after="0" w:line="282"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740"/>
        <w:spacing w:after="0"/>
        <w:tabs>
          <w:tab w:leader="none" w:pos="6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19685</wp:posOffset>
            </wp:positionV>
            <wp:extent cx="24009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November 7, 2007</w:t>
      </w:r>
    </w:p>
    <w:p>
      <w:pPr>
        <w:sectPr>
          <w:pgSz w:w="11900" w:h="16838" w:orient="portrait"/>
          <w:cols w:equalWidth="0" w:num="1">
            <w:col w:w="11420"/>
          </w:cols>
          <w:pgMar w:left="240" w:top="955" w:right="239" w:bottom="1440" w:gutter="0" w:footer="0" w:header="0"/>
        </w:sectPr>
      </w:pPr>
    </w:p>
    <w:bookmarkStart w:id="35" w:name="page36"/>
    <w:bookmarkEnd w:id="35"/>
    <w:p>
      <w:pPr>
        <w:ind w:left="52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Rex S. Schuette, Executive Vice President and Chief Financial Officer of United Community Banks, Inc. (the “registrant”), certify that:</w:t>
      </w:r>
    </w:p>
    <w:p>
      <w:pPr>
        <w:spacing w:after="0" w:line="117"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registrant;</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0" w:firstLine="8"/>
        <w:spacing w:after="0" w:line="266"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68"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6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20" w:firstLine="4"/>
        <w:spacing w:after="0" w:line="266" w:lineRule="auto"/>
        <w:tabs>
          <w:tab w:leader="none" w:pos="6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80" w:firstLine="4"/>
        <w:spacing w:after="0" w:line="282" w:lineRule="auto"/>
        <w:tabs>
          <w:tab w:leader="none" w:pos="6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100" w:firstLine="4"/>
        <w:spacing w:after="0" w:line="282" w:lineRule="auto"/>
        <w:tabs>
          <w:tab w:leader="none" w:pos="6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3"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460" w:firstLine="4"/>
        <w:spacing w:after="0" w:line="282" w:lineRule="auto"/>
        <w:tabs>
          <w:tab w:leader="none" w:pos="6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40" w:firstLine="4"/>
        <w:spacing w:after="0" w:line="282" w:lineRule="auto"/>
        <w:tabs>
          <w:tab w:leader="none" w:pos="6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740"/>
        <w:spacing w:after="0"/>
        <w:tabs>
          <w:tab w:leader="none" w:pos="6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19685</wp:posOffset>
            </wp:positionV>
            <wp:extent cx="24009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Rex S. Schuette</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November 7, 2007</w:t>
      </w:r>
    </w:p>
    <w:p>
      <w:pPr>
        <w:sectPr>
          <w:pgSz w:w="11900" w:h="16838" w:orient="portrait"/>
          <w:cols w:equalWidth="0" w:num="1">
            <w:col w:w="11420"/>
          </w:cols>
          <w:pgMar w:left="240" w:top="954" w:right="239" w:bottom="1440" w:gutter="0" w:footer="0" w:header="0"/>
        </w:sectPr>
      </w:pPr>
    </w:p>
    <w:bookmarkStart w:id="36" w:name="page37"/>
    <w:bookmarkEnd w:id="36"/>
    <w:p>
      <w:pPr>
        <w:ind w:left="532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September 30, 2007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72" w:lineRule="exact"/>
        <w:rPr>
          <w:sz w:val="20"/>
          <w:szCs w:val="20"/>
          <w:color w:val="auto"/>
        </w:rPr>
      </w:pPr>
    </w:p>
    <w:p>
      <w:pPr>
        <w:ind w:left="660" w:hanging="43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United.</w:t>
      </w:r>
    </w:p>
    <w:p>
      <w:pPr>
        <w:spacing w:after="0" w:line="221" w:lineRule="exact"/>
        <w:rPr>
          <w:sz w:val="20"/>
          <w:szCs w:val="20"/>
          <w:color w:val="auto"/>
        </w:rPr>
      </w:pPr>
    </w:p>
    <w:p>
      <w:pPr>
        <w:ind w:left="5740"/>
        <w:spacing w:after="0"/>
        <w:tabs>
          <w:tab w:leader="none" w:pos="6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19685</wp:posOffset>
            </wp:positionV>
            <wp:extent cx="24009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Jimmy C. Tallent</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ind w:left="5740"/>
        <w:spacing w:after="0"/>
        <w:tabs>
          <w:tab w:leader="none" w:pos="6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19685</wp:posOffset>
            </wp:positionV>
            <wp:extent cx="24009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Rex S. Schuette</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November 7, 2007</w:t>
      </w:r>
    </w:p>
    <w:sectPr>
      <w:pgSz w:w="11900" w:h="16838" w:orient="portrait"/>
      <w:cols w:equalWidth="0" w:num="1">
        <w:col w:w="11340"/>
      </w:cols>
      <w:pgMar w:left="240" w:top="95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706"/>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3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2019-12-13T19:10:32Z</dcterms:created>
  <dcterms:modified xsi:type="dcterms:W3CDTF">2019-12-13T19:10:32Z</dcterms:modified>
</cp:coreProperties>
</file>