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ind w:left="3340" w:hanging="325"/>
        <w:spacing w:after="0"/>
        <w:tabs>
          <w:tab w:leader="none" w:pos="3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w:t>
      </w:r>
    </w:p>
    <w:p>
      <w:pPr>
        <w:spacing w:after="0" w:line="31" w:lineRule="exact"/>
        <w:rPr>
          <w:rFonts w:ascii="Times New Roman" w:cs="Times New Roman" w:eastAsia="Times New Roman" w:hAnsi="Times New Roman"/>
          <w:sz w:val="18"/>
          <w:szCs w:val="18"/>
          <w:b w:val="1"/>
          <w:bCs w:val="1"/>
          <w:color w:val="auto"/>
        </w:rPr>
      </w:pPr>
    </w:p>
    <w:p>
      <w:pPr>
        <w:ind w:left="3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360" w:hanging="386"/>
        <w:spacing w:after="0"/>
        <w:tabs>
          <w:tab w:leader="none" w:pos="3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w:t>
      </w:r>
    </w:p>
    <w:p>
      <w:pPr>
        <w:spacing w:after="0" w:line="33" w:lineRule="exact"/>
        <w:rPr>
          <w:rFonts w:ascii="MS PGothic" w:cs="MS PGothic" w:eastAsia="MS PGothic" w:hAnsi="MS PGothic"/>
          <w:sz w:val="18"/>
          <w:szCs w:val="18"/>
          <w:color w:val="auto"/>
        </w:rPr>
      </w:pPr>
    </w:p>
    <w:p>
      <w:pPr>
        <w:ind w:left="37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OF THE SECURITIES EXCHANGE ACT OF 1934</w:t>
      </w:r>
    </w:p>
    <w:p>
      <w:pPr>
        <w:spacing w:after="0" w:line="20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 to 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001-35095</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1076960</wp:posOffset>
            </wp:positionH>
            <wp:positionV relativeFrom="paragraph">
              <wp:posOffset>24765</wp:posOffset>
            </wp:positionV>
            <wp:extent cx="5102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02860" cy="17145"/>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Georgia</w:t>
            </w:r>
          </w:p>
        </w:tc>
        <w:tc>
          <w:tcPr>
            <w:tcW w:w="7420" w:type="dxa"/>
            <w:vAlign w:val="bottom"/>
            <w:gridSpan w:val="3"/>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58-1807304</w:t>
            </w:r>
          </w:p>
        </w:tc>
      </w:tr>
      <w:tr>
        <w:trPr>
          <w:trHeight w:val="238"/>
        </w:trPr>
        <w:tc>
          <w:tcPr>
            <w:tcW w:w="40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of Incorporation)</w:t>
            </w:r>
          </w:p>
        </w:tc>
        <w:tc>
          <w:tcPr>
            <w:tcW w:w="34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500" w:type="dxa"/>
            <w:vAlign w:val="bottom"/>
            <w:tcBorders>
              <w:top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388"/>
        </w:trPr>
        <w:tc>
          <w:tcPr>
            <w:tcW w:w="4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125 Highway 515 East</w:t>
            </w:r>
          </w:p>
        </w:tc>
        <w:tc>
          <w:tcPr>
            <w:tcW w:w="3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45"/>
        </w:trPr>
        <w:tc>
          <w:tcPr>
            <w:tcW w:w="4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Blairsville, Georgia</w:t>
            </w:r>
          </w:p>
        </w:tc>
        <w:tc>
          <w:tcPr>
            <w:tcW w:w="7420" w:type="dxa"/>
            <w:vAlign w:val="bottom"/>
            <w:gridSpan w:val="3"/>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30512</w:t>
            </w:r>
          </w:p>
        </w:tc>
      </w:tr>
      <w:tr>
        <w:trPr>
          <w:trHeight w:val="238"/>
        </w:trPr>
        <w:tc>
          <w:tcPr>
            <w:tcW w:w="40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4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500" w:type="dxa"/>
            <w:vAlign w:val="bottom"/>
            <w:tcBorders>
              <w:top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17"/>
        </w:trPr>
        <w:tc>
          <w:tcPr>
            <w:tcW w:w="35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(706) 781-2265</w:t>
            </w:r>
          </w:p>
        </w:tc>
        <w:tc>
          <w:tcPr>
            <w:tcW w:w="480" w:type="dxa"/>
            <w:vAlign w:val="bottom"/>
            <w:tcBorders>
              <w:bottom w:val="single" w:sz="8" w:color="auto"/>
            </w:tcBorders>
          </w:tcPr>
          <w:p>
            <w:pPr>
              <w:spacing w:after="0"/>
              <w:rPr>
                <w:sz w:val="24"/>
                <w:szCs w:val="24"/>
                <w:color w:val="auto"/>
              </w:rPr>
            </w:pPr>
          </w:p>
        </w:tc>
        <w:tc>
          <w:tcPr>
            <w:tcW w:w="3500" w:type="dxa"/>
            <w:vAlign w:val="bottom"/>
          </w:tcPr>
          <w:p>
            <w:pPr>
              <w:spacing w:after="0"/>
              <w:rPr>
                <w:sz w:val="24"/>
                <w:szCs w:val="24"/>
                <w:color w:val="auto"/>
              </w:rPr>
            </w:pPr>
          </w:p>
        </w:tc>
      </w:tr>
      <w:tr>
        <w:trPr>
          <w:trHeight w:val="238"/>
        </w:trPr>
        <w:tc>
          <w:tcPr>
            <w:tcW w:w="3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9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(Telephone Number)</w:t>
            </w:r>
          </w:p>
        </w:tc>
        <w:tc>
          <w:tcPr>
            <w:tcW w:w="3500" w:type="dxa"/>
            <w:vAlign w:val="bottom"/>
          </w:tcPr>
          <w:p>
            <w:pPr>
              <w:spacing w:after="0"/>
              <w:rPr>
                <w:sz w:val="20"/>
                <w:szCs w:val="20"/>
                <w:color w:val="auto"/>
              </w:rPr>
            </w:pPr>
          </w:p>
        </w:tc>
      </w:tr>
    </w:tbl>
    <w:p>
      <w:pPr>
        <w:spacing w:after="0" w:line="17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6"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0"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w:t>
      </w:r>
    </w:p>
    <w:p>
      <w:pPr>
        <w:spacing w:after="0" w:line="146"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0" w:lineRule="exact"/>
        <w:rPr>
          <w:sz w:val="24"/>
          <w:szCs w:val="24"/>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752" w:right="239" w:bottom="1440" w:gutter="0" w:footer="0" w:header="0"/>
        </w:sectPr>
      </w:pPr>
    </w:p>
    <w:p>
      <w:pPr>
        <w:spacing w:after="0" w:line="14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Large accelerated filer </w:t>
      </w:r>
      <w:r>
        <w:rPr>
          <w:rFonts w:ascii="MS PGothic" w:cs="MS PGothic" w:eastAsia="MS PGothic" w:hAnsi="MS PGothic"/>
          <w:sz w:val="17"/>
          <w:szCs w:val="17"/>
          <w:color w:val="auto"/>
          <w:highlight w:val="black"/>
        </w:rPr>
        <w:t>☒</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Accelerated filer </w:t>
      </w:r>
      <w:r>
        <w:rPr>
          <w:rFonts w:ascii="MS PGothic" w:cs="MS PGothic" w:eastAsia="MS PGothic" w:hAnsi="MS PGothic"/>
          <w:sz w:val="17"/>
          <w:szCs w:val="17"/>
          <w:color w:val="auto"/>
          <w:highlight w:val="black"/>
        </w:rPr>
        <w:t>☐</w:t>
      </w:r>
    </w:p>
    <w:p>
      <w:pPr>
        <w:spacing w:after="0" w:line="200" w:lineRule="exact"/>
        <w:rPr>
          <w:sz w:val="24"/>
          <w:szCs w:val="24"/>
          <w:color w:val="auto"/>
        </w:rPr>
      </w:pPr>
    </w:p>
    <w:p>
      <w:pPr>
        <w:sectPr>
          <w:pgSz w:w="11900" w:h="16838" w:orient="portrait"/>
          <w:cols w:equalWidth="0" w:num="2">
            <w:col w:w="9220" w:space="720"/>
            <w:col w:w="1480"/>
          </w:cols>
          <w:pgMar w:left="240" w:top="752" w:right="239" w:bottom="1440"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Non-accelerated filer </w:t>
      </w: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Smaller reporting company </w:t>
      </w:r>
      <w:r>
        <w:rPr>
          <w:rFonts w:ascii="MS PGothic" w:cs="MS PGothic" w:eastAsia="MS PGothic" w:hAnsi="MS PGothic"/>
          <w:sz w:val="17"/>
          <w:szCs w:val="17"/>
          <w:color w:val="auto"/>
          <w:highlight w:val="black"/>
        </w:rPr>
        <w:t>☐</w:t>
      </w:r>
    </w:p>
    <w:p>
      <w:pPr>
        <w:spacing w:after="0" w:line="200" w:lineRule="exact"/>
        <w:rPr>
          <w:sz w:val="24"/>
          <w:szCs w:val="24"/>
          <w:color w:val="auto"/>
        </w:rPr>
      </w:pPr>
    </w:p>
    <w:p>
      <w:pPr>
        <w:sectPr>
          <w:pgSz w:w="11900" w:h="16838" w:orient="portrait"/>
          <w:cols w:equalWidth="0" w:num="2">
            <w:col w:w="8380" w:space="720"/>
            <w:col w:w="2320"/>
          </w:cols>
          <w:pgMar w:left="240" w:top="752" w:right="239" w:bottom="1440"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Emerging growth company </w:t>
      </w:r>
      <w:r>
        <w:rPr>
          <w:rFonts w:ascii="MS PGothic" w:cs="MS PGothic" w:eastAsia="MS PGothic" w:hAnsi="MS PGothic"/>
          <w:sz w:val="17"/>
          <w:szCs w:val="17"/>
          <w:color w:val="auto"/>
          <w:highlight w:val="black"/>
        </w:rPr>
        <w:t>☐</w:t>
      </w:r>
    </w:p>
    <w:p>
      <w:pPr>
        <w:sectPr>
          <w:pgSz w:w="11900" w:h="16838" w:orient="portrait"/>
          <w:cols w:equalWidth="0" w:num="1">
            <w:col w:w="11420"/>
          </w:cols>
          <w:pgMar w:left="240" w:top="752" w:right="239" w:bottom="1440" w:gutter="0" w:footer="0" w:header="0"/>
          <w:type w:val="continuous"/>
        </w:sectPr>
      </w:pPr>
    </w:p>
    <w:p>
      <w:pPr>
        <w:spacing w:after="0" w:line="261" w:lineRule="exact"/>
        <w:rPr>
          <w:sz w:val="24"/>
          <w:szCs w:val="24"/>
          <w:color w:val="auto"/>
        </w:rPr>
      </w:pPr>
    </w:p>
    <w:p>
      <w:pPr>
        <w:spacing w:after="0" w:line="238"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Indicate by check mark whether the registrant is a shell company (as defined in Rule 12b-2 of the Act).</w:t>
      </w:r>
    </w:p>
    <w:p>
      <w:pPr>
        <w:spacing w:after="0" w:line="20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par value $1 per share 70,974,809 shares outstanding as of April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525780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6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800" w:type="dxa"/>
            <w:vAlign w:val="bottom"/>
          </w:tcPr>
          <w:p>
            <w:pPr>
              <w:spacing w:after="0"/>
              <w:rPr>
                <w:sz w:val="20"/>
                <w:szCs w:val="20"/>
                <w:color w:val="auto"/>
              </w:rPr>
            </w:pPr>
          </w:p>
        </w:tc>
      </w:tr>
      <w:tr>
        <w:trPr>
          <w:trHeight w:val="392"/>
        </w:trPr>
        <w:tc>
          <w:tcPr>
            <w:tcW w:w="2460" w:type="dxa"/>
            <w:vAlign w:val="bottom"/>
            <w:tcBorders>
              <w:bottom w:val="single" w:sz="8" w:color="0000EE"/>
            </w:tcBorders>
            <w:gridSpan w:val="9"/>
          </w:tcPr>
          <w:p>
            <w:pP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PART I - Financial Information</w:t>
              </w:r>
            </w:hyperlink>
          </w:p>
        </w:tc>
        <w:tc>
          <w:tcPr>
            <w:tcW w:w="8160" w:type="dxa"/>
            <w:vAlign w:val="bottom"/>
            <w:gridSpan w:val="16"/>
          </w:tcPr>
          <w:p>
            <w:pPr>
              <w:spacing w:after="0"/>
              <w:rPr>
                <w:sz w:val="24"/>
                <w:szCs w:val="24"/>
                <w:color w:val="auto"/>
              </w:rPr>
            </w:pPr>
          </w:p>
        </w:tc>
        <w:tc>
          <w:tcPr>
            <w:tcW w:w="800" w:type="dxa"/>
            <w:vAlign w:val="bottom"/>
          </w:tcPr>
          <w:p>
            <w:pPr>
              <w:spacing w:after="0"/>
              <w:rPr>
                <w:sz w:val="24"/>
                <w:szCs w:val="24"/>
                <w:color w:val="auto"/>
              </w:rPr>
            </w:pPr>
          </w:p>
        </w:tc>
      </w:tr>
      <w:tr>
        <w:trPr>
          <w:trHeight w:val="453"/>
        </w:trPr>
        <w:tc>
          <w:tcPr>
            <w:tcW w:w="700" w:type="dxa"/>
            <w:vAlign w:val="bottom"/>
          </w:tcPr>
          <w:p>
            <w:pPr>
              <w:spacing w:after="0"/>
              <w:rPr>
                <w:sz w:val="24"/>
                <w:szCs w:val="24"/>
                <w:color w:val="auto"/>
              </w:rPr>
            </w:pPr>
          </w:p>
        </w:tc>
        <w:tc>
          <w:tcPr>
            <w:tcW w:w="99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800" w:type="dxa"/>
            <w:vAlign w:val="bottom"/>
          </w:tcPr>
          <w:p>
            <w:pPr>
              <w:spacing w:after="0"/>
              <w:rPr>
                <w:sz w:val="24"/>
                <w:szCs w:val="24"/>
                <w:color w:val="auto"/>
              </w:rPr>
            </w:pPr>
          </w:p>
        </w:tc>
      </w:tr>
      <w:tr>
        <w:trPr>
          <w:trHeight w:val="392"/>
        </w:trPr>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20" w:type="dxa"/>
            <w:vAlign w:val="bottom"/>
            <w:tcBorders>
              <w:bottom w:val="single" w:sz="8" w:color="0000EE"/>
            </w:tcBorders>
            <w:gridSpan w:val="18"/>
          </w:tcPr>
          <w:p>
            <w:pP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Consolidated Statement of Income (unaudited) for the Three Months Ended March 31, 2017 and 2016</w:t>
              </w:r>
            </w:hyperlink>
          </w:p>
        </w:tc>
        <w:tc>
          <w:tcPr>
            <w:tcW w:w="144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60" w:type="dxa"/>
            <w:vAlign w:val="bottom"/>
            <w:tcBorders>
              <w:bottom w:val="single" w:sz="8" w:color="0000EE"/>
            </w:tcBorders>
            <w:gridSpan w:val="21"/>
          </w:tcPr>
          <w:p>
            <w:pPr>
              <w:spacing w:after="0"/>
              <w:rPr>
                <w:rFonts w:ascii="Times New Roman" w:cs="Times New Roman" w:eastAsia="Times New Roman" w:hAnsi="Times New Roman"/>
                <w:sz w:val="18"/>
                <w:szCs w:val="18"/>
                <w:b w:val="1"/>
                <w:bCs w:val="1"/>
                <w:color w:val="0000EE"/>
                <w:w w:val="99"/>
              </w:rPr>
            </w:pPr>
            <w:hyperlink w:anchor="page4">
              <w:r>
                <w:rPr>
                  <w:rFonts w:ascii="Times New Roman" w:cs="Times New Roman" w:eastAsia="Times New Roman" w:hAnsi="Times New Roman"/>
                  <w:sz w:val="18"/>
                  <w:szCs w:val="18"/>
                  <w:b w:val="1"/>
                  <w:bCs w:val="1"/>
                  <w:color w:val="0000EE"/>
                  <w:w w:val="99"/>
                </w:rPr>
                <w:t>Consolidated Statement of Comprehensive Income (unaudited) for the Three Months Ended March 31, 2017 and</w:t>
              </w:r>
            </w:hyperlink>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2380" w:type="dxa"/>
            <w:vAlign w:val="bottom"/>
            <w:gridSpan w:val="7"/>
          </w:tcPr>
          <w:p>
            <w:pPr>
              <w:ind w:left="2020"/>
              <w:spacing w:after="0" w:line="196" w:lineRule="exact"/>
              <w:rPr>
                <w:rFonts w:ascii="Times New Roman" w:cs="Times New Roman" w:eastAsia="Times New Roman" w:hAnsi="Times New Roman"/>
                <w:sz w:val="18"/>
                <w:szCs w:val="18"/>
                <w:b w:val="1"/>
                <w:bCs w:val="1"/>
                <w:color w:val="0000EE"/>
                <w:w w:val="94"/>
              </w:rPr>
            </w:pPr>
            <w:hyperlink w:anchor="page4">
              <w:r>
                <w:rPr>
                  <w:rFonts w:ascii="Times New Roman" w:cs="Times New Roman" w:eastAsia="Times New Roman" w:hAnsi="Times New Roman"/>
                  <w:sz w:val="18"/>
                  <w:szCs w:val="18"/>
                  <w:b w:val="1"/>
                  <w:bCs w:val="1"/>
                  <w:color w:val="0000EE"/>
                  <w:w w:val="94"/>
                </w:rPr>
                <w:t>2016</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60" w:type="dxa"/>
            <w:vAlign w:val="bottom"/>
            <w:gridSpan w:val="22"/>
          </w:tcPr>
          <w:p>
            <w:pPr>
              <w:spacing w:after="0"/>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Consolidated Balance Sheet (unaudited) at March 31, 2017 and December 31, 2016</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60" w:type="dxa"/>
            <w:vAlign w:val="bottom"/>
            <w:gridSpan w:val="22"/>
          </w:tcPr>
          <w:p>
            <w:pPr>
              <w:spacing w:after="0"/>
              <w:rPr>
                <w:rFonts w:ascii="Times New Roman" w:cs="Times New Roman" w:eastAsia="Times New Roman" w:hAnsi="Times New Roman"/>
                <w:sz w:val="18"/>
                <w:szCs w:val="18"/>
                <w:b w:val="1"/>
                <w:bCs w:val="1"/>
                <w:color w:val="0000EE"/>
              </w:rPr>
            </w:pPr>
            <w:hyperlink w:anchor="page6">
              <w:r>
                <w:rPr>
                  <w:rFonts w:ascii="Times New Roman" w:cs="Times New Roman" w:eastAsia="Times New Roman" w:hAnsi="Times New Roman"/>
                  <w:sz w:val="18"/>
                  <w:szCs w:val="18"/>
                  <w:b w:val="1"/>
                  <w:bCs w:val="1"/>
                  <w:color w:val="0000EE"/>
                </w:rPr>
                <w:t>Consolidated Statement of Changes in Shareholders’ Equity (unaudited) for the Three Months Ended March 31,</w:t>
              </w:r>
            </w:hyperlink>
          </w:p>
        </w:tc>
        <w:tc>
          <w:tcPr>
            <w:tcW w:w="80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1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b w:val="1"/>
                <w:bCs w:val="1"/>
                <w:color w:val="0000EE"/>
                <w:w w:val="98"/>
              </w:rPr>
            </w:pPr>
            <w:hyperlink w:anchor="page6">
              <w:r>
                <w:rPr>
                  <w:rFonts w:ascii="Times New Roman" w:cs="Times New Roman" w:eastAsia="Times New Roman" w:hAnsi="Times New Roman"/>
                  <w:sz w:val="18"/>
                  <w:szCs w:val="18"/>
                  <w:b w:val="1"/>
                  <w:bCs w:val="1"/>
                  <w:color w:val="0000EE"/>
                  <w:w w:val="98"/>
                </w:rPr>
                <w:t>2017 and 2016</w:t>
              </w:r>
            </w:hyperlink>
          </w:p>
        </w:tc>
        <w:tc>
          <w:tcPr>
            <w:tcW w:w="6880" w:type="dxa"/>
            <w:vAlign w:val="bottom"/>
            <w:tcBorders>
              <w:top w:val="single" w:sz="8" w:color="0000EE"/>
            </w:tcBorders>
            <w:gridSpan w:val="11"/>
          </w:tcPr>
          <w:p>
            <w:pPr>
              <w:spacing w:after="0"/>
              <w:rPr>
                <w:sz w:val="17"/>
                <w:szCs w:val="17"/>
                <w:color w:val="auto"/>
              </w:rPr>
            </w:pPr>
          </w:p>
        </w:tc>
        <w:tc>
          <w:tcPr>
            <w:tcW w:w="62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412"/>
        </w:trPr>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140" w:type="dxa"/>
            <w:vAlign w:val="bottom"/>
            <w:tcBorders>
              <w:bottom w:val="single" w:sz="8" w:color="0000EE"/>
            </w:tcBorders>
            <w:gridSpan w:val="19"/>
          </w:tcPr>
          <w:p>
            <w:pPr>
              <w:spacing w:after="0"/>
              <w:rPr>
                <w:rFonts w:ascii="Times New Roman" w:cs="Times New Roman" w:eastAsia="Times New Roman" w:hAnsi="Times New Roman"/>
                <w:sz w:val="18"/>
                <w:szCs w:val="18"/>
                <w:b w:val="1"/>
                <w:bCs w:val="1"/>
                <w:color w:val="0000EE"/>
                <w:w w:val="99"/>
              </w:rPr>
            </w:pPr>
            <w:hyperlink w:anchor="page7">
              <w:r>
                <w:rPr>
                  <w:rFonts w:ascii="Times New Roman" w:cs="Times New Roman" w:eastAsia="Times New Roman" w:hAnsi="Times New Roman"/>
                  <w:sz w:val="18"/>
                  <w:szCs w:val="18"/>
                  <w:b w:val="1"/>
                  <w:bCs w:val="1"/>
                  <w:color w:val="0000EE"/>
                  <w:w w:val="99"/>
                </w:rPr>
                <w:t>Consolidated Statement of Cash Flows (unaudited) for the Three Months Ended March 31, 2017 and 2016</w:t>
              </w:r>
            </w:hyperlink>
          </w:p>
        </w:tc>
        <w:tc>
          <w:tcPr>
            <w:tcW w:w="112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2"/>
        </w:trPr>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60" w:type="dxa"/>
            <w:vAlign w:val="bottom"/>
            <w:gridSpan w:val="22"/>
          </w:tcPr>
          <w:p>
            <w:pPr>
              <w:spacing w:after="0"/>
              <w:rPr>
                <w:rFonts w:ascii="Times New Roman" w:cs="Times New Roman" w:eastAsia="Times New Roman" w:hAnsi="Times New Roman"/>
                <w:sz w:val="18"/>
                <w:szCs w:val="18"/>
                <w:b w:val="1"/>
                <w:bCs w:val="1"/>
                <w:color w:val="0000EE"/>
              </w:rPr>
            </w:pPr>
            <w:hyperlink w:anchor="page8">
              <w:r>
                <w:rPr>
                  <w:rFonts w:ascii="Times New Roman" w:cs="Times New Roman" w:eastAsia="Times New Roman" w:hAnsi="Times New Roman"/>
                  <w:sz w:val="18"/>
                  <w:szCs w:val="18"/>
                  <w:b w:val="1"/>
                  <w:bCs w:val="1"/>
                  <w:color w:val="0000EE"/>
                </w:rPr>
                <w:t>Notes to Consolidated Financial Statements</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3"/>
          </w:tcPr>
          <w:p>
            <w:pPr>
              <w:spacing w:after="0"/>
              <w:rPr>
                <w:rFonts w:ascii="Times New Roman" w:cs="Times New Roman" w:eastAsia="Times New Roman" w:hAnsi="Times New Roman"/>
                <w:sz w:val="18"/>
                <w:szCs w:val="18"/>
                <w:b w:val="1"/>
                <w:bCs w:val="1"/>
                <w:color w:val="0000EE"/>
              </w:rPr>
            </w:pPr>
            <w:hyperlink w:anchor="page37">
              <w:r>
                <w:rPr>
                  <w:rFonts w:ascii="Times New Roman" w:cs="Times New Roman" w:eastAsia="Times New Roman" w:hAnsi="Times New Roman"/>
                  <w:sz w:val="18"/>
                  <w:szCs w:val="18"/>
                  <w:b w:val="1"/>
                  <w:bCs w:val="1"/>
                  <w:color w:val="0000EE"/>
                </w:rPr>
                <w:t>Item 2. Management’s Discussion and Analysis of Financial Condition and Results of Operations.</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5300" w:type="dxa"/>
            <w:vAlign w:val="bottom"/>
            <w:tcBorders>
              <w:bottom w:val="single" w:sz="8" w:color="0000EE"/>
            </w:tcBorders>
            <w:gridSpan w:val="17"/>
          </w:tcPr>
          <w:p>
            <w:pPr>
              <w:spacing w:after="0"/>
              <w:rPr>
                <w:rFonts w:ascii="Times New Roman" w:cs="Times New Roman" w:eastAsia="Times New Roman" w:hAnsi="Times New Roman"/>
                <w:sz w:val="18"/>
                <w:szCs w:val="18"/>
                <w:b w:val="1"/>
                <w:bCs w:val="1"/>
                <w:color w:val="0000EE"/>
                <w:w w:val="99"/>
              </w:rPr>
            </w:pPr>
            <w:hyperlink w:anchor="page57">
              <w:r>
                <w:rPr>
                  <w:rFonts w:ascii="Times New Roman" w:cs="Times New Roman" w:eastAsia="Times New Roman" w:hAnsi="Times New Roman"/>
                  <w:sz w:val="18"/>
                  <w:szCs w:val="18"/>
                  <w:b w:val="1"/>
                  <w:bCs w:val="1"/>
                  <w:color w:val="0000EE"/>
                  <w:w w:val="99"/>
                </w:rPr>
                <w:t>Item 3. Quantitative and Qualitative Disclosures About Market Risk.</w:t>
              </w:r>
            </w:hyperlink>
          </w:p>
        </w:tc>
        <w:tc>
          <w:tcPr>
            <w:tcW w:w="4620" w:type="dxa"/>
            <w:vAlign w:val="bottom"/>
            <w:gridSpan w:val="7"/>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12"/>
        </w:trPr>
        <w:tc>
          <w:tcPr>
            <w:tcW w:w="700" w:type="dxa"/>
            <w:vAlign w:val="bottom"/>
          </w:tcPr>
          <w:p>
            <w:pPr>
              <w:spacing w:after="0"/>
              <w:rPr>
                <w:sz w:val="24"/>
                <w:szCs w:val="24"/>
                <w:color w:val="auto"/>
              </w:rPr>
            </w:pPr>
          </w:p>
        </w:tc>
        <w:tc>
          <w:tcPr>
            <w:tcW w:w="9920" w:type="dxa"/>
            <w:vAlign w:val="bottom"/>
            <w:gridSpan w:val="24"/>
          </w:tcPr>
          <w:p>
            <w:pPr>
              <w:spacing w:after="0"/>
              <w:rPr>
                <w:rFonts w:ascii="Times New Roman" w:cs="Times New Roman" w:eastAsia="Times New Roman" w:hAnsi="Times New Roman"/>
                <w:sz w:val="18"/>
                <w:szCs w:val="18"/>
                <w:b w:val="1"/>
                <w:bCs w:val="1"/>
                <w:color w:val="0000EE"/>
              </w:rPr>
            </w:pPr>
            <w:hyperlink w:anchor="page57">
              <w:r>
                <w:rPr>
                  <w:rFonts w:ascii="Times New Roman" w:cs="Times New Roman" w:eastAsia="Times New Roman" w:hAnsi="Times New Roman"/>
                  <w:sz w:val="18"/>
                  <w:szCs w:val="18"/>
                  <w:b w:val="1"/>
                  <w:bCs w:val="1"/>
                  <w:color w:val="0000EE"/>
                </w:rPr>
                <w:t>Item 4. Controls and Procedures.</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720" w:type="dxa"/>
            <w:vAlign w:val="bottom"/>
            <w:gridSpan w:val="2"/>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2260" w:type="dxa"/>
            <w:vAlign w:val="bottom"/>
            <w:tcBorders>
              <w:bottom w:val="single" w:sz="8" w:color="0000EE"/>
            </w:tcBorders>
            <w:gridSpan w:val="6"/>
          </w:tcPr>
          <w:p>
            <w:pPr>
              <w:spacing w:after="0"/>
              <w:rPr>
                <w:rFonts w:ascii="Times New Roman" w:cs="Times New Roman" w:eastAsia="Times New Roman" w:hAnsi="Times New Roman"/>
                <w:sz w:val="18"/>
                <w:szCs w:val="18"/>
                <w:b w:val="1"/>
                <w:bCs w:val="1"/>
                <w:color w:val="0000EE"/>
                <w:w w:val="98"/>
              </w:rPr>
            </w:pPr>
            <w:hyperlink w:anchor="page58">
              <w:r>
                <w:rPr>
                  <w:rFonts w:ascii="Times New Roman" w:cs="Times New Roman" w:eastAsia="Times New Roman" w:hAnsi="Times New Roman"/>
                  <w:sz w:val="18"/>
                  <w:szCs w:val="18"/>
                  <w:b w:val="1"/>
                  <w:bCs w:val="1"/>
                  <w:color w:val="0000EE"/>
                  <w:w w:val="98"/>
                </w:rPr>
                <w:t>PART II - Other Information</w:t>
              </w:r>
            </w:hyperlink>
          </w:p>
        </w:tc>
        <w:tc>
          <w:tcPr>
            <w:tcW w:w="8360" w:type="dxa"/>
            <w:vAlign w:val="bottom"/>
            <w:gridSpan w:val="19"/>
          </w:tcPr>
          <w:p>
            <w:pPr>
              <w:spacing w:after="0"/>
              <w:rPr>
                <w:sz w:val="24"/>
                <w:szCs w:val="24"/>
                <w:color w:val="auto"/>
              </w:rPr>
            </w:pPr>
          </w:p>
        </w:tc>
        <w:tc>
          <w:tcPr>
            <w:tcW w:w="800" w:type="dxa"/>
            <w:vAlign w:val="bottom"/>
          </w:tcPr>
          <w:p>
            <w:pPr>
              <w:spacing w:after="0"/>
              <w:rPr>
                <w:sz w:val="24"/>
                <w:szCs w:val="24"/>
                <w:color w:val="auto"/>
              </w:rPr>
            </w:pPr>
          </w:p>
        </w:tc>
      </w:tr>
      <w:tr>
        <w:trPr>
          <w:trHeight w:val="412"/>
        </w:trPr>
        <w:tc>
          <w:tcPr>
            <w:tcW w:w="700" w:type="dxa"/>
            <w:vAlign w:val="bottom"/>
          </w:tcPr>
          <w:p>
            <w:pPr>
              <w:spacing w:after="0"/>
              <w:rPr>
                <w:sz w:val="24"/>
                <w:szCs w:val="24"/>
                <w:color w:val="auto"/>
              </w:rPr>
            </w:pPr>
          </w:p>
        </w:tc>
        <w:tc>
          <w:tcPr>
            <w:tcW w:w="9920" w:type="dxa"/>
            <w:vAlign w:val="bottom"/>
            <w:gridSpan w:val="24"/>
          </w:tcPr>
          <w:p>
            <w:pPr>
              <w:spacing w:after="0"/>
              <w:rPr>
                <w:rFonts w:ascii="Times New Roman" w:cs="Times New Roman" w:eastAsia="Times New Roman" w:hAnsi="Times New Roman"/>
                <w:sz w:val="18"/>
                <w:szCs w:val="18"/>
                <w:b w:val="1"/>
                <w:bCs w:val="1"/>
                <w:color w:val="0000EE"/>
              </w:rPr>
            </w:pPr>
            <w:hyperlink w:anchor="page58">
              <w:r>
                <w:rPr>
                  <w:rFonts w:ascii="Times New Roman" w:cs="Times New Roman" w:eastAsia="Times New Roman" w:hAnsi="Times New Roman"/>
                  <w:sz w:val="18"/>
                  <w:szCs w:val="18"/>
                  <w:b w:val="1"/>
                  <w:bCs w:val="1"/>
                  <w:color w:val="0000EE"/>
                </w:rPr>
                <w:t>Item 1. Legal Proceedings.</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196"/>
        </w:trPr>
        <w:tc>
          <w:tcPr>
            <w:tcW w:w="70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b w:val="1"/>
                <w:bCs w:val="1"/>
                <w:color w:val="0000EE"/>
                <w:w w:val="99"/>
              </w:rPr>
            </w:pPr>
            <w:hyperlink w:anchor="page58">
              <w:r>
                <w:rPr>
                  <w:rFonts w:ascii="Times New Roman" w:cs="Times New Roman" w:eastAsia="Times New Roman" w:hAnsi="Times New Roman"/>
                  <w:sz w:val="18"/>
                  <w:szCs w:val="18"/>
                  <w:b w:val="1"/>
                  <w:bCs w:val="1"/>
                  <w:color w:val="0000EE"/>
                  <w:w w:val="99"/>
                </w:rPr>
                <w:t>Item 1A. Risk Factors.</w:t>
              </w:r>
            </w:hyperlink>
          </w:p>
        </w:tc>
        <w:tc>
          <w:tcPr>
            <w:tcW w:w="280" w:type="dxa"/>
            <w:vAlign w:val="bottom"/>
            <w:tcBorders>
              <w:top w:val="single" w:sz="8" w:color="0000EE"/>
            </w:tcBorders>
            <w:gridSpan w:val="2"/>
          </w:tcPr>
          <w:p>
            <w:pPr>
              <w:spacing w:after="0"/>
              <w:rPr>
                <w:sz w:val="17"/>
                <w:szCs w:val="17"/>
                <w:color w:val="auto"/>
              </w:rPr>
            </w:pPr>
          </w:p>
        </w:tc>
        <w:tc>
          <w:tcPr>
            <w:tcW w:w="7900" w:type="dxa"/>
            <w:vAlign w:val="bottom"/>
            <w:gridSpan w:val="1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700" w:type="dxa"/>
            <w:vAlign w:val="bottom"/>
          </w:tcPr>
          <w:p>
            <w:pPr>
              <w:spacing w:after="0"/>
              <w:rPr>
                <w:sz w:val="17"/>
                <w:szCs w:val="17"/>
                <w:color w:val="auto"/>
              </w:rPr>
            </w:pPr>
          </w:p>
        </w:tc>
        <w:tc>
          <w:tcPr>
            <w:tcW w:w="52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b w:val="1"/>
                <w:bCs w:val="1"/>
                <w:color w:val="0000EE"/>
                <w:w w:val="99"/>
              </w:rPr>
            </w:pPr>
            <w:hyperlink w:anchor="page58">
              <w:r>
                <w:rPr>
                  <w:rFonts w:ascii="Times New Roman" w:cs="Times New Roman" w:eastAsia="Times New Roman" w:hAnsi="Times New Roman"/>
                  <w:sz w:val="18"/>
                  <w:szCs w:val="18"/>
                  <w:b w:val="1"/>
                  <w:bCs w:val="1"/>
                  <w:color w:val="0000EE"/>
                  <w:w w:val="99"/>
                </w:rPr>
                <w:t>Item 2. Unregistered Sales of Equity Securities and Use of Proceeds.</w:t>
              </w:r>
            </w:hyperlink>
          </w:p>
        </w:tc>
        <w:tc>
          <w:tcPr>
            <w:tcW w:w="4720" w:type="dxa"/>
            <w:vAlign w:val="bottom"/>
            <w:gridSpan w:val="8"/>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700" w:type="dxa"/>
            <w:vAlign w:val="bottom"/>
          </w:tcPr>
          <w:p>
            <w:pPr>
              <w:spacing w:after="0"/>
              <w:rPr>
                <w:sz w:val="17"/>
                <w:szCs w:val="17"/>
                <w:color w:val="auto"/>
              </w:rPr>
            </w:pPr>
          </w:p>
        </w:tc>
        <w:tc>
          <w:tcPr>
            <w:tcW w:w="30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b w:val="1"/>
                <w:bCs w:val="1"/>
                <w:color w:val="0000EE"/>
                <w:w w:val="99"/>
              </w:rPr>
            </w:pPr>
            <w:hyperlink w:anchor="page58">
              <w:r>
                <w:rPr>
                  <w:rFonts w:ascii="Times New Roman" w:cs="Times New Roman" w:eastAsia="Times New Roman" w:hAnsi="Times New Roman"/>
                  <w:sz w:val="18"/>
                  <w:szCs w:val="18"/>
                  <w:b w:val="1"/>
                  <w:bCs w:val="1"/>
                  <w:color w:val="0000EE"/>
                  <w:w w:val="99"/>
                </w:rPr>
                <w:t>Item 3. Defaults Upon Senior Securities.</w:t>
              </w:r>
            </w:hyperlink>
          </w:p>
        </w:tc>
        <w:tc>
          <w:tcPr>
            <w:tcW w:w="6840" w:type="dxa"/>
            <w:vAlign w:val="bottom"/>
            <w:gridSpan w:val="10"/>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700" w:type="dxa"/>
            <w:vAlign w:val="bottom"/>
          </w:tcPr>
          <w:p>
            <w:pPr>
              <w:spacing w:after="0"/>
              <w:rPr>
                <w:sz w:val="17"/>
                <w:szCs w:val="17"/>
                <w:color w:val="auto"/>
              </w:rPr>
            </w:pPr>
          </w:p>
        </w:tc>
        <w:tc>
          <w:tcPr>
            <w:tcW w:w="9920" w:type="dxa"/>
            <w:vAlign w:val="bottom"/>
            <w:gridSpan w:val="24"/>
          </w:tcPr>
          <w:p>
            <w:pPr>
              <w:spacing w:after="0" w:line="196" w:lineRule="exact"/>
              <w:rPr>
                <w:rFonts w:ascii="Times New Roman" w:cs="Times New Roman" w:eastAsia="Times New Roman" w:hAnsi="Times New Roman"/>
                <w:sz w:val="18"/>
                <w:szCs w:val="18"/>
                <w:b w:val="1"/>
                <w:bCs w:val="1"/>
                <w:color w:val="0000EE"/>
              </w:rPr>
            </w:pPr>
            <w:hyperlink w:anchor="page58">
              <w:r>
                <w:rPr>
                  <w:rFonts w:ascii="Times New Roman" w:cs="Times New Roman" w:eastAsia="Times New Roman" w:hAnsi="Times New Roman"/>
                  <w:sz w:val="18"/>
                  <w:szCs w:val="18"/>
                  <w:b w:val="1"/>
                  <w:bCs w:val="1"/>
                  <w:color w:val="0000EE"/>
                </w:rPr>
                <w:t>Item 4. Mine Safety Disclosures.</w:t>
              </w:r>
            </w:hyperlink>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70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b w:val="1"/>
                <w:bCs w:val="1"/>
                <w:color w:val="0000EE"/>
                <w:w w:val="99"/>
              </w:rPr>
            </w:pPr>
            <w:hyperlink w:anchor="page58">
              <w:r>
                <w:rPr>
                  <w:rFonts w:ascii="Times New Roman" w:cs="Times New Roman" w:eastAsia="Times New Roman" w:hAnsi="Times New Roman"/>
                  <w:sz w:val="18"/>
                  <w:szCs w:val="18"/>
                  <w:b w:val="1"/>
                  <w:bCs w:val="1"/>
                  <w:color w:val="0000EE"/>
                  <w:w w:val="99"/>
                </w:rPr>
                <w:t>Item 5. Other Information.</w:t>
              </w:r>
            </w:hyperlink>
          </w:p>
        </w:tc>
        <w:tc>
          <w:tcPr>
            <w:tcW w:w="380" w:type="dxa"/>
            <w:vAlign w:val="bottom"/>
            <w:tcBorders>
              <w:top w:val="single" w:sz="8" w:color="0000EE"/>
            </w:tcBorders>
            <w:gridSpan w:val="2"/>
          </w:tcPr>
          <w:p>
            <w:pPr>
              <w:spacing w:after="0"/>
              <w:rPr>
                <w:sz w:val="17"/>
                <w:szCs w:val="17"/>
                <w:color w:val="auto"/>
              </w:rPr>
            </w:pPr>
          </w:p>
        </w:tc>
        <w:tc>
          <w:tcPr>
            <w:tcW w:w="7460" w:type="dxa"/>
            <w:vAlign w:val="bottom"/>
            <w:gridSpan w:val="1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700" w:type="dxa"/>
            <w:vAlign w:val="bottom"/>
          </w:tcPr>
          <w:p>
            <w:pPr>
              <w:spacing w:after="0"/>
              <w:rPr>
                <w:sz w:val="17"/>
                <w:szCs w:val="17"/>
                <w:color w:val="auto"/>
              </w:rPr>
            </w:pPr>
          </w:p>
        </w:tc>
        <w:tc>
          <w:tcPr>
            <w:tcW w:w="9920" w:type="dxa"/>
            <w:vAlign w:val="bottom"/>
            <w:gridSpan w:val="24"/>
          </w:tcPr>
          <w:p>
            <w:pPr>
              <w:spacing w:after="0" w:line="196" w:lineRule="exact"/>
              <w:rPr>
                <w:rFonts w:ascii="Times New Roman" w:cs="Times New Roman" w:eastAsia="Times New Roman" w:hAnsi="Times New Roman"/>
                <w:sz w:val="18"/>
                <w:szCs w:val="18"/>
                <w:b w:val="1"/>
                <w:bCs w:val="1"/>
                <w:color w:val="0000EE"/>
              </w:rPr>
            </w:pPr>
            <w:hyperlink w:anchor="page59">
              <w:r>
                <w:rPr>
                  <w:rFonts w:ascii="Times New Roman" w:cs="Times New Roman" w:eastAsia="Times New Roman" w:hAnsi="Times New Roman"/>
                  <w:sz w:val="18"/>
                  <w:szCs w:val="18"/>
                  <w:b w:val="1"/>
                  <w:bCs w:val="1"/>
                  <w:color w:val="0000EE"/>
                </w:rPr>
                <w:t>Item 6. Exhibits.</w:t>
              </w:r>
            </w:hyperlink>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561"/>
        </w:trPr>
        <w:tc>
          <w:tcPr>
            <w:tcW w:w="720" w:type="dxa"/>
            <w:vAlign w:val="bottom"/>
            <w:tcBorders>
              <w:bottom w:val="single" w:sz="8" w:color="DCDCDC"/>
            </w:tcBorders>
            <w:gridSpan w:val="2"/>
          </w:tcPr>
          <w:p>
            <w:pPr>
              <w:spacing w:after="0"/>
              <w:rPr>
                <w:sz w:val="24"/>
                <w:szCs w:val="24"/>
                <w:color w:val="auto"/>
              </w:rPr>
            </w:pPr>
          </w:p>
        </w:tc>
        <w:tc>
          <w:tcPr>
            <w:tcW w:w="1240" w:type="dxa"/>
            <w:vAlign w:val="bottom"/>
            <w:tcBorders>
              <w:top w:val="single" w:sz="8" w:color="0000EE"/>
              <w:bottom w:val="single" w:sz="8" w:color="DCDCDC"/>
            </w:tcBorders>
            <w:gridSpan w:val="2"/>
          </w:tcPr>
          <w:p>
            <w:pPr>
              <w:spacing w:after="0"/>
              <w:rPr>
                <w:sz w:val="24"/>
                <w:szCs w:val="24"/>
                <w:color w:val="auto"/>
              </w:rPr>
            </w:pPr>
          </w:p>
        </w:tc>
        <w:tc>
          <w:tcPr>
            <w:tcW w:w="3940" w:type="dxa"/>
            <w:vAlign w:val="bottom"/>
            <w:tcBorders>
              <w:bottom w:val="single" w:sz="8" w:color="DCDCDC"/>
            </w:tcBorders>
            <w:gridSpan w:val="13"/>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DCDCDC"/>
            </w:tcBorders>
          </w:tcPr>
          <w:p>
            <w:pPr>
              <w:spacing w:after="0"/>
              <w:rPr>
                <w:sz w:val="24"/>
                <w:szCs w:val="24"/>
                <w:color w:val="auto"/>
              </w:rPr>
            </w:pPr>
          </w:p>
        </w:tc>
        <w:tc>
          <w:tcPr>
            <w:tcW w:w="1700" w:type="dxa"/>
            <w:vAlign w:val="bottom"/>
            <w:tcBorders>
              <w:bottom w:val="single" w:sz="8" w:color="DCDCDC"/>
            </w:tcBorders>
          </w:tcPr>
          <w:p>
            <w:pPr>
              <w:spacing w:after="0"/>
              <w:rPr>
                <w:sz w:val="24"/>
                <w:szCs w:val="24"/>
                <w:color w:val="auto"/>
              </w:rPr>
            </w:pPr>
          </w:p>
        </w:tc>
        <w:tc>
          <w:tcPr>
            <w:tcW w:w="48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50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60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792"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 of Income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revenue:</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Loans, including fees</w:t>
            </w:r>
          </w:p>
        </w:tc>
        <w:tc>
          <w:tcPr>
            <w:tcW w:w="400" w:type="dxa"/>
            <w:vAlign w:val="bottom"/>
            <w:gridSpan w:val="2"/>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72,727</w:t>
            </w:r>
          </w:p>
        </w:tc>
        <w:tc>
          <w:tcPr>
            <w:tcW w:w="420" w:type="dxa"/>
            <w:vAlign w:val="bottom"/>
            <w:gridSpan w:val="2"/>
            <w:shd w:val="clear" w:color="auto" w:fill="F0FF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securities, including tax exempt of $279 and $166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17,712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Deposits in banks and short-term investments</w:t>
            </w:r>
          </w:p>
        </w:tc>
        <w:tc>
          <w:tcPr>
            <w:tcW w:w="1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519</w:t>
            </w:r>
          </w:p>
        </w:tc>
        <w:tc>
          <w:tcPr>
            <w:tcW w:w="6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F0FFFF"/>
              <w:bottom w:val="single" w:sz="8" w:color="F0FFFF"/>
            </w:tcBorders>
          </w:tcPr>
          <w:p>
            <w:pPr>
              <w:ind w:left="520"/>
              <w:spacing w:after="0" w:line="203" w:lineRule="exact"/>
              <w:rPr>
                <w:sz w:val="20"/>
                <w:szCs w:val="20"/>
                <w:color w:val="auto"/>
              </w:rPr>
            </w:pPr>
            <w:r>
              <w:rPr>
                <w:rFonts w:ascii="Times New Roman" w:cs="Times New Roman" w:eastAsia="Times New Roman" w:hAnsi="Times New Roman"/>
                <w:sz w:val="18"/>
                <w:szCs w:val="18"/>
                <w:color w:val="auto"/>
              </w:rPr>
              <w:t>Total interest revenue</w:t>
            </w:r>
          </w:p>
        </w:tc>
        <w:tc>
          <w:tcPr>
            <w:tcW w:w="12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90,958</w:t>
            </w:r>
          </w:p>
        </w:tc>
        <w:tc>
          <w:tcPr>
            <w:tcW w:w="14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80,721</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NOW</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340"/>
              <w:spacing w:after="0"/>
              <w:rPr>
                <w:sz w:val="20"/>
                <w:szCs w:val="20"/>
                <w:color w:val="auto"/>
              </w:rPr>
            </w:pPr>
            <w:r>
              <w:rPr>
                <w:rFonts w:ascii="Times New Roman" w:cs="Times New Roman" w:eastAsia="Times New Roman" w:hAnsi="Times New Roman"/>
                <w:sz w:val="18"/>
                <w:szCs w:val="18"/>
                <w:color w:val="auto"/>
              </w:rPr>
              <w:t>Money market</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1,426</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Savings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40" w:type="dxa"/>
            <w:vAlign w:val="bottom"/>
            <w:shd w:val="clear" w:color="auto" w:fill="F0FFFF"/>
          </w:tcPr>
          <w:p>
            <w:pPr>
              <w:ind w:left="340"/>
              <w:spacing w:after="0"/>
              <w:rPr>
                <w:sz w:val="20"/>
                <w:szCs w:val="20"/>
                <w:color w:val="auto"/>
              </w:rPr>
            </w:pPr>
            <w:r>
              <w:rPr>
                <w:rFonts w:ascii="Times New Roman" w:cs="Times New Roman" w:eastAsia="Times New Roman" w:hAnsi="Times New Roman"/>
                <w:sz w:val="18"/>
                <w:szCs w:val="18"/>
                <w:color w:val="auto"/>
              </w:rPr>
              <w:t>Time</w:t>
            </w:r>
          </w:p>
        </w:tc>
        <w:tc>
          <w:tcPr>
            <w:tcW w:w="1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1,008</w:t>
            </w:r>
          </w:p>
        </w:tc>
        <w:tc>
          <w:tcPr>
            <w:tcW w:w="6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tcBorders>
              <w:top w:val="single" w:sz="8" w:color="F0FFFF"/>
            </w:tcBorders>
          </w:tcPr>
          <w:p>
            <w:pPr>
              <w:ind w:left="520"/>
              <w:spacing w:after="0" w:line="203" w:lineRule="exact"/>
              <w:rPr>
                <w:sz w:val="20"/>
                <w:szCs w:val="20"/>
                <w:color w:val="auto"/>
              </w:rPr>
            </w:pPr>
            <w:r>
              <w:rPr>
                <w:rFonts w:ascii="Times New Roman" w:cs="Times New Roman" w:eastAsia="Times New Roman" w:hAnsi="Times New Roman"/>
                <w:sz w:val="18"/>
                <w:szCs w:val="18"/>
                <w:color w:val="auto"/>
              </w:rPr>
              <w:t>Total deposit interest expense</w:t>
            </w:r>
          </w:p>
        </w:tc>
        <w:tc>
          <w:tcPr>
            <w:tcW w:w="120" w:type="dxa"/>
            <w:vAlign w:val="bottom"/>
            <w:tcBorders>
              <w:top w:val="single" w:sz="8" w:color="F0FF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3,058</w:t>
            </w:r>
          </w:p>
        </w:tc>
        <w:tc>
          <w:tcPr>
            <w:tcW w:w="14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2,264</w:t>
            </w: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2,876</w:t>
            </w:r>
          </w:p>
        </w:tc>
        <w:tc>
          <w:tcPr>
            <w:tcW w:w="6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2,685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F0FFFF"/>
              <w:bottom w:val="single" w:sz="8" w:color="F0FF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interest expense</w:t>
            </w:r>
          </w:p>
        </w:tc>
        <w:tc>
          <w:tcPr>
            <w:tcW w:w="12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7,404</w:t>
            </w:r>
          </w:p>
        </w:tc>
        <w:tc>
          <w:tcPr>
            <w:tcW w:w="14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5,769</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340"/>
              <w:spacing w:after="0"/>
              <w:rPr>
                <w:sz w:val="20"/>
                <w:szCs w:val="20"/>
                <w:color w:val="auto"/>
              </w:rPr>
            </w:pPr>
            <w:r>
              <w:rPr>
                <w:rFonts w:ascii="Times New Roman" w:cs="Times New Roman" w:eastAsia="Times New Roman" w:hAnsi="Times New Roman"/>
                <w:sz w:val="18"/>
                <w:szCs w:val="18"/>
                <w:color w:val="auto"/>
              </w:rPr>
              <w:t>Net interest revenue</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83,554</w:t>
            </w: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74,952</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800</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F0FFFF"/>
              <w:bottom w:val="single" w:sz="8" w:color="F0FFFF"/>
            </w:tcBorders>
            <w:shd w:val="clear" w:color="auto" w:fill="F0FFFF"/>
          </w:tcPr>
          <w:p>
            <w:pPr>
              <w:ind w:left="340"/>
              <w:spacing w:after="0"/>
              <w:rPr>
                <w:sz w:val="20"/>
                <w:szCs w:val="20"/>
                <w:color w:val="auto"/>
              </w:rPr>
            </w:pPr>
            <w:r>
              <w:rPr>
                <w:rFonts w:ascii="Times New Roman" w:cs="Times New Roman" w:eastAsia="Times New Roman" w:hAnsi="Times New Roman"/>
                <w:sz w:val="18"/>
                <w:szCs w:val="18"/>
                <w:color w:val="auto"/>
              </w:rPr>
              <w:t>Net interest revenue after provision for credit losses</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280" w:type="dxa"/>
            <w:vAlign w:val="bottom"/>
            <w:tcBorders>
              <w:top w:val="single" w:sz="8" w:color="auto"/>
              <w:bottom w:val="single" w:sz="8" w:color="auto"/>
            </w:tcBorders>
            <w:shd w:val="clear" w:color="auto" w:fill="F0FFFF"/>
          </w:tcPr>
          <w:p>
            <w:pPr>
              <w:spacing w:after="0"/>
              <w:rPr>
                <w:sz w:val="19"/>
                <w:szCs w:val="19"/>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82,754</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36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75,152</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Fee revenue:</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 charges and fees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10,604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Mortgage loan and other related fees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4,424</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Brokerage fees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Gains from sales of government guaranteed loans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1,959</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(losses) gains, net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3,679</w:t>
            </w:r>
          </w:p>
        </w:tc>
        <w:tc>
          <w:tcPr>
            <w:tcW w:w="6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2,522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F0FFFF"/>
              <w:bottom w:val="single" w:sz="8" w:color="F0FF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fee revenue</w:t>
            </w:r>
          </w:p>
        </w:tc>
        <w:tc>
          <w:tcPr>
            <w:tcW w:w="12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22,074</w:t>
            </w:r>
          </w:p>
        </w:tc>
        <w:tc>
          <w:tcPr>
            <w:tcW w:w="14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18,606</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F0FFFF"/>
            </w:tcBorders>
            <w:shd w:val="clear" w:color="auto" w:fill="F0FF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0" w:type="dxa"/>
            <w:vAlign w:val="bottom"/>
            <w:tcBorders>
              <w:bottom w:val="single" w:sz="8" w:color="F0FFFF"/>
            </w:tcBorders>
            <w:shd w:val="clear" w:color="auto" w:fill="F0FFFF"/>
          </w:tcPr>
          <w:p>
            <w:pPr>
              <w:spacing w:after="0"/>
              <w:rPr>
                <w:sz w:val="19"/>
                <w:szCs w:val="19"/>
                <w:color w:val="auto"/>
              </w:rPr>
            </w:pPr>
          </w:p>
        </w:tc>
        <w:tc>
          <w:tcPr>
            <w:tcW w:w="280" w:type="dxa"/>
            <w:vAlign w:val="bottom"/>
            <w:tcBorders>
              <w:bottom w:val="single" w:sz="8" w:color="auto"/>
            </w:tcBorders>
            <w:shd w:val="clear" w:color="auto" w:fill="F0FFFF"/>
          </w:tcPr>
          <w:p>
            <w:pPr>
              <w:spacing w:after="0"/>
              <w:rPr>
                <w:sz w:val="19"/>
                <w:szCs w:val="19"/>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104,828</w:t>
            </w:r>
          </w:p>
        </w:tc>
        <w:tc>
          <w:tcPr>
            <w:tcW w:w="140" w:type="dxa"/>
            <w:vAlign w:val="bottom"/>
            <w:tcBorders>
              <w:bottom w:val="single" w:sz="8" w:color="F0FFFF"/>
            </w:tcBorders>
            <w:shd w:val="clear" w:color="auto" w:fill="F0FFFF"/>
          </w:tcPr>
          <w:p>
            <w:pPr>
              <w:spacing w:after="0"/>
              <w:rPr>
                <w:sz w:val="19"/>
                <w:szCs w:val="19"/>
                <w:color w:val="auto"/>
              </w:rPr>
            </w:pPr>
          </w:p>
        </w:tc>
        <w:tc>
          <w:tcPr>
            <w:tcW w:w="60" w:type="dxa"/>
            <w:vAlign w:val="bottom"/>
            <w:tcBorders>
              <w:bottom w:val="single" w:sz="8" w:color="F0FFFF"/>
            </w:tcBorders>
            <w:shd w:val="clear" w:color="auto" w:fill="F0FFFF"/>
          </w:tcPr>
          <w:p>
            <w:pPr>
              <w:spacing w:after="0"/>
              <w:rPr>
                <w:sz w:val="19"/>
                <w:szCs w:val="19"/>
                <w:color w:val="auto"/>
              </w:rPr>
            </w:pPr>
          </w:p>
        </w:tc>
        <w:tc>
          <w:tcPr>
            <w:tcW w:w="36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93,758</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36,691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Communications and equipment</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4,918</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Occupancy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4,949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Advertising and public relations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1,061</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Postage, printing and supplies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3,044</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FDIC assessments and other regulatory charges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1,283</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973</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Merger-related and other charges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6,483</w:t>
            </w:r>
          </w:p>
        </w:tc>
        <w:tc>
          <w:tcPr>
            <w:tcW w:w="6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5,779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F0FFFF"/>
              <w:bottom w:val="single" w:sz="8" w:color="F0FF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62,826</w:t>
            </w:r>
          </w:p>
        </w:tc>
        <w:tc>
          <w:tcPr>
            <w:tcW w:w="14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57,885</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F0FFFF"/>
          </w:tcPr>
          <w:p>
            <w:pPr>
              <w:ind w:left="34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1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42,002</w:t>
            </w:r>
          </w:p>
        </w:tc>
        <w:tc>
          <w:tcPr>
            <w:tcW w:w="140" w:type="dxa"/>
            <w:vAlign w:val="bottom"/>
            <w:shd w:val="clear" w:color="auto" w:fill="F0FFFF"/>
          </w:tcPr>
          <w:p>
            <w:pPr>
              <w:spacing w:after="0"/>
              <w:rPr>
                <w:sz w:val="19"/>
                <w:szCs w:val="19"/>
                <w:color w:val="auto"/>
              </w:rPr>
            </w:pPr>
          </w:p>
        </w:tc>
        <w:tc>
          <w:tcPr>
            <w:tcW w:w="60" w:type="dxa"/>
            <w:vAlign w:val="bottom"/>
            <w:shd w:val="clear" w:color="auto" w:fill="F0FFFF"/>
          </w:tcPr>
          <w:p>
            <w:pPr>
              <w:spacing w:after="0"/>
              <w:rPr>
                <w:sz w:val="19"/>
                <w:szCs w:val="19"/>
                <w:color w:val="auto"/>
              </w:rPr>
            </w:pPr>
          </w:p>
        </w:tc>
        <w:tc>
          <w:tcPr>
            <w:tcW w:w="36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35,873</w:t>
            </w:r>
          </w:p>
        </w:tc>
        <w:tc>
          <w:tcPr>
            <w:tcW w:w="10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18,478</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top w:val="single" w:sz="8" w:color="F0FFFF"/>
            </w:tcBorders>
            <w:shd w:val="clear" w:color="auto" w:fill="F0FF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23,524</w:t>
            </w: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36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22,295</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8440" w:type="dxa"/>
            <w:vAlign w:val="bottom"/>
            <w:tcBorders>
              <w:top w:val="single" w:sz="8" w:color="F0FFFF"/>
              <w:bottom w:val="single" w:sz="8" w:color="F0FFFF"/>
            </w:tcBorders>
            <w:shd w:val="clear" w:color="auto" w:fill="F0FF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 available to common shareholders</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23,524</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360" w:type="dxa"/>
            <w:vAlign w:val="bottom"/>
            <w:tcBorders>
              <w:top w:val="single" w:sz="8" w:color="auto"/>
              <w:bottom w:val="single" w:sz="8" w:color="auto"/>
            </w:tcBorders>
            <w:shd w:val="clear" w:color="auto" w:fill="F0FF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22,274</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8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71,700</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72,162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71,708</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72,166</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441"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 of Comprehensive Income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6"/>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Before-tax</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Net of Tax</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Before-tax</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40" w:type="dxa"/>
            <w:vAlign w:val="bottom"/>
          </w:tcPr>
          <w:p>
            <w:pPr>
              <w:spacing w:after="0"/>
              <w:rPr>
                <w:sz w:val="21"/>
                <w:szCs w:val="21"/>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F0FF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42,002</w:t>
            </w:r>
          </w:p>
        </w:tc>
        <w:tc>
          <w:tcPr>
            <w:tcW w:w="24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(18,478)</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23,524</w:t>
            </w:r>
          </w:p>
        </w:tc>
        <w:tc>
          <w:tcPr>
            <w:tcW w:w="20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35,873</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(13,578)</w:t>
            </w:r>
          </w:p>
        </w:tc>
        <w:tc>
          <w:tcPr>
            <w:tcW w:w="20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22,295</w:t>
            </w:r>
          </w:p>
        </w:tc>
        <w:tc>
          <w:tcPr>
            <w:tcW w:w="0" w:type="dxa"/>
            <w:vAlign w:val="bottom"/>
          </w:tcPr>
          <w:p>
            <w:pPr>
              <w:spacing w:after="0"/>
              <w:rPr>
                <w:sz w:val="1"/>
                <w:szCs w:val="1"/>
                <w:color w:val="auto"/>
              </w:rPr>
            </w:pPr>
          </w:p>
        </w:tc>
      </w:tr>
      <w:tr>
        <w:trPr>
          <w:trHeight w:val="216"/>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40" w:type="dxa"/>
            <w:vAlign w:val="bottom"/>
            <w:gridSpan w:val="2"/>
            <w:shd w:val="clear" w:color="auto" w:fill="F0FF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gains on available-for-sale</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gridSpan w:val="2"/>
            <w:shd w:val="clear" w:color="auto" w:fill="F0FFFF"/>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shd w:val="clear" w:color="auto" w:fill="F0FFFF"/>
          </w:tcPr>
          <w:p>
            <w:pPr>
              <w:spacing w:after="0"/>
              <w:rPr>
                <w:sz w:val="20"/>
                <w:szCs w:val="20"/>
                <w:color w:val="auto"/>
              </w:rPr>
            </w:pPr>
          </w:p>
        </w:tc>
        <w:tc>
          <w:tcPr>
            <w:tcW w:w="104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4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Unrealized holding gains arising during</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(2,464)</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4,044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11,697</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(4,455)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7,242</w:t>
            </w:r>
          </w:p>
        </w:tc>
        <w:tc>
          <w:tcPr>
            <w:tcW w:w="0" w:type="dxa"/>
            <w:vAlign w:val="bottom"/>
          </w:tcPr>
          <w:p>
            <w:pPr>
              <w:spacing w:after="0"/>
              <w:rPr>
                <w:sz w:val="1"/>
                <w:szCs w:val="1"/>
                <w:color w:val="auto"/>
              </w:rPr>
            </w:pPr>
          </w:p>
        </w:tc>
      </w:tr>
      <w:tr>
        <w:trPr>
          <w:trHeight w:val="198"/>
        </w:trPr>
        <w:tc>
          <w:tcPr>
            <w:tcW w:w="3340" w:type="dxa"/>
            <w:vAlign w:val="bottom"/>
            <w:gridSpan w:val="2"/>
            <w:shd w:val="clear" w:color="auto" w:fill="F0FFFF"/>
          </w:tcPr>
          <w:p>
            <w:pPr>
              <w:ind w:left="34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losses</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340" w:type="dxa"/>
            <w:vAlign w:val="bottom"/>
            <w:gridSpan w:val="2"/>
            <w:shd w:val="clear" w:color="auto" w:fill="F0FFFF"/>
          </w:tcPr>
          <w:p>
            <w:pPr>
              <w:ind w:left="500"/>
              <w:spacing w:after="0"/>
              <w:rPr>
                <w:sz w:val="20"/>
                <w:szCs w:val="20"/>
                <w:color w:val="auto"/>
              </w:rPr>
            </w:pPr>
            <w:r>
              <w:rPr>
                <w:rFonts w:ascii="Times New Roman" w:cs="Times New Roman" w:eastAsia="Times New Roman" w:hAnsi="Times New Roman"/>
                <w:sz w:val="18"/>
                <w:szCs w:val="18"/>
                <w:color w:val="auto"/>
              </w:rPr>
              <w:t>(gains) included in net income</w:t>
            </w:r>
          </w:p>
        </w:tc>
        <w:tc>
          <w:tcPr>
            <w:tcW w:w="120" w:type="dxa"/>
            <w:vAlign w:val="bottom"/>
            <w:shd w:val="clear" w:color="auto" w:fill="F0FFFF"/>
          </w:tcPr>
          <w:p>
            <w:pPr>
              <w:spacing w:after="0"/>
              <w:rPr>
                <w:sz w:val="23"/>
                <w:szCs w:val="23"/>
                <w:color w:val="auto"/>
              </w:rPr>
            </w:pPr>
          </w:p>
        </w:tc>
        <w:tc>
          <w:tcPr>
            <w:tcW w:w="11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12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F0FFFF"/>
          </w:tcPr>
          <w:p>
            <w:pPr>
              <w:spacing w:after="0"/>
              <w:rPr>
                <w:sz w:val="23"/>
                <w:szCs w:val="23"/>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2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shd w:val="clear" w:color="auto" w:fill="F0FFFF"/>
          </w:tcPr>
          <w:p>
            <w:pPr>
              <w:spacing w:after="0"/>
              <w:rPr>
                <w:sz w:val="23"/>
                <w:szCs w:val="23"/>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12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03"/>
        </w:trPr>
        <w:tc>
          <w:tcPr>
            <w:tcW w:w="3340" w:type="dxa"/>
            <w:vAlign w:val="bottom"/>
            <w:tcBorders>
              <w:top w:val="single" w:sz="8" w:color="F0FF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unrealized gains</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6,510</w:t>
            </w:r>
          </w:p>
        </w:tc>
        <w:tc>
          <w:tcPr>
            <w:tcW w:w="14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(2,465)</w:t>
            </w:r>
          </w:p>
        </w:tc>
        <w:tc>
          <w:tcPr>
            <w:tcW w:w="22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4,045</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11,318</w:t>
            </w:r>
          </w:p>
        </w:tc>
        <w:tc>
          <w:tcPr>
            <w:tcW w:w="20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(4,314)</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7,004</w:t>
            </w: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40" w:type="dxa"/>
            <w:vAlign w:val="bottom"/>
            <w:gridSpan w:val="2"/>
            <w:shd w:val="clear" w:color="auto" w:fill="F0FFFF"/>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 losses included in net</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F0FFFF"/>
          </w:tcPr>
          <w:p>
            <w:pPr>
              <w:ind w:left="340"/>
              <w:spacing w:after="0"/>
              <w:rPr>
                <w:sz w:val="20"/>
                <w:szCs w:val="20"/>
                <w:color w:val="auto"/>
              </w:rPr>
            </w:pPr>
            <w:r>
              <w:rPr>
                <w:rFonts w:ascii="Times New Roman" w:cs="Times New Roman" w:eastAsia="Times New Roman" w:hAnsi="Times New Roman"/>
                <w:sz w:val="18"/>
                <w:szCs w:val="18"/>
                <w:color w:val="auto"/>
              </w:rPr>
              <w:t>income on available-for-sale securities</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gridSpan w:val="2"/>
            <w:shd w:val="clear" w:color="auto" w:fill="F0FFFF"/>
          </w:tcPr>
          <w:p>
            <w:pPr>
              <w:ind w:left="340"/>
              <w:spacing w:after="0"/>
              <w:rPr>
                <w:sz w:val="20"/>
                <w:szCs w:val="20"/>
                <w:color w:val="auto"/>
              </w:rPr>
            </w:pPr>
            <w:r>
              <w:rPr>
                <w:rFonts w:ascii="Times New Roman" w:cs="Times New Roman" w:eastAsia="Times New Roman" w:hAnsi="Times New Roman"/>
                <w:sz w:val="18"/>
                <w:szCs w:val="18"/>
                <w:color w:val="auto"/>
              </w:rPr>
              <w:t>transferred to held-to-maturity</w:t>
            </w:r>
          </w:p>
        </w:tc>
        <w:tc>
          <w:tcPr>
            <w:tcW w:w="12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198"/>
        </w:trPr>
        <w:tc>
          <w:tcPr>
            <w:tcW w:w="33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 losses included in net</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on terminated derivative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financial instruments that were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previously accounted for as cash flow</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hedges</w:t>
            </w: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198"/>
        </w:trPr>
        <w:tc>
          <w:tcPr>
            <w:tcW w:w="3340" w:type="dxa"/>
            <w:vAlign w:val="bottom"/>
            <w:gridSpan w:val="2"/>
            <w:shd w:val="clear" w:color="auto" w:fill="F0FF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Reclassification of disproportionate tax</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F0FFFF"/>
          </w:tcPr>
          <w:p>
            <w:pPr>
              <w:ind w:left="340"/>
              <w:spacing w:after="0"/>
              <w:rPr>
                <w:sz w:val="20"/>
                <w:szCs w:val="20"/>
                <w:color w:val="auto"/>
              </w:rPr>
            </w:pPr>
            <w:r>
              <w:rPr>
                <w:rFonts w:ascii="Times New Roman" w:cs="Times New Roman" w:eastAsia="Times New Roman" w:hAnsi="Times New Roman"/>
                <w:sz w:val="18"/>
                <w:szCs w:val="18"/>
                <w:color w:val="auto"/>
              </w:rPr>
              <w:t>effect related to terminated cash flow</w:t>
            </w:r>
          </w:p>
        </w:tc>
        <w:tc>
          <w:tcPr>
            <w:tcW w:w="120" w:type="dxa"/>
            <w:vAlign w:val="bottom"/>
            <w:shd w:val="clear" w:color="auto" w:fill="F0FFFF"/>
          </w:tcPr>
          <w:p>
            <w:pPr>
              <w:spacing w:after="0"/>
              <w:rPr>
                <w:sz w:val="18"/>
                <w:szCs w:val="18"/>
                <w:color w:val="auto"/>
              </w:rPr>
            </w:pPr>
          </w:p>
        </w:tc>
        <w:tc>
          <w:tcPr>
            <w:tcW w:w="1180" w:type="dxa"/>
            <w:vAlign w:val="bottom"/>
            <w:gridSpan w:val="2"/>
            <w:vMerge w:val="restart"/>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40" w:type="dxa"/>
            <w:vAlign w:val="bottom"/>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3,400</w:t>
            </w:r>
          </w:p>
        </w:tc>
        <w:tc>
          <w:tcPr>
            <w:tcW w:w="140" w:type="dxa"/>
            <w:vAlign w:val="bottom"/>
            <w:shd w:val="clear" w:color="auto" w:fill="F0FFFF"/>
          </w:tcPr>
          <w:p>
            <w:pPr>
              <w:spacing w:after="0"/>
              <w:rPr>
                <w:sz w:val="18"/>
                <w:szCs w:val="18"/>
                <w:color w:val="auto"/>
              </w:rPr>
            </w:pPr>
          </w:p>
        </w:tc>
        <w:tc>
          <w:tcPr>
            <w:tcW w:w="1140" w:type="dxa"/>
            <w:vAlign w:val="bottom"/>
            <w:gridSpan w:val="2"/>
            <w:vMerge w:val="restart"/>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3,400</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40" w:type="dxa"/>
            <w:vAlign w:val="bottom"/>
            <w:gridSpan w:val="2"/>
            <w:vMerge w:val="restart"/>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vMerge w:val="restart"/>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3340" w:type="dxa"/>
            <w:vAlign w:val="bottom"/>
            <w:gridSpan w:val="2"/>
            <w:shd w:val="clear" w:color="auto" w:fill="F0FFFF"/>
          </w:tcPr>
          <w:p>
            <w:pPr>
              <w:ind w:left="340"/>
              <w:spacing w:after="0"/>
              <w:rPr>
                <w:sz w:val="20"/>
                <w:szCs w:val="20"/>
                <w:color w:val="auto"/>
              </w:rPr>
            </w:pPr>
            <w:r>
              <w:rPr>
                <w:rFonts w:ascii="Times New Roman" w:cs="Times New Roman" w:eastAsia="Times New Roman" w:hAnsi="Times New Roman"/>
                <w:sz w:val="18"/>
                <w:szCs w:val="18"/>
                <w:color w:val="auto"/>
              </w:rPr>
              <w:t>hedges</w:t>
            </w:r>
          </w:p>
        </w:tc>
        <w:tc>
          <w:tcPr>
            <w:tcW w:w="120" w:type="dxa"/>
            <w:vAlign w:val="bottom"/>
            <w:shd w:val="clear" w:color="auto" w:fill="F0FFFF"/>
          </w:tcPr>
          <w:p>
            <w:pPr>
              <w:spacing w:after="0"/>
              <w:rPr>
                <w:sz w:val="20"/>
                <w:szCs w:val="20"/>
                <w:color w:val="auto"/>
              </w:rPr>
            </w:pPr>
          </w:p>
        </w:tc>
        <w:tc>
          <w:tcPr>
            <w:tcW w:w="1180" w:type="dxa"/>
            <w:vAlign w:val="bottom"/>
            <w:gridSpan w:val="2"/>
            <w:vMerge w:val="continue"/>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240" w:type="dxa"/>
            <w:vAlign w:val="bottom"/>
            <w:gridSpan w:val="2"/>
            <w:vMerge w:val="continue"/>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140" w:type="dxa"/>
            <w:vAlign w:val="bottom"/>
            <w:gridSpan w:val="2"/>
            <w:vMerge w:val="continue"/>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20" w:type="dxa"/>
            <w:vAlign w:val="bottom"/>
            <w:vMerge w:val="continue"/>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140" w:type="dxa"/>
            <w:vAlign w:val="bottom"/>
            <w:gridSpan w:val="2"/>
            <w:vMerge w:val="continue"/>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gridSpan w:val="2"/>
            <w:vMerge w:val="continue"/>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340" w:type="dxa"/>
            <w:vAlign w:val="bottom"/>
            <w:tcBorders>
              <w:top w:val="single" w:sz="8" w:color="F0FF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cash flow hedge activity</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413</w:t>
            </w:r>
          </w:p>
        </w:tc>
        <w:tc>
          <w:tcPr>
            <w:tcW w:w="14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3,239</w:t>
            </w:r>
          </w:p>
        </w:tc>
        <w:tc>
          <w:tcPr>
            <w:tcW w:w="22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3,652</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500</w:t>
            </w:r>
          </w:p>
        </w:tc>
        <w:tc>
          <w:tcPr>
            <w:tcW w:w="20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(195)</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40" w:type="dxa"/>
            <w:vAlign w:val="bottom"/>
            <w:gridSpan w:val="2"/>
            <w:shd w:val="clear" w:color="auto" w:fill="F0FF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actuarial loss on defined benefit</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gridSpan w:val="2"/>
            <w:shd w:val="clear" w:color="auto" w:fill="F0FFFF"/>
          </w:tcPr>
          <w:p>
            <w:pPr>
              <w:ind w:left="340"/>
              <w:spacing w:after="0"/>
              <w:rPr>
                <w:sz w:val="20"/>
                <w:szCs w:val="20"/>
                <w:color w:val="auto"/>
              </w:rPr>
            </w:pPr>
            <w:r>
              <w:rPr>
                <w:rFonts w:ascii="Times New Roman" w:cs="Times New Roman" w:eastAsia="Times New Roman" w:hAnsi="Times New Roman"/>
                <w:sz w:val="18"/>
                <w:szCs w:val="18"/>
                <w:color w:val="auto"/>
              </w:rPr>
              <w:t>pension plan</w:t>
            </w:r>
          </w:p>
        </w:tc>
        <w:tc>
          <w:tcPr>
            <w:tcW w:w="12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3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 prior service cost and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actuarial losses included in net periodic</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pension cost for defined benefit</w:t>
            </w:r>
          </w:p>
        </w:tc>
        <w:tc>
          <w:tcPr>
            <w:tcW w:w="120" w:type="dxa"/>
            <w:vAlign w:val="bottom"/>
          </w:tcPr>
          <w:p>
            <w:pPr>
              <w:spacing w:after="0"/>
              <w:rPr>
                <w:sz w:val="18"/>
                <w:szCs w:val="18"/>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8"/>
                <w:szCs w:val="18"/>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Pr>
          <w:p>
            <w:pPr>
              <w:spacing w:after="0"/>
              <w:rPr>
                <w:sz w:val="18"/>
                <w:szCs w:val="18"/>
                <w:color w:val="auto"/>
              </w:rPr>
            </w:pP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8"/>
        </w:trPr>
        <w:tc>
          <w:tcPr>
            <w:tcW w:w="3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pension plan</w:t>
            </w:r>
          </w:p>
        </w:tc>
        <w:tc>
          <w:tcPr>
            <w:tcW w:w="1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340" w:type="dxa"/>
            <w:vAlign w:val="bottom"/>
            <w:tcBorders>
              <w:top w:val="single" w:sz="8" w:color="F0FFFF"/>
            </w:tcBorders>
            <w:gridSpan w:val="2"/>
            <w:shd w:val="clear" w:color="auto" w:fill="F0FFFF"/>
          </w:tcPr>
          <w:p>
            <w:pPr>
              <w:ind w:left="340"/>
              <w:spacing w:after="0" w:line="184" w:lineRule="exact"/>
              <w:rPr>
                <w:sz w:val="20"/>
                <w:szCs w:val="20"/>
                <w:color w:val="auto"/>
              </w:rPr>
            </w:pPr>
            <w:r>
              <w:rPr>
                <w:rFonts w:ascii="Times New Roman" w:cs="Times New Roman" w:eastAsia="Times New Roman" w:hAnsi="Times New Roman"/>
                <w:sz w:val="18"/>
                <w:szCs w:val="18"/>
                <w:color w:val="auto"/>
              </w:rPr>
              <w:t>Net defined benefit pension plan</w:t>
            </w:r>
          </w:p>
        </w:tc>
        <w:tc>
          <w:tcPr>
            <w:tcW w:w="120" w:type="dxa"/>
            <w:vAlign w:val="bottom"/>
            <w:tcBorders>
              <w:top w:val="single" w:sz="8" w:color="auto"/>
            </w:tcBorders>
            <w:shd w:val="clear" w:color="auto" w:fill="F0FFFF"/>
          </w:tcPr>
          <w:p>
            <w:pPr>
              <w:spacing w:after="0"/>
              <w:rPr>
                <w:sz w:val="16"/>
                <w:szCs w:val="16"/>
                <w:color w:val="auto"/>
              </w:rPr>
            </w:pPr>
          </w:p>
        </w:tc>
        <w:tc>
          <w:tcPr>
            <w:tcW w:w="1040" w:type="dxa"/>
            <w:vAlign w:val="bottom"/>
            <w:tcBorders>
              <w:top w:val="single" w:sz="8" w:color="auto"/>
            </w:tcBorders>
            <w:shd w:val="clear" w:color="auto" w:fill="F0FFFF"/>
          </w:tcPr>
          <w:p>
            <w:pPr>
              <w:spacing w:after="0"/>
              <w:rPr>
                <w:sz w:val="16"/>
                <w:szCs w:val="16"/>
                <w:color w:val="auto"/>
              </w:rPr>
            </w:pPr>
          </w:p>
        </w:tc>
        <w:tc>
          <w:tcPr>
            <w:tcW w:w="140" w:type="dxa"/>
            <w:vAlign w:val="bottom"/>
            <w:tcBorders>
              <w:top w:val="single" w:sz="8" w:color="F0FFFF"/>
            </w:tcBorders>
            <w:shd w:val="clear" w:color="auto" w:fill="F0FFFF"/>
          </w:tcPr>
          <w:p>
            <w:pPr>
              <w:spacing w:after="0"/>
              <w:rPr>
                <w:sz w:val="16"/>
                <w:szCs w:val="16"/>
                <w:color w:val="auto"/>
              </w:rPr>
            </w:pPr>
          </w:p>
        </w:tc>
        <w:tc>
          <w:tcPr>
            <w:tcW w:w="100" w:type="dxa"/>
            <w:vAlign w:val="bottom"/>
            <w:tcBorders>
              <w:top w:val="single" w:sz="8" w:color="F0FFFF"/>
            </w:tcBorders>
            <w:shd w:val="clear" w:color="auto" w:fill="F0FFFF"/>
          </w:tcPr>
          <w:p>
            <w:pPr>
              <w:spacing w:after="0"/>
              <w:rPr>
                <w:sz w:val="16"/>
                <w:szCs w:val="16"/>
                <w:color w:val="auto"/>
              </w:rPr>
            </w:pPr>
          </w:p>
        </w:tc>
        <w:tc>
          <w:tcPr>
            <w:tcW w:w="140" w:type="dxa"/>
            <w:vAlign w:val="bottom"/>
            <w:tcBorders>
              <w:top w:val="single" w:sz="8" w:color="auto"/>
            </w:tcBorders>
            <w:shd w:val="clear" w:color="auto" w:fill="F0FFFF"/>
          </w:tcPr>
          <w:p>
            <w:pPr>
              <w:spacing w:after="0"/>
              <w:rPr>
                <w:sz w:val="16"/>
                <w:szCs w:val="16"/>
                <w:color w:val="auto"/>
              </w:rPr>
            </w:pPr>
          </w:p>
        </w:tc>
        <w:tc>
          <w:tcPr>
            <w:tcW w:w="1020" w:type="dxa"/>
            <w:vAlign w:val="bottom"/>
            <w:tcBorders>
              <w:top w:val="single" w:sz="8" w:color="auto"/>
            </w:tcBorders>
            <w:shd w:val="clear" w:color="auto" w:fill="F0FFFF"/>
          </w:tcPr>
          <w:p>
            <w:pPr>
              <w:spacing w:after="0"/>
              <w:rPr>
                <w:sz w:val="16"/>
                <w:szCs w:val="16"/>
                <w:color w:val="auto"/>
              </w:rPr>
            </w:pPr>
          </w:p>
        </w:tc>
        <w:tc>
          <w:tcPr>
            <w:tcW w:w="220" w:type="dxa"/>
            <w:vAlign w:val="bottom"/>
            <w:tcBorders>
              <w:top w:val="single" w:sz="8" w:color="F0FFFF"/>
            </w:tcBorders>
            <w:shd w:val="clear" w:color="auto" w:fill="F0FFFF"/>
          </w:tcPr>
          <w:p>
            <w:pPr>
              <w:spacing w:after="0"/>
              <w:rPr>
                <w:sz w:val="16"/>
                <w:szCs w:val="16"/>
                <w:color w:val="auto"/>
              </w:rPr>
            </w:pPr>
          </w:p>
        </w:tc>
        <w:tc>
          <w:tcPr>
            <w:tcW w:w="140" w:type="dxa"/>
            <w:vAlign w:val="bottom"/>
            <w:tcBorders>
              <w:top w:val="single" w:sz="8" w:color="auto"/>
            </w:tcBorders>
            <w:shd w:val="clear" w:color="auto" w:fill="F0FFFF"/>
          </w:tcPr>
          <w:p>
            <w:pPr>
              <w:spacing w:after="0"/>
              <w:rPr>
                <w:sz w:val="16"/>
                <w:szCs w:val="16"/>
                <w:color w:val="auto"/>
              </w:rPr>
            </w:pPr>
          </w:p>
        </w:tc>
        <w:tc>
          <w:tcPr>
            <w:tcW w:w="1000" w:type="dxa"/>
            <w:vAlign w:val="bottom"/>
            <w:tcBorders>
              <w:top w:val="single" w:sz="8" w:color="auto"/>
            </w:tcBorders>
            <w:shd w:val="clear" w:color="auto" w:fill="F0FFFF"/>
          </w:tcPr>
          <w:p>
            <w:pPr>
              <w:spacing w:after="0"/>
              <w:rPr>
                <w:sz w:val="16"/>
                <w:szCs w:val="16"/>
                <w:color w:val="auto"/>
              </w:rPr>
            </w:pPr>
          </w:p>
        </w:tc>
        <w:tc>
          <w:tcPr>
            <w:tcW w:w="140" w:type="dxa"/>
            <w:vAlign w:val="bottom"/>
            <w:tcBorders>
              <w:top w:val="single" w:sz="8" w:color="F0FFFF"/>
            </w:tcBorders>
            <w:shd w:val="clear" w:color="auto" w:fill="F0FFFF"/>
          </w:tcPr>
          <w:p>
            <w:pPr>
              <w:spacing w:after="0"/>
              <w:rPr>
                <w:sz w:val="16"/>
                <w:szCs w:val="16"/>
                <w:color w:val="auto"/>
              </w:rPr>
            </w:pPr>
          </w:p>
        </w:tc>
        <w:tc>
          <w:tcPr>
            <w:tcW w:w="80" w:type="dxa"/>
            <w:vAlign w:val="bottom"/>
            <w:tcBorders>
              <w:top w:val="single" w:sz="8" w:color="F0FFFF"/>
            </w:tcBorders>
            <w:shd w:val="clear" w:color="auto" w:fill="F0FFFF"/>
          </w:tcPr>
          <w:p>
            <w:pPr>
              <w:spacing w:after="0"/>
              <w:rPr>
                <w:sz w:val="16"/>
                <w:szCs w:val="16"/>
                <w:color w:val="auto"/>
              </w:rPr>
            </w:pPr>
          </w:p>
        </w:tc>
        <w:tc>
          <w:tcPr>
            <w:tcW w:w="120" w:type="dxa"/>
            <w:vAlign w:val="bottom"/>
            <w:tcBorders>
              <w:top w:val="single" w:sz="8" w:color="auto"/>
            </w:tcBorders>
            <w:shd w:val="clear" w:color="auto" w:fill="F0FFFF"/>
          </w:tcPr>
          <w:p>
            <w:pPr>
              <w:spacing w:after="0"/>
              <w:rPr>
                <w:sz w:val="16"/>
                <w:szCs w:val="16"/>
                <w:color w:val="auto"/>
              </w:rPr>
            </w:pPr>
          </w:p>
        </w:tc>
        <w:tc>
          <w:tcPr>
            <w:tcW w:w="1020" w:type="dxa"/>
            <w:vAlign w:val="bottom"/>
            <w:tcBorders>
              <w:top w:val="single" w:sz="8" w:color="auto"/>
            </w:tcBorders>
            <w:shd w:val="clear" w:color="auto" w:fill="F0FFFF"/>
          </w:tcPr>
          <w:p>
            <w:pPr>
              <w:spacing w:after="0"/>
              <w:rPr>
                <w:sz w:val="16"/>
                <w:szCs w:val="16"/>
                <w:color w:val="auto"/>
              </w:rPr>
            </w:pPr>
          </w:p>
        </w:tc>
        <w:tc>
          <w:tcPr>
            <w:tcW w:w="200" w:type="dxa"/>
            <w:vAlign w:val="bottom"/>
            <w:tcBorders>
              <w:top w:val="single" w:sz="8" w:color="F0FFFF"/>
            </w:tcBorders>
            <w:shd w:val="clear" w:color="auto" w:fill="F0FFFF"/>
          </w:tcPr>
          <w:p>
            <w:pPr>
              <w:spacing w:after="0"/>
              <w:rPr>
                <w:sz w:val="16"/>
                <w:szCs w:val="16"/>
                <w:color w:val="auto"/>
              </w:rPr>
            </w:pPr>
          </w:p>
        </w:tc>
        <w:tc>
          <w:tcPr>
            <w:tcW w:w="140" w:type="dxa"/>
            <w:vAlign w:val="bottom"/>
            <w:tcBorders>
              <w:top w:val="single" w:sz="8" w:color="auto"/>
            </w:tcBorders>
            <w:shd w:val="clear" w:color="auto" w:fill="F0FFFF"/>
          </w:tcPr>
          <w:p>
            <w:pPr>
              <w:spacing w:after="0"/>
              <w:rPr>
                <w:sz w:val="16"/>
                <w:szCs w:val="16"/>
                <w:color w:val="auto"/>
              </w:rPr>
            </w:pPr>
          </w:p>
        </w:tc>
        <w:tc>
          <w:tcPr>
            <w:tcW w:w="1000" w:type="dxa"/>
            <w:vAlign w:val="bottom"/>
            <w:tcBorders>
              <w:top w:val="single" w:sz="8" w:color="auto"/>
            </w:tcBorders>
            <w:shd w:val="clear" w:color="auto" w:fill="F0FFFF"/>
          </w:tcPr>
          <w:p>
            <w:pPr>
              <w:spacing w:after="0"/>
              <w:rPr>
                <w:sz w:val="16"/>
                <w:szCs w:val="16"/>
                <w:color w:val="auto"/>
              </w:rPr>
            </w:pPr>
          </w:p>
        </w:tc>
        <w:tc>
          <w:tcPr>
            <w:tcW w:w="140" w:type="dxa"/>
            <w:vAlign w:val="bottom"/>
            <w:tcBorders>
              <w:top w:val="single" w:sz="8" w:color="F0FFFF"/>
            </w:tcBorders>
            <w:shd w:val="clear" w:color="auto" w:fill="F0FFFF"/>
          </w:tcPr>
          <w:p>
            <w:pPr>
              <w:spacing w:after="0"/>
              <w:rPr>
                <w:sz w:val="16"/>
                <w:szCs w:val="16"/>
                <w:color w:val="auto"/>
              </w:rPr>
            </w:pPr>
          </w:p>
        </w:tc>
        <w:tc>
          <w:tcPr>
            <w:tcW w:w="80" w:type="dxa"/>
            <w:vAlign w:val="bottom"/>
            <w:tcBorders>
              <w:top w:val="single" w:sz="8" w:color="F0FFFF"/>
            </w:tcBorders>
            <w:shd w:val="clear" w:color="auto" w:fill="F0FFFF"/>
          </w:tcPr>
          <w:p>
            <w:pPr>
              <w:spacing w:after="0"/>
              <w:rPr>
                <w:sz w:val="16"/>
                <w:szCs w:val="16"/>
                <w:color w:val="auto"/>
              </w:rPr>
            </w:pPr>
          </w:p>
        </w:tc>
        <w:tc>
          <w:tcPr>
            <w:tcW w:w="120" w:type="dxa"/>
            <w:vAlign w:val="bottom"/>
            <w:tcBorders>
              <w:top w:val="single" w:sz="8" w:color="auto"/>
            </w:tcBorders>
            <w:shd w:val="clear" w:color="auto" w:fill="F0FFFF"/>
          </w:tcPr>
          <w:p>
            <w:pPr>
              <w:spacing w:after="0"/>
              <w:rPr>
                <w:sz w:val="16"/>
                <w:szCs w:val="16"/>
                <w:color w:val="auto"/>
              </w:rPr>
            </w:pPr>
          </w:p>
        </w:tc>
        <w:tc>
          <w:tcPr>
            <w:tcW w:w="1020" w:type="dxa"/>
            <w:vAlign w:val="bottom"/>
            <w:tcBorders>
              <w:top w:val="single" w:sz="8" w:color="auto"/>
            </w:tcBorders>
            <w:shd w:val="clear" w:color="auto" w:fill="F0FFFF"/>
          </w:tcPr>
          <w:p>
            <w:pPr>
              <w:spacing w:after="0"/>
              <w:rPr>
                <w:sz w:val="16"/>
                <w:szCs w:val="16"/>
                <w:color w:val="auto"/>
              </w:rPr>
            </w:pPr>
          </w:p>
        </w:tc>
        <w:tc>
          <w:tcPr>
            <w:tcW w:w="100" w:type="dxa"/>
            <w:vAlign w:val="bottom"/>
            <w:tcBorders>
              <w:top w:val="single" w:sz="8" w:color="F0FFFF"/>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340" w:type="dxa"/>
            <w:vAlign w:val="bottom"/>
            <w:gridSpan w:val="2"/>
            <w:shd w:val="clear" w:color="auto" w:fill="F0FFFF"/>
          </w:tcPr>
          <w:p>
            <w:pPr>
              <w:ind w:left="500"/>
              <w:spacing w:after="0"/>
              <w:rPr>
                <w:sz w:val="20"/>
                <w:szCs w:val="20"/>
                <w:color w:val="auto"/>
              </w:rPr>
            </w:pPr>
            <w:r>
              <w:rPr>
                <w:rFonts w:ascii="Times New Roman" w:cs="Times New Roman" w:eastAsia="Times New Roman" w:hAnsi="Times New Roman"/>
                <w:sz w:val="18"/>
                <w:szCs w:val="18"/>
                <w:color w:val="auto"/>
              </w:rPr>
              <w:t>activity</w:t>
            </w:r>
          </w:p>
        </w:tc>
        <w:tc>
          <w:tcPr>
            <w:tcW w:w="120" w:type="dxa"/>
            <w:vAlign w:val="bottom"/>
            <w:shd w:val="clear" w:color="auto" w:fill="F0FFFF"/>
          </w:tcPr>
          <w:p>
            <w:pPr>
              <w:spacing w:after="0"/>
              <w:rPr>
                <w:sz w:val="22"/>
                <w:szCs w:val="22"/>
                <w:color w:val="auto"/>
              </w:rPr>
            </w:pPr>
          </w:p>
        </w:tc>
        <w:tc>
          <w:tcPr>
            <w:tcW w:w="11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2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shd w:val="clear" w:color="auto" w:fill="F0FFFF"/>
          </w:tcPr>
          <w:p>
            <w:pPr>
              <w:spacing w:after="0"/>
              <w:rPr>
                <w:sz w:val="22"/>
                <w:szCs w:val="22"/>
                <w:color w:val="auto"/>
              </w:rPr>
            </w:pP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shd w:val="clear" w:color="auto" w:fill="F0FFFF"/>
          </w:tcPr>
          <w:p>
            <w:pPr>
              <w:spacing w:after="0"/>
              <w:rPr>
                <w:sz w:val="22"/>
                <w:szCs w:val="22"/>
                <w:color w:val="auto"/>
              </w:rPr>
            </w:pP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320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gridSpan w:val="2"/>
            <w:shd w:val="clear" w:color="auto" w:fill="F0FFFF"/>
          </w:tcPr>
          <w:p>
            <w:pPr>
              <w:ind w:left="50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2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891</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7,524</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12,449</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(4,755)</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7,694</w:t>
            </w:r>
          </w:p>
        </w:tc>
        <w:tc>
          <w:tcPr>
            <w:tcW w:w="0" w:type="dxa"/>
            <w:vAlign w:val="bottom"/>
          </w:tcPr>
          <w:p>
            <w:pPr>
              <w:spacing w:after="0"/>
              <w:rPr>
                <w:sz w:val="1"/>
                <w:szCs w:val="1"/>
                <w:color w:val="auto"/>
              </w:rPr>
            </w:pPr>
          </w:p>
        </w:tc>
      </w:tr>
      <w:tr>
        <w:trPr>
          <w:trHeight w:val="216"/>
        </w:trPr>
        <w:tc>
          <w:tcPr>
            <w:tcW w:w="320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340" w:type="dxa"/>
            <w:vAlign w:val="bottom"/>
            <w:gridSpan w:val="2"/>
            <w:shd w:val="clear" w:color="auto" w:fill="F0FFFF"/>
          </w:tcPr>
          <w:p>
            <w:pPr>
              <w:ind w:left="50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48,635</w:t>
            </w:r>
          </w:p>
        </w:tc>
        <w:tc>
          <w:tcPr>
            <w:tcW w:w="140" w:type="dxa"/>
            <w:vAlign w:val="bottom"/>
            <w:shd w:val="clear" w:color="auto" w:fill="F0FFFF"/>
          </w:tcPr>
          <w:p>
            <w:pPr>
              <w:spacing w:after="0"/>
              <w:rPr>
                <w:sz w:val="22"/>
                <w:szCs w:val="22"/>
                <w:color w:val="auto"/>
              </w:rPr>
            </w:pPr>
          </w:p>
        </w:tc>
        <w:tc>
          <w:tcPr>
            <w:tcW w:w="24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(17,587)</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31,048</w:t>
            </w:r>
          </w:p>
        </w:tc>
        <w:tc>
          <w:tcPr>
            <w:tcW w:w="20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48,322</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(18,333)</w:t>
            </w:r>
          </w:p>
        </w:tc>
        <w:tc>
          <w:tcPr>
            <w:tcW w:w="20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29,989</w:t>
            </w:r>
          </w:p>
        </w:tc>
        <w:tc>
          <w:tcPr>
            <w:tcW w:w="0" w:type="dxa"/>
            <w:vAlign w:val="bottom"/>
          </w:tcPr>
          <w:p>
            <w:pPr>
              <w:spacing w:after="0"/>
              <w:rPr>
                <w:sz w:val="1"/>
                <w:szCs w:val="1"/>
                <w:color w:val="auto"/>
              </w:rPr>
            </w:pPr>
          </w:p>
        </w:tc>
      </w:tr>
      <w:tr>
        <w:trPr>
          <w:trHeight w:val="20"/>
        </w:trPr>
        <w:tc>
          <w:tcPr>
            <w:tcW w:w="32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F0FFFF"/>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60" w:type="dxa"/>
            <w:vAlign w:val="bottom"/>
            <w:gridSpan w:val="13"/>
          </w:tcPr>
          <w:p>
            <w:pPr>
              <w:jc w:val="right"/>
              <w:ind w:right="88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Consolidated Balance Sheet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due from banks</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90,151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99,489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2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140,822</w:t>
            </w:r>
          </w:p>
        </w:tc>
        <w:tc>
          <w:tcPr>
            <w:tcW w:w="2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117,859</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Borders>
              <w:top w:val="single" w:sz="8" w:color="F0FF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230,973</w:t>
            </w:r>
          </w:p>
        </w:tc>
        <w:tc>
          <w:tcPr>
            <w:tcW w:w="22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217,348</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2,436,591</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2,432,438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held to maturity (fair value $333,032 and $333,170)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329,992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329,843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Mortgage loans held for sale (includes $15,845 and $27,891 at fair value)</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16,491</w:t>
            </w: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29,878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net of unearned income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6,964,990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6,920,636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1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42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(60,543)</w:t>
            </w:r>
          </w:p>
        </w:tc>
        <w:tc>
          <w:tcPr>
            <w:tcW w:w="120" w:type="dxa"/>
            <w:vAlign w:val="bottom"/>
            <w:shd w:val="clear" w:color="auto" w:fill="F0FFFF"/>
          </w:tcPr>
          <w:p>
            <w:pPr>
              <w:spacing w:after="0"/>
              <w:rPr>
                <w:sz w:val="21"/>
                <w:szCs w:val="21"/>
                <w:color w:val="auto"/>
              </w:rPr>
            </w:pPr>
          </w:p>
        </w:tc>
        <w:tc>
          <w:tcPr>
            <w:tcW w:w="1340" w:type="dxa"/>
            <w:vAlign w:val="bottom"/>
            <w:gridSpan w:val="3"/>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(61,422)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Borders>
              <w:top w:val="single" w:sz="8" w:color="F0FFFF"/>
            </w:tcBorders>
          </w:tcPr>
          <w:p>
            <w:pPr>
              <w:ind w:left="480"/>
              <w:spacing w:after="0" w:line="203" w:lineRule="exact"/>
              <w:rPr>
                <w:sz w:val="20"/>
                <w:szCs w:val="20"/>
                <w:color w:val="auto"/>
              </w:rPr>
            </w:pPr>
            <w:r>
              <w:rPr>
                <w:rFonts w:ascii="Times New Roman" w:cs="Times New Roman" w:eastAsia="Times New Roman" w:hAnsi="Times New Roman"/>
                <w:sz w:val="18"/>
                <w:szCs w:val="18"/>
                <w:color w:val="auto"/>
              </w:rPr>
              <w:t>Loans, net</w:t>
            </w:r>
          </w:p>
        </w:tc>
        <w:tc>
          <w:tcPr>
            <w:tcW w:w="12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6,904,447</w:t>
            </w:r>
          </w:p>
        </w:tc>
        <w:tc>
          <w:tcPr>
            <w:tcW w:w="22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6,859,214</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189,437</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189,938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143,543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27,020</w:t>
            </w: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28,018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deferred tax asset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22,131</w:t>
            </w: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23,688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156,222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2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125,938</w:t>
            </w:r>
          </w:p>
        </w:tc>
        <w:tc>
          <w:tcPr>
            <w:tcW w:w="2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144,189</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tcBorders>
              <w:top w:val="single" w:sz="8" w:color="F0FFFF"/>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10,731,803</w:t>
            </w:r>
          </w:p>
        </w:tc>
        <w:tc>
          <w:tcPr>
            <w:tcW w:w="2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10,708,655</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Demand</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2,752,361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2,637,004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NOW</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1,968,493</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1,989,763</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Money market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1,831,145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1,846,440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Savings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574,805</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549,713</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Time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1,261,232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1,287,142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Brokered</w:t>
            </w:r>
          </w:p>
        </w:tc>
        <w:tc>
          <w:tcPr>
            <w:tcW w:w="1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2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364,056</w:t>
            </w:r>
          </w:p>
        </w:tc>
        <w:tc>
          <w:tcPr>
            <w:tcW w:w="2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327,496</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Borders>
              <w:top w:val="single" w:sz="8" w:color="F0FFFF"/>
            </w:tcBorders>
          </w:tcPr>
          <w:p>
            <w:pPr>
              <w:ind w:left="640"/>
              <w:spacing w:after="0" w:line="203" w:lineRule="exact"/>
              <w:rPr>
                <w:sz w:val="20"/>
                <w:szCs w:val="20"/>
                <w:color w:val="auto"/>
              </w:rPr>
            </w:pPr>
            <w:r>
              <w:rPr>
                <w:rFonts w:ascii="Times New Roman" w:cs="Times New Roman" w:eastAsia="Times New Roman" w:hAnsi="Times New Roman"/>
                <w:sz w:val="18"/>
                <w:szCs w:val="18"/>
                <w:color w:val="auto"/>
              </w:rPr>
              <w:t>Total deposits</w:t>
            </w:r>
          </w:p>
        </w:tc>
        <w:tc>
          <w:tcPr>
            <w:tcW w:w="12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8,752,092</w:t>
            </w:r>
          </w:p>
        </w:tc>
        <w:tc>
          <w:tcPr>
            <w:tcW w:w="22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8,637,558</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709,209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175,238</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175,078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26,425</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2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107,367</w:t>
            </w:r>
          </w:p>
        </w:tc>
        <w:tc>
          <w:tcPr>
            <w:tcW w:w="2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78,427</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F0FFFF"/>
              <w:bottom w:val="single" w:sz="8" w:color="F0FFFF"/>
            </w:tcBorders>
          </w:tcPr>
          <w:p>
            <w:pPr>
              <w:ind w:left="32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9,630,260</w:t>
            </w:r>
          </w:p>
        </w:tc>
        <w:tc>
          <w:tcPr>
            <w:tcW w:w="22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9,632,920</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$1 par value; 10,000,000 shares authorized;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 shares issued and outstanding</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Common stock, $1 par value; 150,000,000 shares authorized;</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70,972,753 and 70,899,114 shares issued and outstanding</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70,973</w:t>
            </w: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70,899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non-voting, $1 par value; 26,000,000 shares authorized;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 shares issued and outstanding</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Common stock issuable; 546,511 and 519,874 shares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7,959</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7,327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surplus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1,275,954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1,275,849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(234,384)</w:t>
            </w:r>
          </w:p>
        </w:tc>
        <w:tc>
          <w:tcPr>
            <w:tcW w:w="120" w:type="dxa"/>
            <w:vAlign w:val="bottom"/>
            <w:shd w:val="clear" w:color="auto" w:fill="F0FFFF"/>
          </w:tcPr>
          <w:p>
            <w:pPr>
              <w:spacing w:after="0"/>
              <w:rPr>
                <w:sz w:val="18"/>
                <w:szCs w:val="18"/>
                <w:color w:val="auto"/>
              </w:rPr>
            </w:pPr>
          </w:p>
        </w:tc>
        <w:tc>
          <w:tcPr>
            <w:tcW w:w="1340" w:type="dxa"/>
            <w:vAlign w:val="bottom"/>
            <w:gridSpan w:val="3"/>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(251,857)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(18,959)</w:t>
            </w:r>
          </w:p>
        </w:tc>
        <w:tc>
          <w:tcPr>
            <w:tcW w:w="120" w:type="dxa"/>
            <w:vAlign w:val="bottom"/>
          </w:tcPr>
          <w:p>
            <w:pPr>
              <w:spacing w:after="0"/>
              <w:rPr>
                <w:sz w:val="20"/>
                <w:szCs w:val="20"/>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(26,483)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2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12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1,101,543</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p>
        </w:tc>
        <w:tc>
          <w:tcPr>
            <w:tcW w:w="12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1,075,735</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10,731,803</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10,708,655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 of Changes in Shareholders' Equity </w:t>
      </w: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w:t>
            </w:r>
          </w:p>
        </w:tc>
        <w:tc>
          <w:tcPr>
            <w:tcW w:w="100" w:type="dxa"/>
            <w:vAlign w:val="bottom"/>
          </w:tcPr>
          <w:p>
            <w:pPr>
              <w:spacing w:after="0"/>
              <w:rPr>
                <w:sz w:val="12"/>
                <w:szCs w:val="12"/>
                <w:color w:val="auto"/>
              </w:rPr>
            </w:pPr>
          </w:p>
        </w:tc>
        <w:tc>
          <w:tcPr>
            <w:tcW w:w="6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0" w:type="dxa"/>
            <w:vAlign w:val="bottom"/>
            <w:gridSpan w:val="4"/>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Series</w:t>
            </w:r>
          </w:p>
        </w:tc>
        <w:tc>
          <w:tcPr>
            <w:tcW w:w="7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4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3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and per share data)</w:t>
            </w:r>
          </w:p>
        </w:tc>
        <w:tc>
          <w:tcPr>
            <w:tcW w:w="100" w:type="dxa"/>
            <w:vAlign w:val="bottom"/>
          </w:tcPr>
          <w:p>
            <w:pPr>
              <w:spacing w:after="0"/>
              <w:rPr>
                <w:sz w:val="15"/>
                <w:szCs w:val="15"/>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1"/>
              </w:rPr>
              <w:t>H</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Issuable</w:t>
            </w:r>
          </w:p>
        </w:tc>
        <w:tc>
          <w:tcPr>
            <w:tcW w:w="10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40" w:type="dxa"/>
            <w:vAlign w:val="bottom"/>
          </w:tcPr>
          <w:p>
            <w:pPr>
              <w:spacing w:after="0"/>
              <w:rPr>
                <w:sz w:val="15"/>
                <w:szCs w:val="15"/>
                <w:color w:val="auto"/>
              </w:rPr>
            </w:pPr>
          </w:p>
        </w:tc>
        <w:tc>
          <w:tcPr>
            <w:tcW w:w="80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1160" w:type="dxa"/>
            <w:vAlign w:val="bottom"/>
            <w:gridSpan w:val="3"/>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8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December 31, 2015</w:t>
            </w:r>
          </w:p>
        </w:tc>
        <w:tc>
          <w:tcPr>
            <w:tcW w:w="10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9,992</w:t>
            </w:r>
          </w:p>
        </w:tc>
        <w:tc>
          <w:tcPr>
            <w:tcW w:w="180" w:type="dxa"/>
            <w:vAlign w:val="bottom"/>
            <w:gridSpan w:val="2"/>
            <w:shd w:val="clear" w:color="auto" w:fill="F0FF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F0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66,198</w:t>
            </w:r>
          </w:p>
        </w:tc>
        <w:tc>
          <w:tcPr>
            <w:tcW w:w="220" w:type="dxa"/>
            <w:vAlign w:val="bottom"/>
            <w:gridSpan w:val="2"/>
            <w:shd w:val="clear" w:color="auto" w:fill="F0FF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5,286</w:t>
            </w:r>
          </w:p>
        </w:tc>
        <w:tc>
          <w:tcPr>
            <w:tcW w:w="10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6,779</w:t>
            </w:r>
          </w:p>
        </w:tc>
        <w:tc>
          <w:tcPr>
            <w:tcW w:w="78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$ 1,286,361</w:t>
            </w: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F0FF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(330,879)</w:t>
            </w:r>
          </w:p>
        </w:tc>
        <w:tc>
          <w:tcPr>
            <w:tcW w:w="260" w:type="dxa"/>
            <w:vAlign w:val="bottom"/>
            <w:gridSpan w:val="2"/>
            <w:shd w:val="clear" w:color="auto" w:fill="F0FF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F0F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(25,452)</w:t>
            </w:r>
          </w:p>
        </w:tc>
        <w:tc>
          <w:tcPr>
            <w:tcW w:w="72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$ 1,018,285</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22,295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22,295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980" w:type="dxa"/>
            <w:vAlign w:val="bottom"/>
            <w:gridSpan w:val="2"/>
            <w:shd w:val="clear" w:color="auto" w:fill="F0FF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7,694</w:t>
            </w:r>
          </w:p>
        </w:tc>
        <w:tc>
          <w:tcPr>
            <w:tcW w:w="72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7,694</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Redemption of Series H preferred stock (9,992 shares)</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(9,992)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(9,992)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280" w:type="dxa"/>
            <w:vAlign w:val="bottom"/>
            <w:gridSpan w:val="2"/>
            <w:shd w:val="clear" w:color="auto" w:fill="F0FFFF"/>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to dividend reinvestment plan and employee</w:t>
            </w:r>
          </w:p>
        </w:tc>
        <w:tc>
          <w:tcPr>
            <w:tcW w:w="100" w:type="dxa"/>
            <w:vAlign w:val="bottom"/>
            <w:shd w:val="clear" w:color="auto" w:fill="F0FFFF"/>
          </w:tcPr>
          <w:p>
            <w:pPr>
              <w:spacing w:after="0"/>
              <w:rPr>
                <w:sz w:val="10"/>
                <w:szCs w:val="10"/>
                <w:color w:val="auto"/>
              </w:rPr>
            </w:pPr>
          </w:p>
        </w:tc>
        <w:tc>
          <w:tcPr>
            <w:tcW w:w="4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48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58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4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780" w:type="dxa"/>
            <w:vAlign w:val="bottom"/>
            <w:gridSpan w:val="2"/>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20" w:type="dxa"/>
            <w:vAlign w:val="bottom"/>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660" w:type="dxa"/>
            <w:vAlign w:val="bottom"/>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180" w:type="dxa"/>
            <w:vAlign w:val="bottom"/>
            <w:shd w:val="clear" w:color="auto" w:fill="F0FFFF"/>
          </w:tcPr>
          <w:p>
            <w:pPr>
              <w:spacing w:after="0"/>
              <w:rPr>
                <w:sz w:val="10"/>
                <w:szCs w:val="10"/>
                <w:color w:val="auto"/>
              </w:rPr>
            </w:pPr>
          </w:p>
        </w:tc>
        <w:tc>
          <w:tcPr>
            <w:tcW w:w="76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720" w:type="dxa"/>
            <w:vAlign w:val="bottom"/>
            <w:gridSpan w:val="2"/>
            <w:vMerge w:val="restart"/>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4"/>
                <w:szCs w:val="14"/>
                <w:color w:val="auto"/>
              </w:rPr>
              <w:t>benefit plans (5,154 shares)</w:t>
            </w:r>
          </w:p>
        </w:tc>
        <w:tc>
          <w:tcPr>
            <w:tcW w:w="10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480" w:type="dxa"/>
            <w:vAlign w:val="bottom"/>
            <w:vMerge w:val="continue"/>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80" w:type="dxa"/>
            <w:vAlign w:val="bottom"/>
            <w:gridSpan w:val="2"/>
            <w:vMerge w:val="continue"/>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720" w:type="dxa"/>
            <w:vAlign w:val="bottom"/>
            <w:gridSpan w:val="2"/>
            <w:vMerge w:val="continue"/>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Amortization of stock option and restricted stock awards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918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280" w:type="dxa"/>
            <w:vAlign w:val="bottom"/>
            <w:gridSpan w:val="2"/>
            <w:shd w:val="clear" w:color="auto" w:fill="F0FFFF"/>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stock, net of shares surrendered to cover payroll</w:t>
            </w:r>
          </w:p>
        </w:tc>
        <w:tc>
          <w:tcPr>
            <w:tcW w:w="100" w:type="dxa"/>
            <w:vAlign w:val="bottom"/>
            <w:shd w:val="clear" w:color="auto" w:fill="F0FFFF"/>
          </w:tcPr>
          <w:p>
            <w:pPr>
              <w:spacing w:after="0"/>
              <w:rPr>
                <w:sz w:val="10"/>
                <w:szCs w:val="10"/>
                <w:color w:val="auto"/>
              </w:rPr>
            </w:pPr>
          </w:p>
        </w:tc>
        <w:tc>
          <w:tcPr>
            <w:tcW w:w="4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48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58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600" w:type="dxa"/>
            <w:vAlign w:val="bottom"/>
            <w:gridSpan w:val="2"/>
            <w:vMerge w:val="restart"/>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912</w:t>
            </w:r>
          </w:p>
        </w:tc>
        <w:tc>
          <w:tcPr>
            <w:tcW w:w="1000" w:type="dxa"/>
            <w:vAlign w:val="bottom"/>
            <w:gridSpan w:val="3"/>
            <w:vMerge w:val="restart"/>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(1,422)</w:t>
            </w:r>
          </w:p>
        </w:tc>
        <w:tc>
          <w:tcPr>
            <w:tcW w:w="140" w:type="dxa"/>
            <w:vAlign w:val="bottom"/>
            <w:shd w:val="clear" w:color="auto" w:fill="F0FFFF"/>
          </w:tcPr>
          <w:p>
            <w:pPr>
              <w:spacing w:after="0"/>
              <w:rPr>
                <w:sz w:val="10"/>
                <w:szCs w:val="10"/>
                <w:color w:val="auto"/>
              </w:rPr>
            </w:pPr>
          </w:p>
        </w:tc>
        <w:tc>
          <w:tcPr>
            <w:tcW w:w="660" w:type="dxa"/>
            <w:vAlign w:val="bottom"/>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180" w:type="dxa"/>
            <w:vAlign w:val="bottom"/>
            <w:shd w:val="clear" w:color="auto" w:fill="F0FFFF"/>
          </w:tcPr>
          <w:p>
            <w:pPr>
              <w:spacing w:after="0"/>
              <w:rPr>
                <w:sz w:val="10"/>
                <w:szCs w:val="10"/>
                <w:color w:val="auto"/>
              </w:rPr>
            </w:pPr>
          </w:p>
        </w:tc>
        <w:tc>
          <w:tcPr>
            <w:tcW w:w="76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800" w:type="dxa"/>
            <w:vAlign w:val="bottom"/>
            <w:gridSpan w:val="3"/>
            <w:vMerge w:val="restart"/>
            <w:shd w:val="clear" w:color="auto" w:fill="F0FFFF"/>
          </w:tcPr>
          <w:p>
            <w:pPr>
              <w:jc w:val="right"/>
              <w:ind w:right="60"/>
              <w:spacing w:after="0"/>
              <w:rPr>
                <w:sz w:val="20"/>
                <w:szCs w:val="20"/>
                <w:color w:val="auto"/>
              </w:rPr>
            </w:pPr>
            <w:r>
              <w:rPr>
                <w:rFonts w:ascii="Times New Roman" w:cs="Times New Roman" w:eastAsia="Times New Roman" w:hAnsi="Times New Roman"/>
                <w:sz w:val="14"/>
                <w:szCs w:val="14"/>
                <w:color w:val="auto"/>
              </w:rPr>
              <w:t>(483)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4"/>
                <w:szCs w:val="14"/>
                <w:color w:val="auto"/>
              </w:rPr>
              <w:t>taxes (26,385 shares issued, 62,422 shares deferred)</w:t>
            </w:r>
          </w:p>
        </w:tc>
        <w:tc>
          <w:tcPr>
            <w:tcW w:w="10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480" w:type="dxa"/>
            <w:vAlign w:val="bottom"/>
            <w:vMerge w:val="continue"/>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00" w:type="dxa"/>
            <w:vAlign w:val="bottom"/>
            <w:gridSpan w:val="2"/>
            <w:vMerge w:val="continue"/>
            <w:shd w:val="clear" w:color="auto" w:fill="F0FFFF"/>
          </w:tcPr>
          <w:p>
            <w:pPr>
              <w:spacing w:after="0"/>
              <w:rPr>
                <w:sz w:val="14"/>
                <w:szCs w:val="14"/>
                <w:color w:val="auto"/>
              </w:rPr>
            </w:pPr>
          </w:p>
        </w:tc>
        <w:tc>
          <w:tcPr>
            <w:tcW w:w="1000" w:type="dxa"/>
            <w:vAlign w:val="bottom"/>
            <w:gridSpan w:val="3"/>
            <w:vMerge w:val="continue"/>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800" w:type="dxa"/>
            <w:vAlign w:val="bottom"/>
            <w:gridSpan w:val="3"/>
            <w:vMerge w:val="continue"/>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Deferred compensation plan, net, including dividend equivalents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Shares issued from deferred compensation plan (28,761 shares)</w:t>
            </w: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0" w:type="dxa"/>
            <w:vAlign w:val="bottom"/>
            <w:gridSpan w:val="2"/>
            <w:shd w:val="clear" w:color="auto" w:fill="F0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(1,107)</w:t>
            </w:r>
          </w:p>
        </w:tc>
        <w:tc>
          <w:tcPr>
            <w:tcW w:w="1000" w:type="dxa"/>
            <w:vAlign w:val="bottom"/>
            <w:gridSpan w:val="3"/>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1,078</w:t>
            </w:r>
          </w:p>
        </w:tc>
        <w:tc>
          <w:tcPr>
            <w:tcW w:w="14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 stock dividends ($.07 per share)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(5,041)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Tax on restricted stock vesting</w:t>
            </w: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0" w:type="dxa"/>
            <w:vAlign w:val="bottom"/>
            <w:gridSpan w:val="3"/>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14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0" w:type="dxa"/>
            <w:vAlign w:val="bottom"/>
            <w:gridSpan w:val="3"/>
            <w:shd w:val="clear" w:color="auto" w:fill="F0FF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Preferred stock dividends: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8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4"/>
                <w:szCs w:val="14"/>
                <w:color w:val="auto"/>
              </w:rPr>
              <w:t>Series H</w:t>
            </w:r>
          </w:p>
        </w:tc>
        <w:tc>
          <w:tcPr>
            <w:tcW w:w="100" w:type="dxa"/>
            <w:vAlign w:val="bottom"/>
            <w:shd w:val="clear" w:color="auto" w:fill="F0FFFF"/>
          </w:tcPr>
          <w:p>
            <w:pPr>
              <w:spacing w:after="0"/>
              <w:rPr>
                <w:sz w:val="15"/>
                <w:szCs w:val="15"/>
                <w:color w:val="auto"/>
              </w:rPr>
            </w:pPr>
          </w:p>
        </w:tc>
        <w:tc>
          <w:tcPr>
            <w:tcW w:w="4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48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8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4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68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00" w:type="dxa"/>
            <w:vAlign w:val="bottom"/>
            <w:gridSpan w:val="2"/>
            <w:shd w:val="clear" w:color="auto" w:fill="F0FF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76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800" w:type="dxa"/>
            <w:vAlign w:val="bottom"/>
            <w:gridSpan w:val="3"/>
            <w:shd w:val="clear" w:color="auto" w:fill="F0FFFF"/>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Borders>
              <w:top w:val="single" w:sz="8" w:color="F0FFFF"/>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March 31, 2016</w:t>
            </w:r>
          </w:p>
        </w:tc>
        <w:tc>
          <w:tcPr>
            <w:tcW w:w="10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66,259</w:t>
            </w:r>
          </w:p>
        </w:tc>
        <w:tc>
          <w:tcPr>
            <w:tcW w:w="8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5,286</w:t>
            </w:r>
          </w:p>
        </w:tc>
        <w:tc>
          <w:tcPr>
            <w:tcW w:w="20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6,700</w:t>
            </w:r>
          </w:p>
        </w:tc>
        <w:tc>
          <w:tcPr>
            <w:tcW w:w="12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$ 1,286,884</w:t>
            </w:r>
          </w:p>
        </w:tc>
        <w:tc>
          <w:tcPr>
            <w:tcW w:w="220" w:type="dxa"/>
            <w:vAlign w:val="bottom"/>
            <w:tcBorders>
              <w:top w:val="single" w:sz="8" w:color="F0FF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(313,646</w:t>
            </w:r>
          </w:p>
        </w:tc>
        <w:tc>
          <w:tcPr>
            <w:tcW w:w="140" w:type="dxa"/>
            <w:vAlign w:val="bottom"/>
            <w:tcBorders>
              <w:top w:val="single" w:sz="8" w:color="F0FFFF"/>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(17,758</w:t>
            </w:r>
          </w:p>
        </w:tc>
        <w:tc>
          <w:tcPr>
            <w:tcW w:w="220" w:type="dxa"/>
            <w:vAlign w:val="bottom"/>
            <w:tcBorders>
              <w:top w:val="single" w:sz="8" w:color="F0FFFF"/>
            </w:tcBorders>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$ 1,033,725</w:t>
            </w:r>
          </w:p>
        </w:tc>
        <w:tc>
          <w:tcPr>
            <w:tcW w:w="2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1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December 31, 2016</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70,899</w:t>
            </w:r>
          </w:p>
        </w:tc>
        <w:tc>
          <w:tcPr>
            <w:tcW w:w="2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7,327</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$ 1,275,849</w:t>
            </w:r>
          </w:p>
        </w:tc>
        <w:tc>
          <w:tcPr>
            <w:tcW w:w="22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(251,857)</w:t>
            </w:r>
          </w:p>
        </w:tc>
        <w:tc>
          <w:tcPr>
            <w:tcW w:w="2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(26,483)</w:t>
            </w: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$ 1,075,735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23,524</w:t>
            </w: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23,524</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7,524</w:t>
            </w: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7,524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280" w:type="dxa"/>
            <w:vAlign w:val="bottom"/>
            <w:gridSpan w:val="2"/>
            <w:shd w:val="clear" w:color="auto" w:fill="F0FFFF"/>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to dividend reinvestment plan and employee</w:t>
            </w:r>
          </w:p>
        </w:tc>
        <w:tc>
          <w:tcPr>
            <w:tcW w:w="100" w:type="dxa"/>
            <w:vAlign w:val="bottom"/>
            <w:shd w:val="clear" w:color="auto" w:fill="F0FFFF"/>
          </w:tcPr>
          <w:p>
            <w:pPr>
              <w:spacing w:after="0"/>
              <w:rPr>
                <w:sz w:val="10"/>
                <w:szCs w:val="10"/>
                <w:color w:val="auto"/>
              </w:rPr>
            </w:pPr>
          </w:p>
        </w:tc>
        <w:tc>
          <w:tcPr>
            <w:tcW w:w="4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48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58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4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780" w:type="dxa"/>
            <w:vAlign w:val="bottom"/>
            <w:gridSpan w:val="2"/>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20" w:type="dxa"/>
            <w:vAlign w:val="bottom"/>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660" w:type="dxa"/>
            <w:vAlign w:val="bottom"/>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180" w:type="dxa"/>
            <w:vAlign w:val="bottom"/>
            <w:shd w:val="clear" w:color="auto" w:fill="F0FFFF"/>
          </w:tcPr>
          <w:p>
            <w:pPr>
              <w:spacing w:after="0"/>
              <w:rPr>
                <w:sz w:val="10"/>
                <w:szCs w:val="10"/>
                <w:color w:val="auto"/>
              </w:rPr>
            </w:pPr>
          </w:p>
        </w:tc>
        <w:tc>
          <w:tcPr>
            <w:tcW w:w="76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720" w:type="dxa"/>
            <w:vAlign w:val="bottom"/>
            <w:gridSpan w:val="2"/>
            <w:vMerge w:val="restart"/>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4"/>
                <w:szCs w:val="14"/>
                <w:color w:val="auto"/>
              </w:rPr>
              <w:t>benefit plans (4,239 shares)</w:t>
            </w:r>
          </w:p>
        </w:tc>
        <w:tc>
          <w:tcPr>
            <w:tcW w:w="10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480" w:type="dxa"/>
            <w:vAlign w:val="bottom"/>
            <w:vMerge w:val="continue"/>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80" w:type="dxa"/>
            <w:vAlign w:val="bottom"/>
            <w:gridSpan w:val="2"/>
            <w:vMerge w:val="continue"/>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720" w:type="dxa"/>
            <w:vAlign w:val="bottom"/>
            <w:gridSpan w:val="2"/>
            <w:vMerge w:val="continue"/>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Amortization of stock option and restricted stock awards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1,321</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280" w:type="dxa"/>
            <w:vAlign w:val="bottom"/>
            <w:gridSpan w:val="2"/>
            <w:shd w:val="clear" w:color="auto" w:fill="F0FFFF"/>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stock, net of shares surrendered to cover payroll</w:t>
            </w:r>
          </w:p>
        </w:tc>
        <w:tc>
          <w:tcPr>
            <w:tcW w:w="100" w:type="dxa"/>
            <w:vAlign w:val="bottom"/>
            <w:shd w:val="clear" w:color="auto" w:fill="F0FFFF"/>
          </w:tcPr>
          <w:p>
            <w:pPr>
              <w:spacing w:after="0"/>
              <w:rPr>
                <w:sz w:val="10"/>
                <w:szCs w:val="10"/>
                <w:color w:val="auto"/>
              </w:rPr>
            </w:pPr>
          </w:p>
        </w:tc>
        <w:tc>
          <w:tcPr>
            <w:tcW w:w="4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48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58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600" w:type="dxa"/>
            <w:vAlign w:val="bottom"/>
            <w:gridSpan w:val="2"/>
            <w:vMerge w:val="restart"/>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883</w:t>
            </w:r>
          </w:p>
        </w:tc>
        <w:tc>
          <w:tcPr>
            <w:tcW w:w="1000" w:type="dxa"/>
            <w:vAlign w:val="bottom"/>
            <w:gridSpan w:val="3"/>
            <w:vMerge w:val="restart"/>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(1,551)</w:t>
            </w:r>
          </w:p>
        </w:tc>
        <w:tc>
          <w:tcPr>
            <w:tcW w:w="140" w:type="dxa"/>
            <w:vAlign w:val="bottom"/>
            <w:shd w:val="clear" w:color="auto" w:fill="F0FFFF"/>
          </w:tcPr>
          <w:p>
            <w:pPr>
              <w:spacing w:after="0"/>
              <w:rPr>
                <w:sz w:val="10"/>
                <w:szCs w:val="10"/>
                <w:color w:val="auto"/>
              </w:rPr>
            </w:pPr>
          </w:p>
        </w:tc>
        <w:tc>
          <w:tcPr>
            <w:tcW w:w="660" w:type="dxa"/>
            <w:vAlign w:val="bottom"/>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180" w:type="dxa"/>
            <w:vAlign w:val="bottom"/>
            <w:shd w:val="clear" w:color="auto" w:fill="F0FFFF"/>
          </w:tcPr>
          <w:p>
            <w:pPr>
              <w:spacing w:after="0"/>
              <w:rPr>
                <w:sz w:val="10"/>
                <w:szCs w:val="10"/>
                <w:color w:val="auto"/>
              </w:rPr>
            </w:pPr>
          </w:p>
        </w:tc>
        <w:tc>
          <w:tcPr>
            <w:tcW w:w="76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800" w:type="dxa"/>
            <w:vAlign w:val="bottom"/>
            <w:gridSpan w:val="3"/>
            <w:vMerge w:val="restart"/>
            <w:shd w:val="clear" w:color="auto" w:fill="F0FFFF"/>
          </w:tcPr>
          <w:p>
            <w:pPr>
              <w:jc w:val="right"/>
              <w:ind w:right="60"/>
              <w:spacing w:after="0"/>
              <w:rPr>
                <w:sz w:val="20"/>
                <w:szCs w:val="20"/>
                <w:color w:val="auto"/>
              </w:rPr>
            </w:pPr>
            <w:r>
              <w:rPr>
                <w:rFonts w:ascii="Times New Roman" w:cs="Times New Roman" w:eastAsia="Times New Roman" w:hAnsi="Times New Roman"/>
                <w:sz w:val="14"/>
                <w:szCs w:val="14"/>
                <w:color w:val="auto"/>
              </w:rPr>
              <w:t>(630)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4"/>
                <w:szCs w:val="14"/>
                <w:color w:val="auto"/>
              </w:rPr>
              <w:t>taxes (37,121 shares issued, 58,553 shares deferred)</w:t>
            </w:r>
          </w:p>
        </w:tc>
        <w:tc>
          <w:tcPr>
            <w:tcW w:w="10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480" w:type="dxa"/>
            <w:vAlign w:val="bottom"/>
            <w:vMerge w:val="continue"/>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00" w:type="dxa"/>
            <w:vAlign w:val="bottom"/>
            <w:gridSpan w:val="2"/>
            <w:vMerge w:val="continue"/>
            <w:shd w:val="clear" w:color="auto" w:fill="F0FFFF"/>
          </w:tcPr>
          <w:p>
            <w:pPr>
              <w:spacing w:after="0"/>
              <w:rPr>
                <w:sz w:val="14"/>
                <w:szCs w:val="14"/>
                <w:color w:val="auto"/>
              </w:rPr>
            </w:pPr>
          </w:p>
        </w:tc>
        <w:tc>
          <w:tcPr>
            <w:tcW w:w="1000" w:type="dxa"/>
            <w:vAlign w:val="bottom"/>
            <w:gridSpan w:val="3"/>
            <w:vMerge w:val="continue"/>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800" w:type="dxa"/>
            <w:vAlign w:val="bottom"/>
            <w:gridSpan w:val="3"/>
            <w:vMerge w:val="continue"/>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Deferred compensation plan, net, including dividend equivalents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280" w:type="dxa"/>
            <w:vAlign w:val="bottom"/>
            <w:gridSpan w:val="2"/>
            <w:shd w:val="clear" w:color="auto" w:fill="F0FFFF"/>
          </w:tcPr>
          <w:p>
            <w:pPr>
              <w:spacing w:after="0" w:line="126" w:lineRule="exact"/>
              <w:rPr>
                <w:sz w:val="20"/>
                <w:szCs w:val="20"/>
                <w:color w:val="auto"/>
              </w:rPr>
            </w:pPr>
            <w:r>
              <w:rPr>
                <w:rFonts w:ascii="Times New Roman" w:cs="Times New Roman" w:eastAsia="Times New Roman" w:hAnsi="Times New Roman"/>
                <w:sz w:val="14"/>
                <w:szCs w:val="14"/>
                <w:color w:val="auto"/>
              </w:rPr>
              <w:t>Shares issued from deferred compensation plan, net of shares</w:t>
            </w:r>
          </w:p>
        </w:tc>
        <w:tc>
          <w:tcPr>
            <w:tcW w:w="100" w:type="dxa"/>
            <w:vAlign w:val="bottom"/>
            <w:shd w:val="clear" w:color="auto" w:fill="F0FFFF"/>
          </w:tcPr>
          <w:p>
            <w:pPr>
              <w:spacing w:after="0"/>
              <w:rPr>
                <w:sz w:val="10"/>
                <w:szCs w:val="10"/>
                <w:color w:val="auto"/>
              </w:rPr>
            </w:pPr>
          </w:p>
        </w:tc>
        <w:tc>
          <w:tcPr>
            <w:tcW w:w="4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48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58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600" w:type="dxa"/>
            <w:vAlign w:val="bottom"/>
            <w:gridSpan w:val="2"/>
            <w:vMerge w:val="restart"/>
            <w:shd w:val="clear" w:color="auto" w:fill="F0FFFF"/>
          </w:tcPr>
          <w:p>
            <w:pPr>
              <w:jc w:val="right"/>
              <w:ind w:right="80"/>
              <w:spacing w:after="0"/>
              <w:rPr>
                <w:sz w:val="20"/>
                <w:szCs w:val="20"/>
                <w:color w:val="auto"/>
              </w:rPr>
            </w:pPr>
            <w:r>
              <w:rPr>
                <w:rFonts w:ascii="Times New Roman" w:cs="Times New Roman" w:eastAsia="Times New Roman" w:hAnsi="Times New Roman"/>
                <w:sz w:val="14"/>
                <w:szCs w:val="14"/>
                <w:color w:val="auto"/>
              </w:rPr>
              <w:t>(368)</w:t>
            </w:r>
          </w:p>
        </w:tc>
        <w:tc>
          <w:tcPr>
            <w:tcW w:w="780" w:type="dxa"/>
            <w:vAlign w:val="bottom"/>
            <w:gridSpan w:val="2"/>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220" w:type="dxa"/>
            <w:vAlign w:val="bottom"/>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660" w:type="dxa"/>
            <w:vAlign w:val="bottom"/>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180" w:type="dxa"/>
            <w:vAlign w:val="bottom"/>
            <w:shd w:val="clear" w:color="auto" w:fill="F0FFFF"/>
          </w:tcPr>
          <w:p>
            <w:pPr>
              <w:spacing w:after="0"/>
              <w:rPr>
                <w:sz w:val="10"/>
                <w:szCs w:val="10"/>
                <w:color w:val="auto"/>
              </w:rPr>
            </w:pPr>
          </w:p>
        </w:tc>
        <w:tc>
          <w:tcPr>
            <w:tcW w:w="76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800" w:type="dxa"/>
            <w:vAlign w:val="bottom"/>
            <w:gridSpan w:val="3"/>
            <w:vMerge w:val="restart"/>
            <w:shd w:val="clear" w:color="auto" w:fill="F0FFFF"/>
          </w:tcPr>
          <w:p>
            <w:pPr>
              <w:jc w:val="right"/>
              <w:ind w:right="60"/>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4"/>
                <w:szCs w:val="14"/>
                <w:color w:val="auto"/>
              </w:rPr>
              <w:t>surrendered to cover payroll taxes (32,279 shares)</w:t>
            </w:r>
          </w:p>
        </w:tc>
        <w:tc>
          <w:tcPr>
            <w:tcW w:w="10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480" w:type="dxa"/>
            <w:vAlign w:val="bottom"/>
            <w:vMerge w:val="continue"/>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00" w:type="dxa"/>
            <w:vAlign w:val="bottom"/>
            <w:gridSpan w:val="2"/>
            <w:vMerge w:val="continue"/>
            <w:shd w:val="clear" w:color="auto" w:fill="F0FFFF"/>
          </w:tcPr>
          <w:p>
            <w:pPr>
              <w:spacing w:after="0"/>
              <w:rPr>
                <w:sz w:val="14"/>
                <w:szCs w:val="14"/>
                <w:color w:val="auto"/>
              </w:rPr>
            </w:pPr>
          </w:p>
        </w:tc>
        <w:tc>
          <w:tcPr>
            <w:tcW w:w="780" w:type="dxa"/>
            <w:vAlign w:val="bottom"/>
            <w:gridSpan w:val="2"/>
            <w:vMerge w:val="continue"/>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800" w:type="dxa"/>
            <w:vAlign w:val="bottom"/>
            <w:gridSpan w:val="3"/>
            <w:vMerge w:val="continue"/>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 stock dividends ($.09 per share)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(6,488)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(6,488)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8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4"/>
                <w:szCs w:val="14"/>
                <w:color w:val="auto"/>
              </w:rPr>
              <w:t>Cumulative effect of change in accounting principle (see Note 1)</w:t>
            </w:r>
          </w:p>
        </w:tc>
        <w:tc>
          <w:tcPr>
            <w:tcW w:w="100" w:type="dxa"/>
            <w:vAlign w:val="bottom"/>
            <w:shd w:val="clear" w:color="auto" w:fill="F0FFFF"/>
          </w:tcPr>
          <w:p>
            <w:pPr>
              <w:spacing w:after="0"/>
              <w:rPr>
                <w:sz w:val="15"/>
                <w:szCs w:val="15"/>
                <w:color w:val="auto"/>
              </w:rPr>
            </w:pPr>
          </w:p>
        </w:tc>
        <w:tc>
          <w:tcPr>
            <w:tcW w:w="4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48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8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4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68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6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4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76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7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437</w:t>
            </w:r>
          </w:p>
        </w:tc>
        <w:tc>
          <w:tcPr>
            <w:tcW w:w="8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Borders>
              <w:top w:val="single" w:sz="8" w:color="F0FFFF"/>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March 31, 2017</w:t>
            </w:r>
          </w:p>
        </w:tc>
        <w:tc>
          <w:tcPr>
            <w:tcW w:w="10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70,973</w:t>
            </w:r>
          </w:p>
        </w:tc>
        <w:tc>
          <w:tcPr>
            <w:tcW w:w="8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7,959</w:t>
            </w:r>
          </w:p>
        </w:tc>
        <w:tc>
          <w:tcPr>
            <w:tcW w:w="12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$ 1,275,954</w:t>
            </w:r>
          </w:p>
        </w:tc>
        <w:tc>
          <w:tcPr>
            <w:tcW w:w="220" w:type="dxa"/>
            <w:vAlign w:val="bottom"/>
            <w:tcBorders>
              <w:top w:val="single" w:sz="8" w:color="F0FF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(234,384</w:t>
            </w:r>
          </w:p>
        </w:tc>
        <w:tc>
          <w:tcPr>
            <w:tcW w:w="140" w:type="dxa"/>
            <w:vAlign w:val="bottom"/>
            <w:tcBorders>
              <w:top w:val="single" w:sz="8" w:color="F0FFFF"/>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(18,959</w:t>
            </w:r>
          </w:p>
        </w:tc>
        <w:tc>
          <w:tcPr>
            <w:tcW w:w="220" w:type="dxa"/>
            <w:vAlign w:val="bottom"/>
            <w:tcBorders>
              <w:top w:val="single" w:sz="8" w:color="F0FFFF"/>
            </w:tcBorders>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$ 1,101,543</w:t>
            </w:r>
          </w:p>
        </w:tc>
        <w:tc>
          <w:tcPr>
            <w:tcW w:w="20" w:type="dxa"/>
            <w:vAlign w:val="bottom"/>
            <w:tcBorders>
              <w:top w:val="single" w:sz="8" w:color="F0FFFF"/>
              <w:bottom w:val="single" w:sz="8" w:color="auto"/>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 of Cash Flows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6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top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3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23,524</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(Release of) provision for credit losses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800</w:t>
            </w:r>
          </w:p>
        </w:tc>
        <w:tc>
          <w:tcPr>
            <w:tcW w:w="3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19,059</w:t>
            </w:r>
          </w:p>
        </w:tc>
        <w:tc>
          <w:tcPr>
            <w:tcW w:w="3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13,553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Securities losses (gains), net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Gains from sales of government guaranteed loans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(1,959)</w:t>
            </w:r>
          </w:p>
        </w:tc>
        <w:tc>
          <w:tcPr>
            <w:tcW w:w="3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losses (gains) and write downs on sales of other real estate owned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373</w:t>
            </w:r>
          </w:p>
        </w:tc>
        <w:tc>
          <w:tcPr>
            <w:tcW w:w="3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assets and accrued interest receivable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4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(5,115)</w:t>
            </w:r>
          </w:p>
        </w:tc>
        <w:tc>
          <w:tcPr>
            <w:tcW w:w="3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13,387</w:t>
            </w:r>
          </w:p>
        </w:tc>
        <w:tc>
          <w:tcPr>
            <w:tcW w:w="3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top w:val="single" w:sz="8" w:color="F0FFFF"/>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300" w:type="dxa"/>
            <w:vAlign w:val="bottom"/>
            <w:tcBorders>
              <w:top w:val="single" w:sz="8" w:color="auto"/>
              <w:bottom w:val="single" w:sz="8" w:color="auto"/>
            </w:tcBorders>
            <w:shd w:val="clear" w:color="auto" w:fill="F0FFFF"/>
          </w:tcPr>
          <w:p>
            <w:pPr>
              <w:spacing w:after="0"/>
              <w:rPr>
                <w:sz w:val="19"/>
                <w:szCs w:val="19"/>
                <w:color w:val="auto"/>
              </w:rPr>
            </w:pP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62,570</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380" w:type="dxa"/>
            <w:vAlign w:val="bottom"/>
            <w:tcBorders>
              <w:top w:val="single" w:sz="8" w:color="auto"/>
              <w:bottom w:val="single" w:sz="8" w:color="auto"/>
            </w:tcBorders>
            <w:shd w:val="clear" w:color="auto" w:fill="F0FFFF"/>
          </w:tcPr>
          <w:p>
            <w:pPr>
              <w:spacing w:after="0"/>
              <w:rPr>
                <w:sz w:val="19"/>
                <w:szCs w:val="19"/>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Proceeds from maturities and calls of securities held to maturity</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13,351</w:t>
            </w:r>
          </w:p>
        </w:tc>
        <w:tc>
          <w:tcPr>
            <w:tcW w:w="3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14,207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Purchases of securities held to maturity</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(13,433)</w:t>
            </w:r>
          </w:p>
        </w:tc>
        <w:tc>
          <w:tcPr>
            <w:tcW w:w="3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sales of securities available for sale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24,197</w:t>
            </w:r>
          </w:p>
        </w:tc>
        <w:tc>
          <w:tcPr>
            <w:tcW w:w="3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Proceeds from maturities and calls of securities available for sale</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137,312</w:t>
            </w:r>
          </w:p>
        </w:tc>
        <w:tc>
          <w:tcPr>
            <w:tcW w:w="2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82,029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Purchases of securities available for sale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(147,614)</w:t>
            </w:r>
          </w:p>
        </w:tc>
        <w:tc>
          <w:tcPr>
            <w:tcW w:w="3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Net increase in loans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(15,873)</w:t>
            </w:r>
          </w:p>
        </w:tc>
        <w:tc>
          <w:tcPr>
            <w:tcW w:w="3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(101,828)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bank owned life insurance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Proceeds from sales of premises and equipment</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premises and equipment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(3,404)</w:t>
            </w:r>
          </w:p>
        </w:tc>
        <w:tc>
          <w:tcPr>
            <w:tcW w:w="3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Proceeds from sale of other real estate</w:t>
            </w: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220" w:type="dxa"/>
            <w:vAlign w:val="bottom"/>
            <w:shd w:val="clear" w:color="auto" w:fill="F0FFFF"/>
          </w:tcPr>
          <w:p>
            <w:pPr>
              <w:spacing w:after="0"/>
              <w:rPr>
                <w:sz w:val="21"/>
                <w:szCs w:val="21"/>
                <w:color w:val="auto"/>
              </w:rPr>
            </w:pPr>
          </w:p>
        </w:tc>
        <w:tc>
          <w:tcPr>
            <w:tcW w:w="3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F0FFFF"/>
              <w:bottom w:val="single" w:sz="8" w:color="F0FF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top w:val="single" w:sz="8" w:color="F0FFFF"/>
              <w:bottom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(12,382</w:t>
            </w:r>
          </w:p>
        </w:tc>
        <w:tc>
          <w:tcPr>
            <w:tcW w:w="220" w:type="dxa"/>
            <w:vAlign w:val="bottom"/>
            <w:tcBorders>
              <w:top w:val="single" w:sz="8" w:color="F0FFFF"/>
              <w:bottom w:val="single" w:sz="8" w:color="F0FF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(195,504</w:t>
            </w:r>
          </w:p>
        </w:tc>
        <w:tc>
          <w:tcPr>
            <w:tcW w:w="100" w:type="dxa"/>
            <w:vAlign w:val="bottom"/>
            <w:tcBorders>
              <w:top w:val="single" w:sz="8" w:color="F0FFFF"/>
              <w:bottom w:val="single" w:sz="8" w:color="F0FF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Net change in deposits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114,828</w:t>
            </w:r>
          </w:p>
        </w:tc>
        <w:tc>
          <w:tcPr>
            <w:tcW w:w="3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87,204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Proceeds from FHLB advances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1,510,000</w:t>
            </w:r>
          </w:p>
        </w:tc>
        <w:tc>
          <w:tcPr>
            <w:tcW w:w="2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1,715,000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Repayments of FHLB advances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(1,650,000)</w:t>
            </w:r>
          </w:p>
        </w:tc>
        <w:tc>
          <w:tcPr>
            <w:tcW w:w="3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Retirement of preferred stock</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 for dividend reinvestment and employee benefit plans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w:t>
            </w:r>
          </w:p>
        </w:tc>
        <w:tc>
          <w:tcPr>
            <w:tcW w:w="3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Cash paid for shares withheld to cover payroll taxes upon vesting of restricted stock</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(737)</w:t>
            </w:r>
          </w:p>
        </w:tc>
        <w:tc>
          <w:tcPr>
            <w:tcW w:w="3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dividends on common stock</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(5,764)</w:t>
            </w:r>
          </w:p>
        </w:tc>
        <w:tc>
          <w:tcPr>
            <w:tcW w:w="3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spacing w:after="0"/>
              <w:rPr>
                <w:sz w:val="21"/>
                <w:szCs w:val="21"/>
                <w:color w:val="auto"/>
              </w:rPr>
            </w:pPr>
          </w:p>
        </w:tc>
        <w:tc>
          <w:tcPr>
            <w:tcW w:w="3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F0FFFF"/>
              <w:bottom w:val="single" w:sz="8" w:color="F0FF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120" w:type="dxa"/>
            <w:vAlign w:val="bottom"/>
            <w:tcBorders>
              <w:top w:val="single" w:sz="8" w:color="F0FFFF"/>
              <w:bottom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(36,563</w:t>
            </w:r>
          </w:p>
        </w:tc>
        <w:tc>
          <w:tcPr>
            <w:tcW w:w="220" w:type="dxa"/>
            <w:vAlign w:val="bottom"/>
            <w:tcBorders>
              <w:top w:val="single" w:sz="8" w:color="F0FFFF"/>
              <w:bottom w:val="single" w:sz="8" w:color="F0FF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135,086</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13,625</w:t>
            </w:r>
          </w:p>
        </w:tc>
        <w:tc>
          <w:tcPr>
            <w:tcW w:w="3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217,348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240,363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3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230,973</w:t>
            </w:r>
          </w:p>
        </w:tc>
        <w:tc>
          <w:tcPr>
            <w:tcW w:w="2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182,816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Interest paid</w:t>
            </w:r>
          </w:p>
        </w:tc>
        <w:tc>
          <w:tcPr>
            <w:tcW w:w="4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220" w:type="dxa"/>
            <w:vAlign w:val="bottom"/>
            <w:shd w:val="clear" w:color="auto" w:fill="F0FFFF"/>
          </w:tcPr>
          <w:p>
            <w:pPr>
              <w:spacing w:after="0"/>
              <w:rPr>
                <w:sz w:val="18"/>
                <w:szCs w:val="18"/>
                <w:color w:val="auto"/>
              </w:rPr>
            </w:pPr>
          </w:p>
        </w:tc>
        <w:tc>
          <w:tcPr>
            <w:tcW w:w="380" w:type="dxa"/>
            <w:vAlign w:val="bottom"/>
            <w:shd w:val="clear" w:color="auto" w:fill="F0FF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7,407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paid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680</w:t>
            </w:r>
          </w:p>
        </w:tc>
        <w:tc>
          <w:tcPr>
            <w:tcW w:w="3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Significant non-cash investing and financing transactions: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Unsettled security purchases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14,000</w:t>
            </w:r>
          </w:p>
        </w:tc>
        <w:tc>
          <w:tcPr>
            <w:tcW w:w="3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Unsettled government guaranteed loan purchases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14,674</w:t>
            </w:r>
          </w:p>
        </w:tc>
        <w:tc>
          <w:tcPr>
            <w:tcW w:w="3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18,068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Unsettled government guaranteed loan sales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Transfers of loans to foreclosed properties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561</w:t>
            </w:r>
          </w:p>
        </w:tc>
        <w:tc>
          <w:tcPr>
            <w:tcW w:w="3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90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accounting and financial reporting policies of United Community Banks, Inc. (“United”) and its subsidiaries conform to accounting principles generally accepted in the United States (“GAAP”) and reporting guidelines of banking regulatory authorities and regulators. The accompanying interim consolidated financial statements have not been audited. All material intercompany balances and transactions have been eliminated. A more detailed description of United’s accounting policies is included in its Annual Report on Form 10-K for the year ended December 31, 2016.</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January 1, 2017, management elected to subsequently measure residential servicing rights at fair value. The cumulative effect adjustment of this election to retained earnings, net of income tax effect, was $437,000.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statement. The results for interim periods are not necessarily indicative of results for the full year or any other interim periods.</w:t>
      </w:r>
    </w:p>
    <w:p>
      <w:pPr>
        <w:spacing w:after="0" w:line="176" w:lineRule="exact"/>
        <w:rPr>
          <w:sz w:val="20"/>
          <w:szCs w:val="20"/>
          <w:color w:val="auto"/>
        </w:rPr>
      </w:pPr>
    </w:p>
    <w:p>
      <w:pPr>
        <w:jc w:val="both"/>
        <w:ind w:firstLine="16"/>
        <w:spacing w:after="0" w:line="254" w:lineRule="auto"/>
        <w:rPr>
          <w:sz w:val="20"/>
          <w:szCs w:val="20"/>
          <w:color w:val="auto"/>
        </w:rPr>
      </w:pPr>
      <w:r>
        <w:rPr>
          <w:rFonts w:ascii="Times New Roman" w:cs="Times New Roman" w:eastAsia="Times New Roman" w:hAnsi="Times New Roman"/>
          <w:sz w:val="18"/>
          <w:szCs w:val="18"/>
          <w:color w:val="auto"/>
        </w:rPr>
        <w:t>Certain 2016 amounts have been reclassified to conform to the 2017 presentation. As discussed in the Form 10-K for the year ended December 31, 2016, certain loan balances previously shown as retail loans were reclassified to several commercial categories to better align the reporting with the business purpose or underlying credit risk of the loans, rather than the collateral type. The reclassifications moved residential mortgages and home equity lines from the residential mortgage and home equity lines of credit categories to the owner-occupied and income-producing commercial real estate categories. Although these loans were secured by one-to-four family residential properties, their purpose was commercial since they included residential home rental property and business purpose loans secured by the borrower’s primary residence. In addition, residential construction loans were reclassified to the commercial construction category. These reclassified loans are to builders and developers of residential properties. Reclassifying these balances better aligned the loan categories with the management of credit risk. As of and for the three months ended March 31, 2016, historic charge-offs and recoveries on these same loans have been reclassified, as well as the corresponding allowance for loan loss balances, average impaired loan balances, and new troubled debt restructurings.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Standards Updates and Recently Adopted Standards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Standards Updates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No.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This ASU provides guidance on the recognition of revenue from contracts with customers. The core principle of the guidance is that an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recognize revenue to depict the transfer of promised goods or services to customers in an amount that reflects the consideration to which the entity expects to be entitled in exchange for those goods or services. This guidance is effective for public entities for annual reporting periods beginning after December 15, 2017, including interim periods within that reporting period, and will be applied retrospectively either to each prior reporting period or with a cumulative effect recognized at the date of initial application. Because the guidance does not apply to revenue associated with financial instruments, including loans and securities, United does not expect the new revenue recognition guidance to have a material impact on the consolidated financial statements.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This update requires a lessee to recognize in the statement of financial position a liability to make lease payments (the lease liability) and a right-of-use asset representing its right to use the underlying asset for the lease term. For leases with a term of 12 months or less, a lessee is permitted to make an accounting policy election not to recognize lease assets and lease liabilities. For public entities, this update is effective for fiscal years beginning after December 15, 2018, with modified retrospective application to prior periods presented. Upon adoption, United expects to report higher assets and liabilities as a result of including leases on the consolidated balance sheet. At December 31, 2016, future minimum lease payments amounted to $29.1 million. United does not expect the new guidance to have a material impact on the consolidated statement of income or the consolidated statement of shareholders’ equity.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The new guidance replaces the incurred loss impairment methodology in current GAAP with an expected credit loss methodology and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consideration of a broader range of information to determine credit loss estimates. Financial assets measured at amortized cost will be presented at the net amount expected to be collected by using an allowance for credit losses. Purchased credit impaired loans will receive an allowance account at the acquisition date that represents a component of the purchase price allocation. Credit losses relating to available-for-sale debt securities will be recorded through an allowance for credit losses, with such allowance limited to the amount by which fair value is below amortized cost. Application of this update will primarily be on a modified retrospective approach, although the guidance for debt securities for which an other-than-temporary impairment has been recognized before the effective date and for loans previously covered by ASC 310-30, </w:t>
      </w:r>
      <w:r>
        <w:rPr>
          <w:rFonts w:ascii="Times New Roman" w:cs="Times New Roman" w:eastAsia="Times New Roman" w:hAnsi="Times New Roman"/>
          <w:sz w:val="18"/>
          <w:szCs w:val="18"/>
          <w:i w:val="1"/>
          <w:iCs w:val="1"/>
          <w:color w:val="auto"/>
        </w:rPr>
        <w:t>Receivables – Loans and Debt Securities Acquired with Deteriorated Credit Quality</w:t>
      </w:r>
      <w:r>
        <w:rPr>
          <w:rFonts w:ascii="Times New Roman" w:cs="Times New Roman" w:eastAsia="Times New Roman" w:hAnsi="Times New Roman"/>
          <w:sz w:val="18"/>
          <w:szCs w:val="18"/>
          <w:color w:val="auto"/>
        </w:rPr>
        <w:t xml:space="preserve"> will be applied on a prospective basis. For public entities, this update is effective for fiscal years beginning after December 15, 2019. Upon adoption, United expects that the allowance for credit losses will be higher given the change to estimated losses for the estimated life of the financial asset, however the Company is still in the process of determining the magnitude of the increase. Management has begun developing a project plan to ensure it is prepared for implementation by the effective date.</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2017, the FASB issued ASU No. 2017-07, </w:t>
      </w:r>
      <w:r>
        <w:rPr>
          <w:rFonts w:ascii="Times New Roman" w:cs="Times New Roman" w:eastAsia="Times New Roman" w:hAnsi="Times New Roman"/>
          <w:sz w:val="18"/>
          <w:szCs w:val="18"/>
          <w:i w:val="1"/>
          <w:iCs w:val="1"/>
          <w:color w:val="auto"/>
        </w:rPr>
        <w:t>Compensation – Retirement Benefits (Topic 715): Improving the Presentation of Net Periodic 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 and Net Periodic Postretirement Benefit Cost</w:t>
      </w:r>
      <w:r>
        <w:rPr>
          <w:rFonts w:ascii="Times New Roman" w:cs="Times New Roman" w:eastAsia="Times New Roman" w:hAnsi="Times New Roman"/>
          <w:sz w:val="18"/>
          <w:szCs w:val="18"/>
          <w:color w:val="auto"/>
        </w:rPr>
        <w:t>. This ASU requires that an employer disaggregate the service cost component from the other components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net benefit cost. The amendments also provide explicit guidance on how to present the service cost component and the other components of net benefit cost and allow only the service cost component to be eligible for capitalization. For public entities, this update is effective for fiscal years beginning after December 15, 2017, with retrospective presentation of the service cost and other components and prospective application for any capitalization of service cost. The adoption of this update is not expected to have a material impact on the consolidated financial statements.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March 2017, the FASB issued ASU No. 2017-08, </w:t>
      </w:r>
      <w:r>
        <w:rPr>
          <w:rFonts w:ascii="Times New Roman" w:cs="Times New Roman" w:eastAsia="Times New Roman" w:hAnsi="Times New Roman"/>
          <w:sz w:val="18"/>
          <w:szCs w:val="18"/>
          <w:i w:val="1"/>
          <w:iCs w:val="1"/>
          <w:color w:val="auto"/>
        </w:rPr>
        <w:t>Receivables – Nonrefundable Fees and Other Costs (Subtopic 310-20): Premium Amortization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Purchased Callable Debt Securities</w:t>
      </w:r>
      <w:r>
        <w:rPr>
          <w:rFonts w:ascii="Times New Roman" w:cs="Times New Roman" w:eastAsia="Times New Roman" w:hAnsi="Times New Roman"/>
          <w:sz w:val="18"/>
          <w:szCs w:val="18"/>
          <w:color w:val="auto"/>
        </w:rPr>
        <w:t>. This update shortens the amortization period for certain callable debt securities held at a premium. Specifically,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require the premium to be amortized to the earliest call date. For securities held at a discount, the discount will continue to be amortized to maturity. For public entities, this update is effective for fiscal years beginning after December 15, 2018, with modified retrospective application. The adoption of this update is not expected to have a material impact on the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Adopted Standards</w:t>
      </w:r>
    </w:p>
    <w:p>
      <w:pPr>
        <w:spacing w:after="0" w:line="22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 – Stock Compensation (Topic 718):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This update simplified several aspects of the accounting for share-based payment transactions, including the income tax consequences,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classification of awards as either equity or liabilities, and classification on the statement of cash flows. United adopted this standard effective January 1, 2017, with no material impact on the consolidated financial statements, although management expects more volatility in the effective tax rate as excess tax benefits and deficiencies on stock compensation transactions flow through income tax expense rather than capital surplus. United prospectively adopted the amendment requiring that excess tax benefits and deficiencies be recognized as income tax expense or benefit in the income statement and as an operating activity in the statement of cash flows. In addition, United elected to account for forfeitures as they occur, rather than estimate the number of awards expected to vest. United retrospectively implemented the clarification that cash paid by an employer when directly withholding shares for tax-withholding purposes should be classified as a financing activity.</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Balance Sheet Offsetting and Repurchase Agreements Accounted for as Secured Borrowings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United enters into reverse repurchase agreements in order to invest short-term funds. In addition, United enters into repurchase agreements and reverse repurchase agreements with the same counterparty in transactions commonly referred to as collateral swaps that are subject to master netting agreements under which the balances are netted in the balance sheet in accordance with ASC 210-20, </w:t>
      </w:r>
      <w:r>
        <w:rPr>
          <w:rFonts w:ascii="Times New Roman" w:cs="Times New Roman" w:eastAsia="Times New Roman" w:hAnsi="Times New Roman"/>
          <w:sz w:val="18"/>
          <w:szCs w:val="18"/>
          <w:i w:val="1"/>
          <w:iCs w:val="1"/>
          <w:color w:val="auto"/>
        </w:rPr>
        <w:t>Offsetting.</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presents a summary of amounts outstanding under reverse repurchase agreements and derivative financial instruments including those entered into in connection with the same counterparty under master netting agreements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500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15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660" w:type="dxa"/>
            <w:vAlign w:val="bottom"/>
          </w:tcPr>
          <w:p>
            <w:pPr>
              <w:spacing w:after="0"/>
              <w:rPr>
                <w:sz w:val="18"/>
                <w:szCs w:val="18"/>
                <w:color w:val="auto"/>
              </w:rPr>
            </w:pPr>
          </w:p>
        </w:tc>
      </w:tr>
      <w:tr>
        <w:trPr>
          <w:trHeight w:val="216"/>
        </w:trPr>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56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26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Gross Amounts not Offset</w:t>
            </w:r>
          </w:p>
        </w:tc>
      </w:tr>
      <w:tr>
        <w:trPr>
          <w:trHeight w:val="252"/>
        </w:trPr>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Amounts of</w:t>
            </w:r>
          </w:p>
        </w:tc>
        <w:tc>
          <w:tcPr>
            <w:tcW w:w="15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Offset on</w:t>
            </w:r>
          </w:p>
        </w:tc>
        <w:tc>
          <w:tcPr>
            <w:tcW w:w="26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in the Balance Sheet</w:t>
            </w:r>
          </w:p>
        </w:tc>
      </w:tr>
    </w:tbl>
    <w:p>
      <w:pPr>
        <w:spacing w:after="0" w:line="1" w:lineRule="exact"/>
        <w:rPr>
          <w:sz w:val="20"/>
          <w:szCs w:val="20"/>
          <w:color w:val="auto"/>
        </w:rPr>
      </w:pPr>
    </w:p>
    <w:p>
      <w:pPr>
        <w:sectPr>
          <w:pgSz w:w="11900" w:h="16838" w:orient="portrait"/>
          <w:cols w:equalWidth="0" w:num="1">
            <w:col w:w="11420"/>
          </w:cols>
          <w:pgMar w:left="240" w:top="792" w:right="239" w:bottom="414" w:gutter="0" w:footer="0" w:header="0"/>
        </w:sect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0956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95625" cy="17145"/>
                    </a:xfrm>
                    <a:prstGeom prst="rect">
                      <a:avLst/>
                    </a:prstGeom>
                    <a:noFill/>
                  </pic:spPr>
                </pic:pic>
              </a:graphicData>
            </a:graphic>
          </wp:anchor>
        </w:drawing>
      </w:r>
    </w:p>
    <w:p>
      <w:pPr>
        <w:spacing w:after="0" w:line="236"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Repurchase agreements / reverse repurchase agreements Derivatives</w:t>
      </w: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 average interest rate of reverse repurchase agreements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1140" w:type="dxa"/>
            <w:vAlign w:val="bottom"/>
            <w:gridSpan w:val="3"/>
          </w:tcPr>
          <w:p>
            <w:pPr>
              <w:jc w:val="center"/>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7"/>
              </w:rPr>
              <w:t>Recognized</w:t>
            </w:r>
          </w:p>
        </w:tc>
        <w:tc>
          <w:tcPr>
            <w:tcW w:w="1100" w:type="dxa"/>
            <w:vAlign w:val="bottom"/>
            <w:gridSpan w:val="3"/>
          </w:tcPr>
          <w:p>
            <w:pPr>
              <w:jc w:val="center"/>
              <w:ind w:right="140"/>
              <w:spacing w:after="0" w:line="201" w:lineRule="exact"/>
              <w:rPr>
                <w:sz w:val="20"/>
                <w:szCs w:val="20"/>
                <w:color w:val="auto"/>
              </w:rPr>
            </w:pPr>
            <w:r>
              <w:rPr>
                <w:rFonts w:ascii="Times New Roman" w:cs="Times New Roman" w:eastAsia="Times New Roman" w:hAnsi="Times New Roman"/>
                <w:sz w:val="18"/>
                <w:szCs w:val="18"/>
                <w:b w:val="1"/>
                <w:bCs w:val="1"/>
                <w:color w:val="auto"/>
                <w:w w:val="98"/>
              </w:rPr>
              <w:t>the Balance</w:t>
            </w:r>
          </w:p>
        </w:tc>
        <w:tc>
          <w:tcPr>
            <w:tcW w:w="1000" w:type="dxa"/>
            <w:vAlign w:val="bottom"/>
            <w:gridSpan w:val="3"/>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rPr>
              <w:t>Net Asset</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2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880" w:type="dxa"/>
            <w:vAlign w:val="bottom"/>
            <w:tcBorders>
              <w:top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Collateral</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center"/>
              <w:ind w:right="90"/>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220" w:type="dxa"/>
            <w:vAlign w:val="bottom"/>
          </w:tcPr>
          <w:p>
            <w:pPr>
              <w:spacing w:after="0"/>
              <w:rPr>
                <w:sz w:val="20"/>
                <w:szCs w:val="20"/>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Received</w:t>
            </w:r>
          </w:p>
        </w:tc>
        <w:tc>
          <w:tcPr>
            <w:tcW w:w="6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r>
      <w:tr>
        <w:trPr>
          <w:trHeight w:val="414"/>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22,131</w:t>
            </w: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22,131</w:t>
            </w:r>
          </w:p>
        </w:tc>
        <w:tc>
          <w:tcPr>
            <w:tcW w:w="10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(2,777)</w:t>
            </w:r>
          </w:p>
        </w:tc>
        <w:tc>
          <w:tcPr>
            <w:tcW w:w="12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16,985</w:t>
            </w:r>
          </w:p>
        </w:tc>
      </w:tr>
      <w:tr>
        <w:trPr>
          <w:trHeight w:val="230"/>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222,131</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16,985</w:t>
            </w:r>
          </w:p>
        </w:tc>
      </w:tr>
      <w:tr>
        <w:trPr>
          <w:trHeight w:val="21"/>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Gross Amounts not Offset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59"/>
        </w:trPr>
        <w:tc>
          <w:tcPr>
            <w:tcW w:w="11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Amounts of</w:t>
            </w:r>
          </w:p>
        </w:tc>
        <w:tc>
          <w:tcPr>
            <w:tcW w:w="80" w:type="dxa"/>
            <w:vAlign w:val="bottom"/>
          </w:tcPr>
          <w:p>
            <w:pPr>
              <w:spacing w:after="0"/>
              <w:rPr>
                <w:sz w:val="22"/>
                <w:szCs w:val="2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Offset on</w:t>
            </w:r>
          </w:p>
        </w:tc>
        <w:tc>
          <w:tcPr>
            <w:tcW w:w="180" w:type="dxa"/>
            <w:vAlign w:val="bottom"/>
          </w:tcPr>
          <w:p>
            <w:pPr>
              <w:spacing w:after="0"/>
              <w:rPr>
                <w:sz w:val="22"/>
                <w:szCs w:val="22"/>
                <w:color w:val="auto"/>
              </w:rPr>
            </w:pPr>
          </w:p>
        </w:tc>
        <w:tc>
          <w:tcPr>
            <w:tcW w:w="8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22"/>
                <w:szCs w:val="22"/>
                <w:color w:val="auto"/>
              </w:rPr>
            </w:pPr>
          </w:p>
        </w:tc>
        <w:tc>
          <w:tcPr>
            <w:tcW w:w="21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in the Balance Sheet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194"/>
        </w:trPr>
        <w:tc>
          <w:tcPr>
            <w:tcW w:w="20" w:type="dxa"/>
            <w:vAlign w:val="bottom"/>
          </w:tcPr>
          <w:p>
            <w:pPr>
              <w:spacing w:after="0"/>
              <w:rPr>
                <w:sz w:val="16"/>
                <w:szCs w:val="16"/>
                <w:color w:val="auto"/>
              </w:rPr>
            </w:pPr>
          </w:p>
        </w:tc>
        <w:tc>
          <w:tcPr>
            <w:tcW w:w="1140" w:type="dxa"/>
            <w:vAlign w:val="bottom"/>
            <w:gridSpan w:val="3"/>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Recognized</w:t>
            </w:r>
          </w:p>
        </w:tc>
        <w:tc>
          <w:tcPr>
            <w:tcW w:w="1100" w:type="dxa"/>
            <w:vAlign w:val="bottom"/>
            <w:gridSpan w:val="3"/>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the Balance</w:t>
            </w:r>
          </w:p>
        </w:tc>
        <w:tc>
          <w:tcPr>
            <w:tcW w:w="10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88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Collateral</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38"/>
        </w:trPr>
        <w:tc>
          <w:tcPr>
            <w:tcW w:w="20" w:type="dxa"/>
            <w:vAlign w:val="bottom"/>
          </w:tcPr>
          <w:p>
            <w:pPr>
              <w:spacing w:after="0"/>
              <w:rPr>
                <w:sz w:val="20"/>
                <w:szCs w:val="20"/>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220" w:type="dxa"/>
            <w:vAlign w:val="bottom"/>
          </w:tcPr>
          <w:p>
            <w:pPr>
              <w:spacing w:after="0"/>
              <w:rPr>
                <w:sz w:val="20"/>
                <w:szCs w:val="20"/>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20" w:type="dxa"/>
            <w:vAlign w:val="bottom"/>
          </w:tcPr>
          <w:p>
            <w:pPr>
              <w:spacing w:after="0"/>
              <w:rPr>
                <w:sz w:val="20"/>
                <w:szCs w:val="20"/>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Pledged</w:t>
            </w:r>
          </w:p>
        </w:tc>
        <w:tc>
          <w:tcPr>
            <w:tcW w:w="6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-1619885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-1328420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-1002665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640" w:space="360"/>
            <w:col w:w="6420"/>
          </w:cols>
          <w:pgMar w:left="240" w:top="792" w:right="239" w:bottom="414" w:gutter="0" w:footer="0" w:header="0"/>
          <w:type w:val="continuous"/>
        </w:sect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Repurchase agreements / reverse repurchase agreements Derivatives</w:t>
      </w: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interest rate of repurchase agreements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gridSpan w:val="2"/>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26,425</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26,425</w:t>
            </w:r>
          </w:p>
        </w:tc>
        <w:tc>
          <w:tcPr>
            <w:tcW w:w="28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(2,777)</w:t>
            </w:r>
          </w:p>
        </w:tc>
        <w:tc>
          <w:tcPr>
            <w:tcW w:w="20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(18,853)</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r>
      <w:tr>
        <w:trPr>
          <w:trHeight w:val="230"/>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226,425</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26,425</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(18,853</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w:t>
            </w:r>
          </w:p>
        </w:tc>
      </w:tr>
      <w:tr>
        <w:trPr>
          <w:trHeight w:val="21"/>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-479425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-187960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148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410"/>
        </w:trPr>
        <w:tc>
          <w:tcPr>
            <w:tcW w:w="1140" w:type="dxa"/>
            <w:vAlign w:val="bottom"/>
          </w:tcPr>
          <w:p>
            <w:pPr>
              <w:spacing w:after="0"/>
              <w:rPr>
                <w:sz w:val="24"/>
                <w:szCs w:val="24"/>
                <w:color w:val="auto"/>
              </w:rPr>
            </w:pPr>
          </w:p>
        </w:tc>
        <w:tc>
          <w:tcPr>
            <w:tcW w:w="148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660" w:type="dxa"/>
            <w:vAlign w:val="bottom"/>
          </w:tcPr>
          <w:p>
            <w:pPr>
              <w:spacing w:after="0"/>
              <w:rPr>
                <w:sz w:val="24"/>
                <w:szCs w:val="24"/>
                <w:color w:val="auto"/>
              </w:rPr>
            </w:pPr>
          </w:p>
        </w:tc>
      </w:tr>
      <w:tr>
        <w:trPr>
          <w:trHeight w:val="216"/>
        </w:trPr>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8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26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Gross Amounts not Offset</w:t>
            </w:r>
          </w:p>
        </w:tc>
      </w:tr>
      <w:tr>
        <w:trPr>
          <w:trHeight w:val="252"/>
        </w:trPr>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Amounts of</w:t>
            </w:r>
          </w:p>
        </w:tc>
        <w:tc>
          <w:tcPr>
            <w:tcW w:w="148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Offset on</w:t>
            </w:r>
          </w:p>
        </w:tc>
        <w:tc>
          <w:tcPr>
            <w:tcW w:w="26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in the Balance Sheet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-694055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280" w:space="720"/>
            <w:col w:w="6420"/>
          </w:cols>
          <w:pgMar w:left="240" w:top="792" w:right="239" w:bottom="414"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7"/>
              </w:rPr>
              <w:t>Recognized</w:t>
            </w:r>
          </w:p>
        </w:tc>
        <w:tc>
          <w:tcPr>
            <w:tcW w:w="110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the Balance</w:t>
            </w:r>
          </w:p>
        </w:tc>
        <w:tc>
          <w:tcPr>
            <w:tcW w:w="1000" w:type="dxa"/>
            <w:vAlign w:val="bottom"/>
            <w:gridSpan w:val="3"/>
          </w:tcPr>
          <w:p>
            <w:pPr>
              <w:jc w:val="right"/>
              <w:ind w:right="240"/>
              <w:spacing w:after="0" w:line="201" w:lineRule="exact"/>
              <w:rPr>
                <w:sz w:val="20"/>
                <w:szCs w:val="20"/>
                <w:color w:val="auto"/>
              </w:rPr>
            </w:pPr>
            <w:r>
              <w:rPr>
                <w:rFonts w:ascii="Times New Roman" w:cs="Times New Roman" w:eastAsia="Times New Roman" w:hAnsi="Times New Roman"/>
                <w:sz w:val="18"/>
                <w:szCs w:val="18"/>
                <w:b w:val="1"/>
                <w:bCs w:val="1"/>
                <w:color w:val="auto"/>
              </w:rPr>
              <w:t>Net Asset</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2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880" w:type="dxa"/>
            <w:vAlign w:val="bottom"/>
            <w:tcBorders>
              <w:top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Collateral</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center"/>
              <w:ind w:right="280"/>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45"/>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1"/>
                <w:szCs w:val="21"/>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Sheet</w:t>
            </w: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Received</w:t>
            </w:r>
          </w:p>
        </w:tc>
        <w:tc>
          <w:tcPr>
            <w:tcW w:w="60" w:type="dxa"/>
            <w:vAlign w:val="bottom"/>
          </w:tcPr>
          <w:p>
            <w:pPr>
              <w:spacing w:after="0"/>
              <w:rPr>
                <w:sz w:val="21"/>
                <w:szCs w:val="21"/>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Repurchase agreements / reverse repurchase agreements</w:t>
            </w:r>
          </w:p>
        </w:tc>
        <w:tc>
          <w:tcPr>
            <w:tcW w:w="2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23,688</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23,688</w:t>
            </w: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(3,485)</w:t>
            </w:r>
          </w:p>
        </w:tc>
        <w:tc>
          <w:tcPr>
            <w:tcW w:w="2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16,837</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86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173,688</w:t>
            </w:r>
          </w:p>
        </w:tc>
        <w:tc>
          <w:tcPr>
            <w:tcW w:w="28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tcBorders>
              <w:top w:val="single" w:sz="8" w:color="F0FFFF"/>
              <w:bottom w:val="single" w:sz="8" w:color="F0FFFF"/>
            </w:tcBorders>
            <w:shd w:val="clear" w:color="auto" w:fill="F0FF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23,688</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240" w:type="dxa"/>
            <w:vAlign w:val="bottom"/>
            <w:tcBorders>
              <w:top w:val="single" w:sz="8" w:color="F0FFFF"/>
              <w:bottom w:val="single" w:sz="8" w:color="F0FFFF"/>
            </w:tcBorders>
            <w:shd w:val="clear" w:color="auto" w:fill="F0FF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16,837</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792" w:right="239" w:bottom="414"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Weighted average interest rate of reverse repurchase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Repurchase agreements / reverse repurchase agreements Derivatives</w:t>
      </w: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Gross Amounts not Offset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59"/>
        </w:trPr>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Amounts of</w:t>
            </w:r>
          </w:p>
        </w:tc>
        <w:tc>
          <w:tcPr>
            <w:tcW w:w="80" w:type="dxa"/>
            <w:vAlign w:val="bottom"/>
          </w:tcPr>
          <w:p>
            <w:pPr>
              <w:spacing w:after="0"/>
              <w:rPr>
                <w:sz w:val="22"/>
                <w:szCs w:val="2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Offset on</w:t>
            </w:r>
          </w:p>
        </w:tc>
        <w:tc>
          <w:tcPr>
            <w:tcW w:w="180" w:type="dxa"/>
            <w:vAlign w:val="bottom"/>
          </w:tcPr>
          <w:p>
            <w:pPr>
              <w:spacing w:after="0"/>
              <w:rPr>
                <w:sz w:val="22"/>
                <w:szCs w:val="22"/>
                <w:color w:val="auto"/>
              </w:rPr>
            </w:pPr>
          </w:p>
        </w:tc>
        <w:tc>
          <w:tcPr>
            <w:tcW w:w="8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22"/>
                <w:szCs w:val="22"/>
                <w:color w:val="auto"/>
              </w:rPr>
            </w:pPr>
          </w:p>
        </w:tc>
        <w:tc>
          <w:tcPr>
            <w:tcW w:w="216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 the Balance Sheet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194"/>
        </w:trPr>
        <w:tc>
          <w:tcPr>
            <w:tcW w:w="20" w:type="dxa"/>
            <w:vAlign w:val="bottom"/>
          </w:tcPr>
          <w:p>
            <w:pPr>
              <w:spacing w:after="0"/>
              <w:rPr>
                <w:sz w:val="16"/>
                <w:szCs w:val="16"/>
                <w:color w:val="auto"/>
              </w:rPr>
            </w:pPr>
          </w:p>
        </w:tc>
        <w:tc>
          <w:tcPr>
            <w:tcW w:w="11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Recognized</w:t>
            </w:r>
          </w:p>
        </w:tc>
        <w:tc>
          <w:tcPr>
            <w:tcW w:w="1100" w:type="dxa"/>
            <w:vAlign w:val="bottom"/>
            <w:gridSpan w:val="3"/>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the Balance</w:t>
            </w:r>
          </w:p>
        </w:tc>
        <w:tc>
          <w:tcPr>
            <w:tcW w:w="10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88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Collateral</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38"/>
        </w:trPr>
        <w:tc>
          <w:tcPr>
            <w:tcW w:w="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220" w:type="dxa"/>
            <w:vAlign w:val="bottom"/>
          </w:tcPr>
          <w:p>
            <w:pPr>
              <w:spacing w:after="0"/>
              <w:rPr>
                <w:sz w:val="20"/>
                <w:szCs w:val="20"/>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Pledged</w:t>
            </w:r>
          </w:p>
        </w:tc>
        <w:tc>
          <w:tcPr>
            <w:tcW w:w="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r>
      <w:tr>
        <w:trPr>
          <w:trHeight w:val="414"/>
        </w:trPr>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27,648</w:t>
            </w: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27,648</w:t>
            </w:r>
          </w:p>
        </w:tc>
        <w:tc>
          <w:tcPr>
            <w:tcW w:w="10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(3,485)</w:t>
            </w:r>
          </w:p>
        </w:tc>
        <w:tc>
          <w:tcPr>
            <w:tcW w:w="12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(18,505)</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w:t>
            </w:r>
          </w:p>
        </w:tc>
      </w:tr>
      <w:tr>
        <w:trPr>
          <w:trHeight w:val="230"/>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177,648</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(18,505</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5,658</w:t>
            </w:r>
          </w:p>
        </w:tc>
      </w:tr>
      <w:tr>
        <w:trPr>
          <w:trHeight w:val="21"/>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-1619885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-479425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-187960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40" w:space="360"/>
            <w:col w:w="6420"/>
          </w:cols>
          <w:pgMar w:left="240" w:top="792" w:right="239" w:bottom="414"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Weighted average interest rate of repurchase agreements</w:t>
            </w:r>
          </w:p>
        </w:tc>
        <w:tc>
          <w:tcPr>
            <w:tcW w:w="6560" w:type="dxa"/>
            <w:vAlign w:val="bottom"/>
            <w:shd w:val="clear" w:color="auto" w:fill="F0FFFF"/>
          </w:tcPr>
          <w:p>
            <w:pPr>
              <w:jc w:val="right"/>
              <w:ind w:right="5290"/>
              <w:spacing w:after="0"/>
              <w:rPr>
                <w:sz w:val="20"/>
                <w:szCs w:val="20"/>
                <w:color w:val="auto"/>
              </w:rPr>
            </w:pPr>
            <w:r>
              <w:rPr>
                <w:rFonts w:ascii="Times New Roman" w:cs="Times New Roman" w:eastAsia="Times New Roman" w:hAnsi="Times New Roman"/>
                <w:sz w:val="18"/>
                <w:szCs w:val="18"/>
                <w:color w:val="auto"/>
              </w:rPr>
              <w:t>.88%</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2017, United recognized the right to reclaim cash collateral of $18.9 million and the obligation to return cash collateral of $2.37 million. At December 31, 2016, United recognized the right to reclaim cash collateral of $18.5 million and the obligation to return cash collateral of $3.37 million. The right to reclaim cash collateral and the obligation to return cash collateral were included in the consolidated balance sheet in other assets and other liabilities, respectively.</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414"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presents additional detail regarding repurchase agreements accounted for as secured borrowings and the securities underlying these agreements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6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40" w:type="dxa"/>
            <w:vAlign w:val="bottom"/>
            <w:tcBorders>
              <w:bottom w:val="single" w:sz="8" w:color="auto"/>
            </w:tcBorders>
            <w:gridSpan w:val="11"/>
          </w:tcPr>
          <w:p>
            <w:pPr>
              <w:ind w:left="860"/>
              <w:spacing w:after="0"/>
              <w:rPr>
                <w:sz w:val="20"/>
                <w:szCs w:val="20"/>
                <w:color w:val="auto"/>
              </w:rPr>
            </w:pPr>
            <w:r>
              <w:rPr>
                <w:rFonts w:ascii="Times New Roman" w:cs="Times New Roman" w:eastAsia="Times New Roman" w:hAnsi="Times New Roman"/>
                <w:sz w:val="18"/>
                <w:szCs w:val="18"/>
                <w:b w:val="1"/>
                <w:bCs w:val="1"/>
                <w:color w:val="auto"/>
              </w:rPr>
              <w:t>Remaining Contractual Maturity of the Agreements</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March 31, 2017</w:t>
            </w:r>
          </w:p>
        </w:tc>
        <w:tc>
          <w:tcPr>
            <w:tcW w:w="16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Overnight and</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780" w:type="dxa"/>
            <w:vAlign w:val="bottom"/>
            <w:gridSpan w:val="2"/>
            <w:vMerge w:val="continue"/>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Continuous</w:t>
            </w:r>
          </w:p>
        </w:tc>
        <w:tc>
          <w:tcPr>
            <w:tcW w:w="1300" w:type="dxa"/>
            <w:vAlign w:val="bottom"/>
            <w:gridSpan w:val="3"/>
          </w:tcPr>
          <w:p>
            <w:pPr>
              <w:spacing w:after="0" w:line="164" w:lineRule="exact"/>
              <w:rPr>
                <w:sz w:val="20"/>
                <w:szCs w:val="20"/>
                <w:color w:val="auto"/>
              </w:rPr>
            </w:pPr>
            <w:r>
              <w:rPr>
                <w:rFonts w:ascii="Times New Roman" w:cs="Times New Roman" w:eastAsia="Times New Roman" w:hAnsi="Times New Roman"/>
                <w:sz w:val="18"/>
                <w:szCs w:val="18"/>
                <w:b w:val="1"/>
                <w:bCs w:val="1"/>
                <w:color w:val="auto"/>
              </w:rPr>
              <w:t>Up to 30 Days</w:t>
            </w:r>
          </w:p>
        </w:tc>
        <w:tc>
          <w:tcPr>
            <w:tcW w:w="1220" w:type="dxa"/>
            <w:vAlign w:val="bottom"/>
            <w:gridSpan w:val="3"/>
          </w:tcPr>
          <w:p>
            <w:pPr>
              <w:spacing w:after="0" w:line="164" w:lineRule="exact"/>
              <w:rPr>
                <w:sz w:val="20"/>
                <w:szCs w:val="20"/>
                <w:color w:val="auto"/>
              </w:rPr>
            </w:pPr>
            <w:r>
              <w:rPr>
                <w:rFonts w:ascii="Times New Roman" w:cs="Times New Roman" w:eastAsia="Times New Roman" w:hAnsi="Times New Roman"/>
                <w:sz w:val="18"/>
                <w:szCs w:val="18"/>
                <w:b w:val="1"/>
                <w:bCs w:val="1"/>
                <w:color w:val="auto"/>
              </w:rPr>
              <w:t>30 to 90 Days</w:t>
            </w:r>
          </w:p>
        </w:tc>
        <w:tc>
          <w:tcPr>
            <w:tcW w:w="1280" w:type="dxa"/>
            <w:vAlign w:val="bottom"/>
            <w:gridSpan w:val="3"/>
          </w:tcPr>
          <w:p>
            <w:pPr>
              <w:spacing w:after="0" w:line="164" w:lineRule="exact"/>
              <w:rPr>
                <w:sz w:val="20"/>
                <w:szCs w:val="20"/>
                <w:color w:val="auto"/>
              </w:rPr>
            </w:pPr>
            <w:r>
              <w:rPr>
                <w:rFonts w:ascii="Times New Roman" w:cs="Times New Roman" w:eastAsia="Times New Roman" w:hAnsi="Times New Roman"/>
                <w:sz w:val="18"/>
                <w:szCs w:val="18"/>
                <w:b w:val="1"/>
                <w:bCs w:val="1"/>
                <w:color w:val="auto"/>
              </w:rPr>
              <w:t>91 to 110 days</w:t>
            </w:r>
          </w:p>
        </w:tc>
        <w:tc>
          <w:tcPr>
            <w:tcW w:w="140" w:type="dxa"/>
            <w:vAlign w:val="bottom"/>
          </w:tcPr>
          <w:p>
            <w:pPr>
              <w:spacing w:after="0"/>
              <w:rPr>
                <w:sz w:val="16"/>
                <w:szCs w:val="16"/>
                <w:color w:val="auto"/>
              </w:rPr>
            </w:pPr>
          </w:p>
        </w:tc>
        <w:tc>
          <w:tcPr>
            <w:tcW w:w="740" w:type="dxa"/>
            <w:vAlign w:val="bottom"/>
            <w:gridSpan w:val="2"/>
          </w:tcPr>
          <w:p>
            <w:pPr>
              <w:ind w:left="60"/>
              <w:spacing w:after="0" w:line="164"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1"/>
        </w:trPr>
        <w:tc>
          <w:tcPr>
            <w:tcW w:w="1640" w:type="dxa"/>
            <w:vAlign w:val="bottom"/>
            <w:tcBorders>
              <w:top w:val="single" w:sz="8" w:color="auto"/>
            </w:tcBorders>
          </w:tcPr>
          <w:p>
            <w:pPr>
              <w:spacing w:after="0"/>
              <w:rPr>
                <w:sz w:val="3"/>
                <w:szCs w:val="3"/>
                <w:color w:val="auto"/>
              </w:rPr>
            </w:pPr>
          </w:p>
        </w:tc>
        <w:tc>
          <w:tcPr>
            <w:tcW w:w="21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80" w:type="dxa"/>
            <w:vAlign w:val="bottom"/>
            <w:gridSpan w:val="2"/>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720" w:type="dxa"/>
            <w:vAlign w:val="bottom"/>
            <w:gridSpan w:val="2"/>
            <w:shd w:val="clear" w:color="auto" w:fill="F0FFFF"/>
          </w:tcPr>
          <w:p>
            <w:pPr>
              <w:ind w:left="16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20"/>
                <w:szCs w:val="20"/>
                <w:color w:val="auto"/>
              </w:rPr>
            </w:pPr>
          </w:p>
        </w:tc>
        <w:tc>
          <w:tcPr>
            <w:tcW w:w="5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F0FFFF"/>
          </w:tcPr>
          <w:p>
            <w:pPr>
              <w:spacing w:after="0"/>
              <w:rPr>
                <w:sz w:val="20"/>
                <w:szCs w:val="20"/>
                <w:color w:val="auto"/>
              </w:rPr>
            </w:pP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F0FFFF"/>
          </w:tcPr>
          <w:p>
            <w:pPr>
              <w:ind w:left="4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1640" w:type="dxa"/>
            <w:vAlign w:val="bottom"/>
            <w:tcBorders>
              <w:top w:val="single" w:sz="8" w:color="F0FFFF"/>
            </w:tcBorders>
          </w:tcPr>
          <w:p>
            <w:pPr>
              <w:spacing w:after="0"/>
              <w:rPr>
                <w:sz w:val="18"/>
                <w:szCs w:val="18"/>
                <w:color w:val="auto"/>
              </w:rPr>
            </w:pPr>
          </w:p>
        </w:tc>
        <w:tc>
          <w:tcPr>
            <w:tcW w:w="2140" w:type="dxa"/>
            <w:vAlign w:val="bottom"/>
            <w:tcBorders>
              <w:top w:val="single" w:sz="8" w:color="F0FFFF"/>
            </w:tcBorders>
          </w:tcPr>
          <w:p>
            <w:pPr>
              <w:spacing w:after="0"/>
              <w:rPr>
                <w:sz w:val="18"/>
                <w:szCs w:val="18"/>
                <w:color w:val="auto"/>
              </w:rPr>
            </w:pPr>
          </w:p>
        </w:tc>
        <w:tc>
          <w:tcPr>
            <w:tcW w:w="16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780" w:type="dxa"/>
            <w:vAlign w:val="bottom"/>
            <w:gridSpan w:val="2"/>
            <w:shd w:val="clear" w:color="auto" w:fill="F0FF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gridSpan w:val="2"/>
            <w:shd w:val="clear" w:color="auto" w:fill="F0FFFF"/>
          </w:tcPr>
          <w:p>
            <w:pPr>
              <w:ind w:left="16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22"/>
                <w:szCs w:val="22"/>
                <w:color w:val="auto"/>
              </w:rPr>
            </w:pPr>
          </w:p>
        </w:tc>
        <w:tc>
          <w:tcPr>
            <w:tcW w:w="5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F0FFFF"/>
          </w:tcPr>
          <w:p>
            <w:pPr>
              <w:spacing w:after="0"/>
              <w:rPr>
                <w:sz w:val="22"/>
                <w:szCs w:val="22"/>
                <w:color w:val="auto"/>
              </w:rPr>
            </w:pP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F0FFFF"/>
          </w:tcPr>
          <w:p>
            <w:pPr>
              <w:ind w:left="4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0"/>
        </w:trPr>
        <w:tc>
          <w:tcPr>
            <w:tcW w:w="1640" w:type="dxa"/>
            <w:vAlign w:val="bottom"/>
            <w:tcBorders>
              <w:top w:val="single" w:sz="8" w:color="F0FFFF"/>
            </w:tcBorders>
          </w:tcPr>
          <w:p>
            <w:pPr>
              <w:spacing w:after="0" w:line="20" w:lineRule="exact"/>
              <w:rPr>
                <w:sz w:val="1"/>
                <w:szCs w:val="1"/>
                <w:color w:val="auto"/>
              </w:rPr>
            </w:pPr>
          </w:p>
        </w:tc>
        <w:tc>
          <w:tcPr>
            <w:tcW w:w="2140" w:type="dxa"/>
            <w:vAlign w:val="bottom"/>
            <w:tcBorders>
              <w:top w:val="single" w:sz="8" w:color="F0FFFF"/>
            </w:tcBorders>
          </w:tcPr>
          <w:p>
            <w:pPr>
              <w:spacing w:after="0" w:line="20" w:lineRule="exact"/>
              <w:rPr>
                <w:sz w:val="1"/>
                <w:szCs w:val="1"/>
                <w:color w:val="auto"/>
              </w:rPr>
            </w:pPr>
          </w:p>
        </w:tc>
        <w:tc>
          <w:tcPr>
            <w:tcW w:w="16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792" w:right="239" w:bottom="1440" w:gutter="0" w:footer="0" w:header="0"/>
        </w:sectPr>
      </w:pPr>
    </w:p>
    <w:p>
      <w:pPr>
        <w:spacing w:after="0" w:line="281" w:lineRule="auto"/>
        <w:rPr>
          <w:sz w:val="20"/>
          <w:szCs w:val="20"/>
          <w:color w:val="auto"/>
        </w:rPr>
      </w:pPr>
      <w:r>
        <w:rPr>
          <w:rFonts w:ascii="Times New Roman" w:cs="Times New Roman" w:eastAsia="Times New Roman" w:hAnsi="Times New Roman"/>
          <w:sz w:val="18"/>
          <w:szCs w:val="18"/>
          <w:color w:val="auto"/>
        </w:rPr>
        <w:t>Gross amount of recognized liabilities for repurchase agreements in offsetting disclosure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related to agreements not included in offsetting disclosure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 of December 31, 2016</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$ 200,000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-273685</wp:posOffset>
            </wp:positionV>
            <wp:extent cx="724662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jc w:val="both"/>
        <w:ind w:left="5140"/>
        <w:spacing w:after="0"/>
        <w:tabs>
          <w:tab w:leader="none" w:pos="58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3265170</wp:posOffset>
            </wp:positionH>
            <wp:positionV relativeFrom="paragraph">
              <wp:posOffset>17145</wp:posOffset>
            </wp:positionV>
            <wp:extent cx="4889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3265170</wp:posOffset>
            </wp:positionH>
            <wp:positionV relativeFrom="paragraph">
              <wp:posOffset>43180</wp:posOffset>
            </wp:positionV>
            <wp:extent cx="4889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3265170</wp:posOffset>
            </wp:positionH>
            <wp:positionV relativeFrom="paragraph">
              <wp:posOffset>-127635</wp:posOffset>
            </wp:positionV>
            <wp:extent cx="4889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69" w:lineRule="exact"/>
        <w:rPr>
          <w:sz w:val="20"/>
          <w:szCs w:val="20"/>
          <w:color w:val="auto"/>
        </w:rPr>
      </w:pPr>
    </w:p>
    <w:p>
      <w:pPr>
        <w:ind w:right="1060" w:firstLine="953"/>
        <w:spacing w:after="0" w:line="279" w:lineRule="auto"/>
        <w:rPr>
          <w:sz w:val="20"/>
          <w:szCs w:val="20"/>
          <w:color w:val="auto"/>
        </w:rPr>
      </w:pPr>
      <w:r>
        <w:rPr>
          <w:rFonts w:ascii="Times New Roman" w:cs="Times New Roman" w:eastAsia="Times New Roman" w:hAnsi="Times New Roman"/>
          <w:sz w:val="18"/>
          <w:szCs w:val="18"/>
          <w:b w:val="1"/>
          <w:bCs w:val="1"/>
          <w:color w:val="auto"/>
        </w:rPr>
        <w:t>Remaining Contractual Maturity of the Agreements Overnight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-153670</wp:posOffset>
            </wp:positionV>
            <wp:extent cx="37560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56025" cy="17145"/>
                    </a:xfrm>
                    <a:prstGeom prst="rect">
                      <a:avLst/>
                    </a:prstGeom>
                    <a:noFill/>
                  </pic:spPr>
                </pic:pic>
              </a:graphicData>
            </a:graphic>
          </wp:anchor>
        </w:drawing>
      </w:r>
    </w:p>
    <w:p>
      <w:pPr>
        <w:ind w:left="120"/>
        <w:spacing w:after="0"/>
        <w:tabs>
          <w:tab w:leader="none" w:pos="1320" w:val="left"/>
          <w:tab w:leader="none" w:pos="2620" w:val="left"/>
          <w:tab w:leader="none" w:pos="3840" w:val="left"/>
          <w:tab w:leader="none" w:pos="5320" w:val="left"/>
        </w:tabs>
        <w:rPr>
          <w:sz w:val="20"/>
          <w:szCs w:val="20"/>
          <w:color w:val="auto"/>
        </w:rPr>
      </w:pPr>
      <w:r>
        <w:rPr>
          <w:rFonts w:ascii="Times New Roman" w:cs="Times New Roman" w:eastAsia="Times New Roman" w:hAnsi="Times New Roman"/>
          <w:sz w:val="18"/>
          <w:szCs w:val="18"/>
          <w:b w:val="1"/>
          <w:bCs w:val="1"/>
          <w:color w:val="auto"/>
        </w:rPr>
        <w:t>Continuous</w:t>
      </w:r>
      <w:r>
        <w:rPr>
          <w:sz w:val="20"/>
          <w:szCs w:val="20"/>
          <w:color w:val="auto"/>
        </w:rPr>
        <w:tab/>
      </w:r>
      <w:r>
        <w:rPr>
          <w:rFonts w:ascii="Times New Roman" w:cs="Times New Roman" w:eastAsia="Times New Roman" w:hAnsi="Times New Roman"/>
          <w:sz w:val="18"/>
          <w:szCs w:val="18"/>
          <w:b w:val="1"/>
          <w:bCs w:val="1"/>
          <w:u w:val="single" w:color="auto"/>
          <w:color w:val="auto"/>
        </w:rPr>
        <w:t>Up to 30 Days</w:t>
      </w:r>
      <w:r>
        <w:rPr>
          <w:sz w:val="20"/>
          <w:szCs w:val="20"/>
          <w:color w:val="auto"/>
        </w:rPr>
        <w:tab/>
      </w:r>
      <w:r>
        <w:rPr>
          <w:rFonts w:ascii="Times New Roman" w:cs="Times New Roman" w:eastAsia="Times New Roman" w:hAnsi="Times New Roman"/>
          <w:sz w:val="18"/>
          <w:szCs w:val="18"/>
          <w:b w:val="1"/>
          <w:bCs w:val="1"/>
          <w:u w:val="single" w:color="auto"/>
          <w:color w:val="auto"/>
        </w:rPr>
        <w:t>30 to 90 Days</w:t>
        <w:tab/>
        <w:t>91 to 110 days</w:t>
      </w:r>
      <w:r>
        <w:rPr>
          <w:sz w:val="20"/>
          <w:szCs w:val="20"/>
          <w:color w:val="auto"/>
        </w:rPr>
        <w:tab/>
      </w: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3265170</wp:posOffset>
            </wp:positionH>
            <wp:positionV relativeFrom="paragraph">
              <wp:posOffset>14605</wp:posOffset>
            </wp:positionV>
            <wp:extent cx="4889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8950"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14605</wp:posOffset>
            </wp:positionV>
            <wp:extent cx="7200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80" w:space="520"/>
            <w:col w:w="6020"/>
          </w:cols>
          <w:pgMar w:left="240" w:top="792" w:right="239" w:bottom="1440" w:gutter="0" w:footer="0" w:header="0"/>
          <w:type w:val="continuous"/>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840" w:type="dxa"/>
            <w:vAlign w:val="bottom"/>
            <w:gridSpan w:val="2"/>
            <w:shd w:val="clear" w:color="auto" w:fill="F0FF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20"/>
                <w:szCs w:val="20"/>
                <w:color w:val="auto"/>
              </w:rPr>
            </w:pPr>
          </w:p>
        </w:tc>
        <w:tc>
          <w:tcPr>
            <w:tcW w:w="560" w:type="dxa"/>
            <w:vAlign w:val="bottom"/>
            <w:shd w:val="clear" w:color="auto" w:fill="F0FF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spacing w:after="0"/>
              <w:rPr>
                <w:sz w:val="20"/>
                <w:szCs w:val="20"/>
                <w:color w:val="auto"/>
              </w:rPr>
            </w:pPr>
          </w:p>
        </w:tc>
        <w:tc>
          <w:tcPr>
            <w:tcW w:w="300" w:type="dxa"/>
            <w:vAlign w:val="bottom"/>
            <w:shd w:val="clear" w:color="auto" w:fill="F0FF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shd w:val="clear" w:color="auto" w:fill="F0FF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F0FFFF"/>
          </w:tcPr>
          <w:p>
            <w:pPr>
              <w:spacing w:after="0"/>
              <w:rPr>
                <w:sz w:val="20"/>
                <w:szCs w:val="20"/>
                <w:color w:val="auto"/>
              </w:rPr>
            </w:pP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gridSpan w:val="2"/>
            <w:shd w:val="clear" w:color="auto" w:fill="F0FF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22"/>
                <w:szCs w:val="22"/>
                <w:color w:val="auto"/>
              </w:rPr>
            </w:pPr>
          </w:p>
        </w:tc>
        <w:tc>
          <w:tcPr>
            <w:tcW w:w="560" w:type="dxa"/>
            <w:vAlign w:val="bottom"/>
            <w:shd w:val="clear" w:color="auto" w:fill="F0FF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spacing w:after="0"/>
              <w:rPr>
                <w:sz w:val="22"/>
                <w:szCs w:val="22"/>
                <w:color w:val="auto"/>
              </w:rPr>
            </w:pPr>
          </w:p>
        </w:tc>
        <w:tc>
          <w:tcPr>
            <w:tcW w:w="300" w:type="dxa"/>
            <w:vAlign w:val="bottom"/>
            <w:shd w:val="clear" w:color="auto" w:fill="F0FF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shd w:val="clear" w:color="auto" w:fill="F0FF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F0FFFF"/>
          </w:tcPr>
          <w:p>
            <w:pPr>
              <w:spacing w:after="0"/>
              <w:rPr>
                <w:sz w:val="22"/>
                <w:szCs w:val="22"/>
                <w:color w:val="auto"/>
              </w:rPr>
            </w:pP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120" w:type="dxa"/>
            <w:vAlign w:val="bottom"/>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Gross amount of recognized liabilities for repurchase agreements in</w:t>
            </w:r>
          </w:p>
        </w:tc>
        <w:tc>
          <w:tcPr>
            <w:tcW w:w="26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5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1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offsetting disclosure</w:t>
            </w:r>
          </w:p>
        </w:tc>
        <w:tc>
          <w:tcPr>
            <w:tcW w:w="260" w:type="dxa"/>
            <w:vAlign w:val="bottom"/>
            <w:shd w:val="clear" w:color="auto" w:fill="F0FFFF"/>
          </w:tcPr>
          <w:p>
            <w:pPr>
              <w:spacing w:after="0"/>
              <w:rPr>
                <w:sz w:val="24"/>
                <w:szCs w:val="24"/>
                <w:color w:val="auto"/>
              </w:rPr>
            </w:pPr>
          </w:p>
        </w:tc>
        <w:tc>
          <w:tcPr>
            <w:tcW w:w="580" w:type="dxa"/>
            <w:vAlign w:val="bottom"/>
            <w:shd w:val="clear" w:color="auto" w:fill="F0FFFF"/>
          </w:tcPr>
          <w:p>
            <w:pPr>
              <w:spacing w:after="0"/>
              <w:rPr>
                <w:sz w:val="24"/>
                <w:szCs w:val="24"/>
                <w:color w:val="auto"/>
              </w:rPr>
            </w:pPr>
          </w:p>
        </w:tc>
        <w:tc>
          <w:tcPr>
            <w:tcW w:w="56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560" w:type="dxa"/>
            <w:vAlign w:val="bottom"/>
            <w:shd w:val="clear" w:color="auto" w:fill="F0FFFF"/>
          </w:tcPr>
          <w:p>
            <w:pPr>
              <w:spacing w:after="0"/>
              <w:rPr>
                <w:sz w:val="24"/>
                <w:szCs w:val="24"/>
                <w:color w:val="auto"/>
              </w:rPr>
            </w:pPr>
          </w:p>
        </w:tc>
        <w:tc>
          <w:tcPr>
            <w:tcW w:w="52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30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78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F0FFFF"/>
              <w:bottom w:val="single" w:sz="8" w:color="F0FFFF"/>
            </w:tcBorders>
            <w:vMerge w:val="restart"/>
          </w:tcPr>
          <w:p>
            <w:pPr>
              <w:spacing w:after="0"/>
              <w:rPr>
                <w:sz w:val="20"/>
                <w:szCs w:val="20"/>
                <w:color w:val="auto"/>
              </w:rPr>
            </w:pPr>
            <w:r>
              <w:rPr>
                <w:rFonts w:ascii="Times New Roman" w:cs="Times New Roman" w:eastAsia="Times New Roman" w:hAnsi="Times New Roman"/>
                <w:sz w:val="18"/>
                <w:szCs w:val="18"/>
                <w:color w:val="auto"/>
              </w:rPr>
              <w:t>Amounts related to agreements not included in offsetting disclosure</w:t>
            </w:r>
          </w:p>
        </w:tc>
        <w:tc>
          <w:tcPr>
            <w:tcW w:w="260" w:type="dxa"/>
            <w:vAlign w:val="bottom"/>
            <w:tcBorders>
              <w:top w:val="single" w:sz="8" w:color="F0FFFF"/>
            </w:tcBorders>
          </w:tcPr>
          <w:p>
            <w:pPr>
              <w:spacing w:after="0" w:line="20" w:lineRule="exact"/>
              <w:rPr>
                <w:sz w:val="1"/>
                <w:szCs w:val="1"/>
                <w:color w:val="auto"/>
              </w:rPr>
            </w:pPr>
          </w:p>
        </w:tc>
        <w:tc>
          <w:tcPr>
            <w:tcW w:w="580" w:type="dxa"/>
            <w:vAlign w:val="bottom"/>
            <w:tcBorders>
              <w:top w:val="single" w:sz="8" w:color="F0FFFF"/>
            </w:tcBorders>
          </w:tcPr>
          <w:p>
            <w:pPr>
              <w:spacing w:after="0" w:line="20" w:lineRule="exact"/>
              <w:rPr>
                <w:sz w:val="1"/>
                <w:szCs w:val="1"/>
                <w:color w:val="auto"/>
              </w:rPr>
            </w:pPr>
          </w:p>
        </w:tc>
        <w:tc>
          <w:tcPr>
            <w:tcW w:w="56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560" w:type="dxa"/>
            <w:vAlign w:val="bottom"/>
            <w:tcBorders>
              <w:top w:val="single" w:sz="8" w:color="F0FFFF"/>
            </w:tcBorders>
          </w:tcPr>
          <w:p>
            <w:pPr>
              <w:spacing w:after="0" w:line="20" w:lineRule="exact"/>
              <w:rPr>
                <w:sz w:val="1"/>
                <w:szCs w:val="1"/>
                <w:color w:val="auto"/>
              </w:rPr>
            </w:pPr>
          </w:p>
        </w:tc>
        <w:tc>
          <w:tcPr>
            <w:tcW w:w="5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tcBorders>
          </w:tcPr>
          <w:p>
            <w:pPr>
              <w:spacing w:after="0" w:line="20" w:lineRule="exact"/>
              <w:rPr>
                <w:sz w:val="1"/>
                <w:szCs w:val="1"/>
                <w:color w:val="auto"/>
              </w:rPr>
            </w:pPr>
          </w:p>
        </w:tc>
        <w:tc>
          <w:tcPr>
            <w:tcW w:w="7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is obligated to promptly transfer additional securities if the market value of the securities falls below the repurchase agreement price. United manages this risk by maintaining an unpledged securities portfolio that it believes is sufficient to cover a decline in the market value of the securities sold under agreements to repurchase.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amortized cost basis, unrealized gains and losses and fair value of securities held-to-maturity as of the dates indicated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79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 of March 31, 2017</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State and political subdivisions</w:t>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 xml:space="preserve">Mortgage-backed securities </w:t>
      </w:r>
      <w:r>
        <w:rPr>
          <w:rFonts w:ascii="Times New Roman" w:cs="Times New Roman" w:eastAsia="Times New Roman" w:hAnsi="Times New Roman"/>
          <w:sz w:val="28"/>
          <w:szCs w:val="28"/>
          <w:color w:val="auto"/>
          <w:vertAlign w:val="superscript"/>
        </w:rPr>
        <w:t>(1)</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As of December 31, 2016</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6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45"/>
        </w:trPr>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432"/>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56,625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58,634</w:t>
            </w:r>
          </w:p>
        </w:tc>
      </w:tr>
      <w:tr>
        <w:trPr>
          <w:trHeight w:val="277"/>
        </w:trPr>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273,367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274,398</w:t>
            </w:r>
          </w:p>
        </w:tc>
      </w:tr>
      <w:tr>
        <w:trPr>
          <w:trHeight w:val="459"/>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329,992</w:t>
            </w:r>
          </w:p>
        </w:tc>
        <w:tc>
          <w:tcPr>
            <w:tcW w:w="12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2,965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333,032</w:t>
            </w:r>
          </w:p>
        </w:tc>
      </w:tr>
      <w:tr>
        <w:trPr>
          <w:trHeight w:val="21"/>
        </w:trPr>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-650875</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-334010</wp:posOffset>
            </wp:positionV>
            <wp:extent cx="72466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-16510</wp:posOffset>
            </wp:positionV>
            <wp:extent cx="72466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51" w:lineRule="exact"/>
        <w:rPr>
          <w:sz w:val="20"/>
          <w:szCs w:val="20"/>
          <w:color w:val="auto"/>
        </w:rPr>
      </w:pPr>
    </w:p>
    <w:p>
      <w:pPr>
        <w:sectPr>
          <w:pgSz w:w="11900" w:h="16838" w:orient="portrait"/>
          <w:cols w:equalWidth="0" w:num="2">
            <w:col w:w="4900" w:space="720"/>
            <w:col w:w="5800"/>
          </w:cols>
          <w:pgMar w:left="240" w:top="792"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62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48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46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57,134</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2,197</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59,082</w:t>
            </w:r>
          </w:p>
        </w:tc>
      </w:tr>
      <w:tr>
        <w:trPr>
          <w:trHeight w:val="277"/>
        </w:trPr>
        <w:tc>
          <w:tcPr>
            <w:tcW w:w="5620" w:type="dxa"/>
            <w:vAlign w:val="bottom"/>
            <w:shd w:val="clear" w:color="auto" w:fill="F0FFFF"/>
          </w:tcPr>
          <w:p>
            <w:pPr>
              <w:ind w:left="180"/>
              <w:spacing w:after="0" w:line="269" w:lineRule="exact"/>
              <w:rPr>
                <w:sz w:val="20"/>
                <w:szCs w:val="20"/>
                <w:color w:val="auto"/>
              </w:rPr>
            </w:pPr>
            <w:r>
              <w:rPr>
                <w:rFonts w:ascii="Times New Roman" w:cs="Times New Roman" w:eastAsia="Times New Roman" w:hAnsi="Times New Roman"/>
                <w:sz w:val="18"/>
                <w:szCs w:val="18"/>
                <w:color w:val="auto"/>
              </w:rPr>
              <w:t xml:space="preserve">Mortgage-backed securities </w:t>
            </w:r>
            <w:r>
              <w:rPr>
                <w:rFonts w:ascii="Times New Roman" w:cs="Times New Roman" w:eastAsia="Times New Roman" w:hAnsi="Times New Roman"/>
                <w:sz w:val="30"/>
                <w:szCs w:val="30"/>
                <w:color w:val="auto"/>
                <w:vertAlign w:val="superscript"/>
              </w:rPr>
              <w:t>(1)</w:t>
            </w:r>
          </w:p>
        </w:tc>
        <w:tc>
          <w:tcPr>
            <w:tcW w:w="380" w:type="dxa"/>
            <w:vAlign w:val="bottom"/>
            <w:shd w:val="clear" w:color="auto" w:fill="F0FFFF"/>
          </w:tcPr>
          <w:p>
            <w:pPr>
              <w:spacing w:after="0"/>
              <w:rPr>
                <w:sz w:val="24"/>
                <w:szCs w:val="24"/>
                <w:color w:val="auto"/>
              </w:rPr>
            </w:pP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272,709</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480" w:type="dxa"/>
            <w:vAlign w:val="bottom"/>
            <w:shd w:val="clear" w:color="auto" w:fill="F0FFFF"/>
          </w:tcPr>
          <w:p>
            <w:pPr>
              <w:spacing w:after="0"/>
              <w:rPr>
                <w:sz w:val="24"/>
                <w:szCs w:val="24"/>
                <w:color w:val="auto"/>
              </w:rPr>
            </w:pPr>
          </w:p>
        </w:tc>
        <w:tc>
          <w:tcPr>
            <w:tcW w:w="9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4,035</w:t>
            </w:r>
          </w:p>
        </w:tc>
        <w:tc>
          <w:tcPr>
            <w:tcW w:w="120" w:type="dxa"/>
            <w:vAlign w:val="bottom"/>
            <w:shd w:val="clear" w:color="auto" w:fill="F0FFFF"/>
          </w:tcPr>
          <w:p>
            <w:pPr>
              <w:spacing w:after="0"/>
              <w:rPr>
                <w:sz w:val="24"/>
                <w:szCs w:val="24"/>
                <w:color w:val="auto"/>
              </w:rPr>
            </w:pPr>
          </w:p>
        </w:tc>
        <w:tc>
          <w:tcPr>
            <w:tcW w:w="460" w:type="dxa"/>
            <w:vAlign w:val="bottom"/>
            <w:shd w:val="clear" w:color="auto" w:fill="F0FFFF"/>
          </w:tcPr>
          <w:p>
            <w:pPr>
              <w:spacing w:after="0"/>
              <w:rPr>
                <w:sz w:val="24"/>
                <w:szCs w:val="24"/>
                <w:color w:val="auto"/>
              </w:rPr>
            </w:pPr>
          </w:p>
        </w:tc>
        <w:tc>
          <w:tcPr>
            <w:tcW w:w="8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shd w:val="clear" w:color="auto" w:fill="F0FFFF"/>
          </w:tcPr>
          <w:p>
            <w:pPr>
              <w:spacing w:after="0"/>
              <w:rPr>
                <w:sz w:val="24"/>
                <w:szCs w:val="24"/>
                <w:color w:val="auto"/>
              </w:rPr>
            </w:pPr>
          </w:p>
        </w:tc>
        <w:tc>
          <w:tcPr>
            <w:tcW w:w="380" w:type="dxa"/>
            <w:vAlign w:val="bottom"/>
            <w:shd w:val="clear" w:color="auto" w:fill="F0FFFF"/>
          </w:tcPr>
          <w:p>
            <w:pPr>
              <w:spacing w:after="0"/>
              <w:rPr>
                <w:sz w:val="24"/>
                <w:szCs w:val="24"/>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274,088</w:t>
            </w:r>
          </w:p>
        </w:tc>
      </w:tr>
      <w:tr>
        <w:trPr>
          <w:trHeight w:val="216"/>
        </w:trPr>
        <w:tc>
          <w:tcPr>
            <w:tcW w:w="5620" w:type="dxa"/>
            <w:vAlign w:val="bottom"/>
            <w:tcBorders>
              <w:top w:val="single" w:sz="8" w:color="F0FF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r>
      <w:tr>
        <w:trPr>
          <w:trHeight w:val="263"/>
        </w:trPr>
        <w:tc>
          <w:tcPr>
            <w:tcW w:w="5620" w:type="dxa"/>
            <w:vAlign w:val="bottom"/>
            <w:shd w:val="clear" w:color="auto" w:fill="F0FF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F0FF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329,843</w:t>
            </w:r>
          </w:p>
        </w:tc>
        <w:tc>
          <w:tcPr>
            <w:tcW w:w="120" w:type="dxa"/>
            <w:vAlign w:val="bottom"/>
            <w:shd w:val="clear" w:color="auto" w:fill="F0FFFF"/>
          </w:tcPr>
          <w:p>
            <w:pPr>
              <w:spacing w:after="0"/>
              <w:rPr>
                <w:sz w:val="22"/>
                <w:szCs w:val="22"/>
                <w:color w:val="auto"/>
              </w:rPr>
            </w:pPr>
          </w:p>
        </w:tc>
        <w:tc>
          <w:tcPr>
            <w:tcW w:w="600" w:type="dxa"/>
            <w:vAlign w:val="bottom"/>
            <w:gridSpan w:val="2"/>
            <w:shd w:val="clear" w:color="auto" w:fill="F0FF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6,232</w:t>
            </w:r>
          </w:p>
        </w:tc>
        <w:tc>
          <w:tcPr>
            <w:tcW w:w="580" w:type="dxa"/>
            <w:vAlign w:val="bottom"/>
            <w:gridSpan w:val="2"/>
            <w:shd w:val="clear" w:color="auto" w:fill="F0FF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2,905</w:t>
            </w:r>
          </w:p>
        </w:tc>
        <w:tc>
          <w:tcPr>
            <w:tcW w:w="480" w:type="dxa"/>
            <w:vAlign w:val="bottom"/>
            <w:gridSpan w:val="2"/>
            <w:shd w:val="clear" w:color="auto" w:fill="F0FF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333,170</w:t>
            </w:r>
          </w:p>
        </w:tc>
      </w:tr>
      <w:tr>
        <w:trPr>
          <w:trHeight w:val="20"/>
        </w:trPr>
        <w:tc>
          <w:tcPr>
            <w:tcW w:w="5620" w:type="dxa"/>
            <w:vAlign w:val="bottom"/>
            <w:tcBorders>
              <w:top w:val="single" w:sz="8" w:color="F0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238" w:lineRule="exact"/>
        <w:rPr>
          <w:sz w:val="20"/>
          <w:szCs w:val="20"/>
          <w:color w:val="auto"/>
        </w:rPr>
      </w:pPr>
    </w:p>
    <w:p>
      <w:pPr>
        <w:ind w:left="5640" w:right="2560" w:hanging="5632"/>
        <w:spacing w:after="0" w:line="511" w:lineRule="auto"/>
        <w:tabs>
          <w:tab w:leader="none" w:pos="234"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All are residential type mortgage-backed securities or U.S. government agency commercial mortgage backed securities.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cost basis, unrealized gains and losses, and fair value of securities available-for-sale as of the dates indicated are presented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As of March 31, 2017</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84"/>
        </w:trPr>
        <w:tc>
          <w:tcPr>
            <w:tcW w:w="3720" w:type="dxa"/>
            <w:vAlign w:val="bottom"/>
            <w:gridSpan w:val="4"/>
            <w:vMerge w:val="continue"/>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30"/>
              <w:spacing w:after="0" w:line="164" w:lineRule="exact"/>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30"/>
              <w:spacing w:after="0" w:line="164" w:lineRule="exact"/>
              <w:rPr>
                <w:sz w:val="20"/>
                <w:szCs w:val="20"/>
                <w:color w:val="auto"/>
              </w:rPr>
            </w:pPr>
            <w:r>
              <w:rPr>
                <w:rFonts w:ascii="Times New Roman" w:cs="Times New Roman" w:eastAsia="Times New Roman" w:hAnsi="Times New Roman"/>
                <w:sz w:val="18"/>
                <w:szCs w:val="18"/>
                <w:b w:val="1"/>
                <w:bCs w:val="1"/>
                <w:color w:val="auto"/>
                <w:w w:val="97"/>
              </w:rPr>
              <w:t>Gains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0"/>
              <w:spacing w:after="0" w:line="164"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320"/>
              <w:spacing w:after="0" w:line="164" w:lineRule="exact"/>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41"/>
        </w:trPr>
        <w:tc>
          <w:tcPr>
            <w:tcW w:w="2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U.S. Treasuries</w:t>
            </w:r>
          </w:p>
        </w:tc>
        <w:tc>
          <w:tcPr>
            <w:tcW w:w="144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170,328</w:t>
            </w:r>
          </w:p>
        </w:tc>
        <w:tc>
          <w:tcPr>
            <w:tcW w:w="3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4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169,927</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U.S. Government agencies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83,761</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83,724</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00" w:type="dxa"/>
            <w:vAlign w:val="bottom"/>
            <w:gridSpan w:val="3"/>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Mortgage-backed securities </w:t>
            </w:r>
            <w:r>
              <w:rPr>
                <w:rFonts w:ascii="Times New Roman" w:cs="Times New Roman" w:eastAsia="Times New Roman" w:hAnsi="Times New Roman"/>
                <w:sz w:val="29"/>
                <w:szCs w:val="29"/>
                <w:color w:val="auto"/>
                <w:vertAlign w:val="superscript"/>
              </w:rPr>
              <w:t>(1)</w:t>
            </w: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1,383,498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9,291</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1,380,360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1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306,405</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306,531</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tcBorders>
              <w:bottom w:val="single" w:sz="8" w:color="F0FFFF"/>
            </w:tcBorders>
            <w:gridSpan w:val="3"/>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spacing w:after="0"/>
              <w:rPr>
                <w:sz w:val="20"/>
                <w:szCs w:val="20"/>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spacing w:after="0"/>
              <w:rPr>
                <w:sz w:val="20"/>
                <w:szCs w:val="20"/>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spacing w:after="0"/>
              <w:rPr>
                <w:sz w:val="20"/>
                <w:szCs w:val="20"/>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spacing w:after="0"/>
              <w:rPr>
                <w:sz w:val="20"/>
                <w:szCs w:val="20"/>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00" w:type="dxa"/>
            <w:vAlign w:val="bottom"/>
            <w:gridSpan w:val="3"/>
            <w:shd w:val="clear" w:color="auto" w:fill="F0FF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2,437,907</w:t>
            </w:r>
          </w:p>
        </w:tc>
        <w:tc>
          <w:tcPr>
            <w:tcW w:w="3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13,898</w:t>
            </w:r>
          </w:p>
        </w:tc>
        <w:tc>
          <w:tcPr>
            <w:tcW w:w="3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15,214</w:t>
            </w:r>
          </w:p>
        </w:tc>
        <w:tc>
          <w:tcPr>
            <w:tcW w:w="4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2,436,591</w:t>
            </w:r>
          </w:p>
        </w:tc>
        <w:tc>
          <w:tcPr>
            <w:tcW w:w="10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860" w:type="dxa"/>
            <w:vAlign w:val="bottom"/>
            <w:tcBorders>
              <w:top w:val="single" w:sz="8" w:color="F0FFFF"/>
            </w:tcBorders>
          </w:tcPr>
          <w:p>
            <w:pPr>
              <w:spacing w:after="0" w:line="20" w:lineRule="exact"/>
              <w:rPr>
                <w:sz w:val="1"/>
                <w:szCs w:val="1"/>
                <w:color w:val="auto"/>
              </w:rPr>
            </w:pPr>
          </w:p>
        </w:tc>
        <w:tc>
          <w:tcPr>
            <w:tcW w:w="13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00" w:type="dxa"/>
            <w:vAlign w:val="bottom"/>
            <w:gridSpan w:val="3"/>
            <w:shd w:val="clear" w:color="auto" w:fill="F0FFFF"/>
          </w:tcPr>
          <w:p>
            <w:pPr>
              <w:spacing w:after="0" w:line="176" w:lineRule="exact"/>
              <w:rPr>
                <w:sz w:val="20"/>
                <w:szCs w:val="20"/>
                <w:color w:val="auto"/>
              </w:rPr>
            </w:pPr>
            <w:r>
              <w:rPr>
                <w:rFonts w:ascii="Times New Roman" w:cs="Times New Roman" w:eastAsia="Times New Roman" w:hAnsi="Times New Roman"/>
                <w:sz w:val="18"/>
                <w:szCs w:val="18"/>
                <w:color w:val="auto"/>
              </w:rPr>
              <w:t>As of December 31, 2016</w:t>
            </w:r>
          </w:p>
        </w:tc>
        <w:tc>
          <w:tcPr>
            <w:tcW w:w="13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60" w:type="dxa"/>
            <w:vAlign w:val="bottom"/>
            <w:tcBorders>
              <w:top w:val="single" w:sz="8" w:color="F0FFFF"/>
            </w:tcBorders>
          </w:tcPr>
          <w:p>
            <w:pPr>
              <w:spacing w:after="0"/>
              <w:rPr>
                <w:sz w:val="18"/>
                <w:szCs w:val="18"/>
                <w:color w:val="auto"/>
              </w:rPr>
            </w:pPr>
          </w:p>
        </w:tc>
        <w:tc>
          <w:tcPr>
            <w:tcW w:w="13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4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9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U.S. Treasuries</w:t>
            </w:r>
          </w:p>
        </w:tc>
        <w:tc>
          <w:tcPr>
            <w:tcW w:w="144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170,360</w:t>
            </w:r>
          </w:p>
        </w:tc>
        <w:tc>
          <w:tcPr>
            <w:tcW w:w="3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4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169,616</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U.S. Government agencies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74,555</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74,177</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00" w:type="dxa"/>
            <w:vAlign w:val="bottom"/>
            <w:gridSpan w:val="3"/>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Mortgage-backed securities </w:t>
            </w:r>
            <w:r>
              <w:rPr>
                <w:rFonts w:ascii="Times New Roman" w:cs="Times New Roman" w:eastAsia="Times New Roman" w:hAnsi="Times New Roman"/>
                <w:sz w:val="29"/>
                <w:szCs w:val="29"/>
                <w:color w:val="auto"/>
                <w:vertAlign w:val="superscript"/>
              </w:rPr>
              <w:t>(1)</w:t>
            </w: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1,397,435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8,924</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14,677</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1,391,682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1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306,824</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305,392</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tcBorders>
              <w:bottom w:val="single" w:sz="8" w:color="F0FFFF"/>
            </w:tcBorders>
            <w:gridSpan w:val="3"/>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spacing w:after="0"/>
              <w:rPr>
                <w:sz w:val="20"/>
                <w:szCs w:val="20"/>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spacing w:after="0"/>
              <w:rPr>
                <w:sz w:val="20"/>
                <w:szCs w:val="20"/>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spacing w:after="0"/>
              <w:rPr>
                <w:sz w:val="20"/>
                <w:szCs w:val="20"/>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spacing w:after="0"/>
              <w:rPr>
                <w:sz w:val="20"/>
                <w:szCs w:val="20"/>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00" w:type="dxa"/>
            <w:vAlign w:val="bottom"/>
            <w:gridSpan w:val="3"/>
            <w:shd w:val="clear" w:color="auto" w:fill="F0FF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2,440,151</w:t>
            </w:r>
          </w:p>
        </w:tc>
        <w:tc>
          <w:tcPr>
            <w:tcW w:w="3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12,515</w:t>
            </w:r>
          </w:p>
        </w:tc>
        <w:tc>
          <w:tcPr>
            <w:tcW w:w="3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20,228</w:t>
            </w:r>
          </w:p>
        </w:tc>
        <w:tc>
          <w:tcPr>
            <w:tcW w:w="4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2,432,438</w:t>
            </w:r>
          </w:p>
        </w:tc>
        <w:tc>
          <w:tcPr>
            <w:tcW w:w="10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860" w:type="dxa"/>
            <w:vAlign w:val="bottom"/>
            <w:tcBorders>
              <w:top w:val="single" w:sz="8" w:color="F0FFFF"/>
            </w:tcBorders>
          </w:tcPr>
          <w:p>
            <w:pPr>
              <w:spacing w:after="0" w:line="20" w:lineRule="exact"/>
              <w:rPr>
                <w:sz w:val="1"/>
                <w:szCs w:val="1"/>
                <w:color w:val="auto"/>
              </w:rPr>
            </w:pPr>
          </w:p>
        </w:tc>
        <w:tc>
          <w:tcPr>
            <w:tcW w:w="13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All are residential type mortgage-backed securities or U.S. government agency commercial mortgage backed securities.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Securities with a carrying value of $1.40 billion and $1.45 billion were pledged to secure public deposits, derivatives and other secured borrowings at March 31, 2017 and December 31, 2016,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held-to-maturity securities in an unrealized loss position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6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21"/>
                <w:szCs w:val="21"/>
                <w:color w:val="auto"/>
              </w:rPr>
            </w:pPr>
          </w:p>
        </w:tc>
        <w:tc>
          <w:tcPr>
            <w:tcW w:w="2240" w:type="dxa"/>
            <w:vAlign w:val="bottom"/>
            <w:gridSpan w:val="4"/>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3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As of March 31, 2017</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4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40"/>
              <w:spacing w:after="0" w:line="164"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line="164" w:lineRule="exact"/>
              <w:rPr>
                <w:sz w:val="20"/>
                <w:szCs w:val="20"/>
                <w:color w:val="auto"/>
              </w:rPr>
            </w:pPr>
            <w:r>
              <w:rPr>
                <w:rFonts w:ascii="Times New Roman" w:cs="Times New Roman" w:eastAsia="Times New Roman" w:hAnsi="Times New Roman"/>
                <w:sz w:val="18"/>
                <w:szCs w:val="18"/>
                <w:b w:val="1"/>
                <w:bCs w:val="1"/>
                <w:color w:val="auto"/>
              </w:rPr>
              <w:t>Loss</w:t>
            </w:r>
          </w:p>
        </w:tc>
        <w:tc>
          <w:tcPr>
            <w:tcW w:w="140" w:type="dxa"/>
            <w:vAlign w:val="bottom"/>
          </w:tcPr>
          <w:p>
            <w:pPr>
              <w:spacing w:after="0"/>
              <w:rPr>
                <w:sz w:val="16"/>
                <w:szCs w:val="16"/>
                <w:color w:val="auto"/>
              </w:rPr>
            </w:pPr>
          </w:p>
        </w:tc>
        <w:tc>
          <w:tcPr>
            <w:tcW w:w="1100" w:type="dxa"/>
            <w:vAlign w:val="bottom"/>
            <w:gridSpan w:val="2"/>
          </w:tcPr>
          <w:p>
            <w:pPr>
              <w:jc w:val="right"/>
              <w:ind w:right="260"/>
              <w:spacing w:after="0" w:line="164"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16"/>
                <w:szCs w:val="16"/>
                <w:color w:val="auto"/>
              </w:rPr>
            </w:pPr>
          </w:p>
        </w:tc>
        <w:tc>
          <w:tcPr>
            <w:tcW w:w="1020" w:type="dxa"/>
            <w:vAlign w:val="bottom"/>
          </w:tcPr>
          <w:p>
            <w:pPr>
              <w:jc w:val="right"/>
              <w:ind w:right="192"/>
              <w:spacing w:after="0" w:line="164" w:lineRule="exact"/>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60"/>
              <w:spacing w:after="0" w:line="164"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line="164" w:lineRule="exact"/>
              <w:rPr>
                <w:sz w:val="20"/>
                <w:szCs w:val="20"/>
                <w:color w:val="auto"/>
              </w:rPr>
            </w:pPr>
            <w:r>
              <w:rPr>
                <w:rFonts w:ascii="Times New Roman" w:cs="Times New Roman" w:eastAsia="Times New Roman" w:hAnsi="Times New Roman"/>
                <w:sz w:val="18"/>
                <w:szCs w:val="18"/>
                <w:b w:val="1"/>
                <w:bCs w:val="1"/>
                <w:color w:val="auto"/>
              </w:rPr>
              <w:t>Loss</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8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16,426</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F0FF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16,426</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146,280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2,744</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146,280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2,744</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32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unrealized loss position</w:t>
            </w: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162,706</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20" w:type="dxa"/>
            <w:vAlign w:val="bottom"/>
            <w:tcBorders>
              <w:top w:val="single" w:sz="8" w:color="auto"/>
              <w:bottom w:val="single" w:sz="8" w:color="auto"/>
            </w:tcBorders>
            <w:shd w:val="clear" w:color="auto" w:fill="F0FFFF"/>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162,706</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4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20" w:type="dxa"/>
            <w:vAlign w:val="bottom"/>
            <w:gridSpan w:val="3"/>
            <w:shd w:val="clear" w:color="auto" w:fill="F0FFFF"/>
          </w:tcPr>
          <w:p>
            <w:pPr>
              <w:spacing w:after="0" w:line="176" w:lineRule="exact"/>
              <w:rPr>
                <w:sz w:val="20"/>
                <w:szCs w:val="20"/>
                <w:color w:val="auto"/>
              </w:rPr>
            </w:pPr>
            <w:r>
              <w:rPr>
                <w:rFonts w:ascii="Times New Roman" w:cs="Times New Roman" w:eastAsia="Times New Roman" w:hAnsi="Times New Roman"/>
                <w:sz w:val="18"/>
                <w:szCs w:val="18"/>
                <w:color w:val="auto"/>
              </w:rPr>
              <w:t>As of December 31, 2016</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18,359</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F0FF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18,359</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118,164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2,656</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118,164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2,656</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32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unrealized loss position</w:t>
            </w: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136,523</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20" w:type="dxa"/>
            <w:vAlign w:val="bottom"/>
            <w:tcBorders>
              <w:top w:val="single" w:sz="8" w:color="auto"/>
              <w:bottom w:val="single" w:sz="8" w:color="auto"/>
            </w:tcBorders>
            <w:shd w:val="clear" w:color="auto" w:fill="F0FFFF"/>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136,523</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4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0" w:type="dxa"/>
            <w:vAlign w:val="bottom"/>
          </w:tcPr>
          <w:p>
            <w:pPr>
              <w:spacing w:after="0"/>
              <w:rPr>
                <w:sz w:val="24"/>
                <w:szCs w:val="24"/>
                <w:color w:val="auto"/>
              </w:rPr>
            </w:pPr>
          </w:p>
        </w:tc>
        <w:tc>
          <w:tcPr>
            <w:tcW w:w="158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4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0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available-for-sale securities in an unrealized loss position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24"/>
                <w:szCs w:val="24"/>
                <w:color w:val="auto"/>
              </w:rPr>
            </w:pPr>
          </w:p>
        </w:tc>
        <w:tc>
          <w:tcPr>
            <w:tcW w:w="256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140" w:type="dxa"/>
            <w:vAlign w:val="bottom"/>
          </w:tcPr>
          <w:p>
            <w:pPr>
              <w:spacing w:after="0"/>
              <w:rPr>
                <w:sz w:val="24"/>
                <w:szCs w:val="24"/>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3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As of March 31, 2017</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4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40"/>
              <w:spacing w:after="0" w:line="164"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line="164" w:lineRule="exact"/>
              <w:rPr>
                <w:sz w:val="20"/>
                <w:szCs w:val="20"/>
                <w:color w:val="auto"/>
              </w:rPr>
            </w:pPr>
            <w:r>
              <w:rPr>
                <w:rFonts w:ascii="Times New Roman" w:cs="Times New Roman" w:eastAsia="Times New Roman" w:hAnsi="Times New Roman"/>
                <w:sz w:val="18"/>
                <w:szCs w:val="18"/>
                <w:b w:val="1"/>
                <w:bCs w:val="1"/>
                <w:color w:val="auto"/>
              </w:rPr>
              <w:t>Loss</w:t>
            </w:r>
          </w:p>
        </w:tc>
        <w:tc>
          <w:tcPr>
            <w:tcW w:w="140" w:type="dxa"/>
            <w:vAlign w:val="bottom"/>
          </w:tcPr>
          <w:p>
            <w:pPr>
              <w:spacing w:after="0"/>
              <w:rPr>
                <w:sz w:val="16"/>
                <w:szCs w:val="16"/>
                <w:color w:val="auto"/>
              </w:rPr>
            </w:pPr>
          </w:p>
        </w:tc>
        <w:tc>
          <w:tcPr>
            <w:tcW w:w="1100" w:type="dxa"/>
            <w:vAlign w:val="bottom"/>
            <w:gridSpan w:val="2"/>
          </w:tcPr>
          <w:p>
            <w:pPr>
              <w:jc w:val="right"/>
              <w:ind w:right="260"/>
              <w:spacing w:after="0" w:line="164"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64" w:lineRule="exact"/>
              <w:rPr>
                <w:sz w:val="20"/>
                <w:szCs w:val="20"/>
                <w:color w:val="auto"/>
              </w:rPr>
            </w:pPr>
            <w:r>
              <w:rPr>
                <w:rFonts w:ascii="Times New Roman" w:cs="Times New Roman" w:eastAsia="Times New Roman" w:hAnsi="Times New Roman"/>
                <w:sz w:val="18"/>
                <w:szCs w:val="18"/>
                <w:b w:val="1"/>
                <w:bCs w:val="1"/>
                <w:color w:val="auto"/>
              </w:rPr>
              <w:t>Loss</w:t>
            </w:r>
          </w:p>
        </w:tc>
        <w:tc>
          <w:tcPr>
            <w:tcW w:w="140" w:type="dxa"/>
            <w:vAlign w:val="bottom"/>
          </w:tcPr>
          <w:p>
            <w:pPr>
              <w:spacing w:after="0"/>
              <w:rPr>
                <w:sz w:val="16"/>
                <w:szCs w:val="16"/>
                <w:color w:val="auto"/>
              </w:rPr>
            </w:pPr>
          </w:p>
        </w:tc>
        <w:tc>
          <w:tcPr>
            <w:tcW w:w="1100" w:type="dxa"/>
            <w:vAlign w:val="bottom"/>
            <w:gridSpan w:val="2"/>
          </w:tcPr>
          <w:p>
            <w:pPr>
              <w:jc w:val="right"/>
              <w:ind w:right="260"/>
              <w:spacing w:after="0" w:line="164"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line="164" w:lineRule="exact"/>
              <w:rPr>
                <w:sz w:val="20"/>
                <w:szCs w:val="20"/>
                <w:color w:val="auto"/>
              </w:rPr>
            </w:pPr>
            <w:r>
              <w:rPr>
                <w:rFonts w:ascii="Times New Roman" w:cs="Times New Roman" w:eastAsia="Times New Roman" w:hAnsi="Times New Roman"/>
                <w:sz w:val="18"/>
                <w:szCs w:val="18"/>
                <w:b w:val="1"/>
                <w:bCs w:val="1"/>
                <w:color w:val="auto"/>
              </w:rPr>
              <w:t>Loss</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8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145,454</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476</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145,454</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49,383</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50,519</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742,558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11,704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790,395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50,485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793</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15,623</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66,108</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107,914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158,979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32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unrealized loss position</w:t>
            </w: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1,097,590</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13,681</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115,661</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1,213,251</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15,214</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4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20" w:type="dxa"/>
            <w:vAlign w:val="bottom"/>
            <w:gridSpan w:val="3"/>
            <w:shd w:val="clear" w:color="auto" w:fill="F0FFFF"/>
          </w:tcPr>
          <w:p>
            <w:pPr>
              <w:spacing w:after="0" w:line="176" w:lineRule="exact"/>
              <w:rPr>
                <w:sz w:val="20"/>
                <w:szCs w:val="20"/>
                <w:color w:val="auto"/>
              </w:rPr>
            </w:pPr>
            <w:r>
              <w:rPr>
                <w:rFonts w:ascii="Times New Roman" w:cs="Times New Roman" w:eastAsia="Times New Roman" w:hAnsi="Times New Roman"/>
                <w:sz w:val="18"/>
                <w:szCs w:val="18"/>
                <w:color w:val="auto"/>
              </w:rPr>
              <w:t>As of December 31, 2016</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145,229</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764</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145,229</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61,782</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554</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61,782</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810,686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13,952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836,965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228,504</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1,597</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15,574</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244,078</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54,477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115,338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1,431</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169,815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32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unrealized loss position</w:t>
            </w: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1,320,363</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17,646</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157,191</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1,477,554</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20,228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4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2017, there were 150 available-for-sale securities and 43 held-to-maturity securities that were in an unrealized loss position. United does not intend to sell nor believes it will be required to sell securities in an unrealized loss position prior to the recovery of their amortized cost basis. Unrealized losses at March 31, 2017 were primarily attributable to changes in interest rates and spread relationships.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evaluates securities for other-than-temporary impairment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the three months ended March 31, 2017 or 2016.</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Realized gains and losses are derived using the specific identification method for determining the cost of securities sold. The following table summarizes available-for-sale securities sales activity for the three months ended March 31, 2017 and 2016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45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Proceeds from sales</w:t>
            </w:r>
          </w:p>
        </w:tc>
        <w:tc>
          <w:tcPr>
            <w:tcW w:w="4520" w:type="dxa"/>
            <w:vAlign w:val="bottom"/>
            <w:gridSpan w:val="2"/>
            <w:shd w:val="clear" w:color="auto" w:fill="F0FF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24,197</w:t>
            </w:r>
          </w:p>
        </w:tc>
        <w:tc>
          <w:tcPr>
            <w:tcW w:w="4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61,305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F0FFFF"/>
            </w:tcBorders>
          </w:tcPr>
          <w:p>
            <w:pPr>
              <w:spacing w:after="0" w:line="20" w:lineRule="exact"/>
              <w:rPr>
                <w:sz w:val="1"/>
                <w:szCs w:val="1"/>
                <w:color w:val="auto"/>
              </w:rPr>
            </w:pPr>
          </w:p>
        </w:tc>
        <w:tc>
          <w:tcPr>
            <w:tcW w:w="3540" w:type="dxa"/>
            <w:vAlign w:val="bottom"/>
            <w:tcBorders>
              <w:top w:val="single" w:sz="8" w:color="F0FF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5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Gross gains on sales</w:t>
            </w:r>
          </w:p>
        </w:tc>
        <w:tc>
          <w:tcPr>
            <w:tcW w:w="4520" w:type="dxa"/>
            <w:vAlign w:val="bottom"/>
            <w:gridSpan w:val="2"/>
            <w:shd w:val="clear" w:color="auto" w:fill="F0FF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98</w:t>
            </w:r>
          </w:p>
        </w:tc>
        <w:tc>
          <w:tcPr>
            <w:tcW w:w="4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Gross losses on sales</w:t>
            </w:r>
          </w:p>
        </w:tc>
        <w:tc>
          <w:tcPr>
            <w:tcW w:w="3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F0FFFF"/>
            </w:tcBorders>
            <w:shd w:val="clear" w:color="auto" w:fill="F0FFFF"/>
          </w:tcPr>
          <w:p>
            <w:pPr>
              <w:spacing w:after="0"/>
              <w:rPr>
                <w:sz w:val="18"/>
                <w:szCs w:val="18"/>
                <w:color w:val="auto"/>
              </w:rPr>
            </w:pPr>
          </w:p>
        </w:tc>
        <w:tc>
          <w:tcPr>
            <w:tcW w:w="3540" w:type="dxa"/>
            <w:vAlign w:val="bottom"/>
            <w:tcBorders>
              <w:top w:val="single" w:sz="8" w:color="F0FFFF"/>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52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20" w:type="dxa"/>
            <w:vAlign w:val="bottom"/>
            <w:tcBorders>
              <w:top w:val="single" w:sz="8" w:color="auto"/>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(losses) gains on sales of securities</w:t>
            </w:r>
          </w:p>
        </w:tc>
        <w:tc>
          <w:tcPr>
            <w:tcW w:w="45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bottom w:val="single" w:sz="8" w:color="F0FFFF"/>
            </w:tcBorders>
          </w:tcPr>
          <w:p>
            <w:pPr>
              <w:spacing w:after="0" w:line="20" w:lineRule="exact"/>
              <w:rPr>
                <w:sz w:val="1"/>
                <w:szCs w:val="1"/>
                <w:color w:val="auto"/>
              </w:rPr>
            </w:pPr>
          </w:p>
        </w:tc>
        <w:tc>
          <w:tcPr>
            <w:tcW w:w="3540" w:type="dxa"/>
            <w:vAlign w:val="bottom"/>
            <w:tcBorders>
              <w:bottom w:val="single" w:sz="8" w:color="F0FF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F0FFFF"/>
          </w:tcPr>
          <w:p>
            <w:pPr>
              <w:spacing w:after="0"/>
              <w:rPr>
                <w:sz w:val="18"/>
                <w:szCs w:val="18"/>
                <w:color w:val="auto"/>
              </w:rPr>
            </w:pPr>
          </w:p>
        </w:tc>
        <w:tc>
          <w:tcPr>
            <w:tcW w:w="354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5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45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Income tax (benefit) expense attributable to sales</w:t>
            </w:r>
          </w:p>
        </w:tc>
        <w:tc>
          <w:tcPr>
            <w:tcW w:w="4520" w:type="dxa"/>
            <w:vAlign w:val="bottom"/>
            <w:gridSpan w:val="2"/>
            <w:shd w:val="clear" w:color="auto" w:fill="F0FF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F0FFFF"/>
            </w:tcBorders>
          </w:tcPr>
          <w:p>
            <w:pPr>
              <w:spacing w:after="0" w:line="20" w:lineRule="exact"/>
              <w:rPr>
                <w:sz w:val="1"/>
                <w:szCs w:val="1"/>
                <w:color w:val="auto"/>
              </w:rPr>
            </w:pPr>
          </w:p>
        </w:tc>
        <w:tc>
          <w:tcPr>
            <w:tcW w:w="3540" w:type="dxa"/>
            <w:vAlign w:val="bottom"/>
            <w:tcBorders>
              <w:top w:val="single" w:sz="8" w:color="F0FFFF"/>
              <w:bottom w:val="single" w:sz="8" w:color="F0FFFF"/>
            </w:tcBorders>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0" w:type="dxa"/>
            <w:vAlign w:val="bottom"/>
          </w:tcPr>
          <w:p>
            <w:pPr>
              <w:spacing w:after="0"/>
              <w:rPr>
                <w:sz w:val="24"/>
                <w:szCs w:val="24"/>
                <w:color w:val="auto"/>
              </w:rPr>
            </w:pPr>
          </w:p>
        </w:tc>
        <w:tc>
          <w:tcPr>
            <w:tcW w:w="4560" w:type="dxa"/>
            <w:vAlign w:val="bottom"/>
            <w:tcBorders>
              <w:bottom w:val="single" w:sz="8" w:color="DCDCDC"/>
            </w:tcBorders>
          </w:tcPr>
          <w:p>
            <w:pPr>
              <w:spacing w:after="0"/>
              <w:rPr>
                <w:sz w:val="24"/>
                <w:szCs w:val="24"/>
                <w:color w:val="auto"/>
              </w:rPr>
            </w:pPr>
          </w:p>
        </w:tc>
        <w:tc>
          <w:tcPr>
            <w:tcW w:w="3540" w:type="dxa"/>
            <w:vAlign w:val="bottom"/>
            <w:tcBorders>
              <w:bottom w:val="single" w:sz="8" w:color="DCDCDC"/>
            </w:tcBorders>
            <w:vMerge w:val="continue"/>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5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11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amortized cost and fair value of held-to-maturity and available-for-sale securities at March 31, 2017, by contractual maturity, are presented in the following table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6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3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 to 5 years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140,425</w:t>
            </w:r>
          </w:p>
        </w:tc>
        <w:tc>
          <w:tcPr>
            <w:tcW w:w="1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140,267</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5 to 10 years</w:t>
            </w:r>
          </w:p>
        </w:tc>
        <w:tc>
          <w:tcPr>
            <w:tcW w:w="32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29,903</w:t>
            </w: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29,660</w:t>
            </w:r>
          </w:p>
        </w:tc>
        <w:tc>
          <w:tcPr>
            <w:tcW w:w="12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F0FFFF"/>
              <w:bottom w:val="single" w:sz="8" w:color="F0FF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170,328</w:t>
            </w:r>
          </w:p>
        </w:tc>
        <w:tc>
          <w:tcPr>
            <w:tcW w:w="12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169,927</w:t>
            </w:r>
          </w:p>
        </w:tc>
        <w:tc>
          <w:tcPr>
            <w:tcW w:w="10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1 to 5 years</w:t>
            </w:r>
          </w:p>
        </w:tc>
        <w:tc>
          <w:tcPr>
            <w:tcW w:w="3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2,114</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2,121</w:t>
            </w: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 to 10 years</w:t>
            </w: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17,972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More than 10 years</w:t>
            </w:r>
          </w:p>
        </w:tc>
        <w:tc>
          <w:tcPr>
            <w:tcW w:w="320" w:type="dxa"/>
            <w:vAlign w:val="bottom"/>
            <w:shd w:val="clear" w:color="auto" w:fill="F0FFFF"/>
          </w:tcPr>
          <w:p>
            <w:pPr>
              <w:spacing w:after="0"/>
              <w:rPr>
                <w:sz w:val="21"/>
                <w:szCs w:val="21"/>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5,736</w:t>
            </w:r>
          </w:p>
        </w:tc>
        <w:tc>
          <w:tcPr>
            <w:tcW w:w="12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F0FFFF"/>
              <w:bottom w:val="single" w:sz="8" w:color="F0FF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25,580</w:t>
            </w:r>
          </w:p>
        </w:tc>
        <w:tc>
          <w:tcPr>
            <w:tcW w:w="12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25,829</w:t>
            </w:r>
          </w:p>
        </w:tc>
        <w:tc>
          <w:tcPr>
            <w:tcW w:w="10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Within 1 year</w:t>
            </w:r>
          </w:p>
        </w:tc>
        <w:tc>
          <w:tcPr>
            <w:tcW w:w="3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5,239</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 to 5 years</w:t>
            </w: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30,591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5 to 10 years</w:t>
            </w:r>
          </w:p>
        </w:tc>
        <w:tc>
          <w:tcPr>
            <w:tcW w:w="3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23,538</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23,457</w:t>
            </w: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18,535</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20,054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More than 10 years</w:t>
            </w:r>
          </w:p>
        </w:tc>
        <w:tc>
          <w:tcPr>
            <w:tcW w:w="3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29,130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29,139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F0FFFF"/>
              <w:bottom w:val="single" w:sz="8" w:color="F0FFFF"/>
            </w:tcBorders>
            <w:shd w:val="clear" w:color="auto" w:fill="F0FFFF"/>
          </w:tcPr>
          <w:p>
            <w:pPr>
              <w:spacing w:after="0"/>
              <w:rPr>
                <w:sz w:val="19"/>
                <w:szCs w:val="19"/>
                <w:color w:val="auto"/>
              </w:rPr>
            </w:pPr>
          </w:p>
        </w:tc>
        <w:tc>
          <w:tcPr>
            <w:tcW w:w="320" w:type="dxa"/>
            <w:vAlign w:val="bottom"/>
            <w:tcBorders>
              <w:top w:val="single" w:sz="8" w:color="auto"/>
              <w:bottom w:val="single" w:sz="8" w:color="auto"/>
            </w:tcBorders>
            <w:shd w:val="clear" w:color="auto" w:fill="F0FFFF"/>
          </w:tcPr>
          <w:p>
            <w:pPr>
              <w:spacing w:after="0"/>
              <w:rPr>
                <w:sz w:val="19"/>
                <w:szCs w:val="19"/>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83,761</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60" w:type="dxa"/>
            <w:vAlign w:val="bottom"/>
            <w:tcBorders>
              <w:top w:val="single" w:sz="8" w:color="auto"/>
              <w:bottom w:val="single" w:sz="8" w:color="auto"/>
            </w:tcBorders>
            <w:shd w:val="clear" w:color="auto" w:fill="F0FFFF"/>
          </w:tcPr>
          <w:p>
            <w:pPr>
              <w:spacing w:after="0"/>
              <w:rPr>
                <w:sz w:val="19"/>
                <w:szCs w:val="19"/>
                <w:color w:val="auto"/>
              </w:rPr>
            </w:pP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83,724</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360" w:type="dxa"/>
            <w:vAlign w:val="bottom"/>
            <w:tcBorders>
              <w:top w:val="single" w:sz="8" w:color="auto"/>
              <w:bottom w:val="single" w:sz="8" w:color="auto"/>
            </w:tcBorders>
            <w:shd w:val="clear" w:color="auto" w:fill="F0FFFF"/>
          </w:tcPr>
          <w:p>
            <w:pPr>
              <w:spacing w:after="0"/>
              <w:rPr>
                <w:sz w:val="19"/>
                <w:szCs w:val="19"/>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56,625</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60" w:type="dxa"/>
            <w:vAlign w:val="bottom"/>
            <w:tcBorders>
              <w:top w:val="single" w:sz="8" w:color="auto"/>
              <w:bottom w:val="single" w:sz="8" w:color="auto"/>
            </w:tcBorders>
            <w:shd w:val="clear" w:color="auto" w:fill="F0FFFF"/>
          </w:tcPr>
          <w:p>
            <w:pPr>
              <w:spacing w:after="0"/>
              <w:rPr>
                <w:sz w:val="19"/>
                <w:szCs w:val="19"/>
                <w:color w:val="auto"/>
              </w:rPr>
            </w:pP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58,634</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 to 5 years</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259,852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5 to 10 years</w:t>
            </w:r>
          </w:p>
        </w:tc>
        <w:tc>
          <w:tcPr>
            <w:tcW w:w="3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46,476</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46,004</w:t>
            </w: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More than 10 years</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F0FFFF"/>
              <w:bottom w:val="single" w:sz="8" w:color="F0FFFF"/>
            </w:tcBorders>
            <w:shd w:val="clear" w:color="auto" w:fill="F0FFFF"/>
          </w:tcPr>
          <w:p>
            <w:pPr>
              <w:spacing w:after="0"/>
              <w:rPr>
                <w:sz w:val="19"/>
                <w:szCs w:val="19"/>
                <w:color w:val="auto"/>
              </w:rPr>
            </w:pPr>
          </w:p>
        </w:tc>
        <w:tc>
          <w:tcPr>
            <w:tcW w:w="320" w:type="dxa"/>
            <w:vAlign w:val="bottom"/>
            <w:tcBorders>
              <w:top w:val="single" w:sz="8" w:color="auto"/>
              <w:bottom w:val="single" w:sz="8" w:color="auto"/>
            </w:tcBorders>
            <w:shd w:val="clear" w:color="auto" w:fill="F0FFFF"/>
          </w:tcPr>
          <w:p>
            <w:pPr>
              <w:spacing w:after="0"/>
              <w:rPr>
                <w:sz w:val="19"/>
                <w:szCs w:val="19"/>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306,405</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60" w:type="dxa"/>
            <w:vAlign w:val="bottom"/>
            <w:tcBorders>
              <w:top w:val="single" w:sz="8" w:color="auto"/>
              <w:bottom w:val="single" w:sz="8" w:color="auto"/>
            </w:tcBorders>
            <w:shd w:val="clear" w:color="auto" w:fill="F0FFFF"/>
          </w:tcPr>
          <w:p>
            <w:pPr>
              <w:spacing w:after="0"/>
              <w:rPr>
                <w:sz w:val="19"/>
                <w:szCs w:val="19"/>
                <w:color w:val="auto"/>
              </w:rPr>
            </w:pP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306,531</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360" w:type="dxa"/>
            <w:vAlign w:val="bottom"/>
            <w:tcBorders>
              <w:top w:val="single" w:sz="8" w:color="auto"/>
              <w:bottom w:val="single" w:sz="8" w:color="auto"/>
            </w:tcBorders>
            <w:shd w:val="clear" w:color="auto" w:fill="F0FFFF"/>
          </w:tcPr>
          <w:p>
            <w:pPr>
              <w:spacing w:after="0"/>
              <w:rPr>
                <w:sz w:val="19"/>
                <w:szCs w:val="19"/>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60" w:type="dxa"/>
            <w:vAlign w:val="bottom"/>
            <w:tcBorders>
              <w:top w:val="single" w:sz="8" w:color="auto"/>
              <w:bottom w:val="single" w:sz="8" w:color="auto"/>
            </w:tcBorders>
            <w:shd w:val="clear" w:color="auto" w:fill="F0FFFF"/>
          </w:tcPr>
          <w:p>
            <w:pPr>
              <w:spacing w:after="0"/>
              <w:rPr>
                <w:sz w:val="19"/>
                <w:szCs w:val="19"/>
                <w:color w:val="auto"/>
              </w:rPr>
            </w:pP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 to 5 years</w:t>
            </w: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5 to 10 years</w:t>
            </w: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336,844</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338,349</w:t>
            </w: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More than 10 years</w:t>
            </w:r>
          </w:p>
        </w:tc>
        <w:tc>
          <w:tcPr>
            <w:tcW w:w="3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110,917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110,949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F0FFFF"/>
              <w:bottom w:val="single" w:sz="8" w:color="F0FFFF"/>
            </w:tcBorders>
            <w:shd w:val="clear" w:color="auto" w:fill="F0FFFF"/>
          </w:tcPr>
          <w:p>
            <w:pPr>
              <w:spacing w:after="0"/>
              <w:rPr>
                <w:sz w:val="19"/>
                <w:szCs w:val="19"/>
                <w:color w:val="auto"/>
              </w:rPr>
            </w:pPr>
          </w:p>
        </w:tc>
        <w:tc>
          <w:tcPr>
            <w:tcW w:w="320" w:type="dxa"/>
            <w:vAlign w:val="bottom"/>
            <w:tcBorders>
              <w:top w:val="single" w:sz="8" w:color="auto"/>
              <w:bottom w:val="single" w:sz="8" w:color="auto"/>
            </w:tcBorders>
            <w:shd w:val="clear" w:color="auto" w:fill="F0FFFF"/>
          </w:tcPr>
          <w:p>
            <w:pPr>
              <w:spacing w:after="0"/>
              <w:rPr>
                <w:sz w:val="19"/>
                <w:szCs w:val="19"/>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467,153</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60" w:type="dxa"/>
            <w:vAlign w:val="bottom"/>
            <w:tcBorders>
              <w:top w:val="single" w:sz="8" w:color="auto"/>
              <w:bottom w:val="single" w:sz="8" w:color="auto"/>
            </w:tcBorders>
            <w:shd w:val="clear" w:color="auto" w:fill="F0FFFF"/>
          </w:tcPr>
          <w:p>
            <w:pPr>
              <w:spacing w:after="0"/>
              <w:rPr>
                <w:sz w:val="19"/>
                <w:szCs w:val="19"/>
                <w:color w:val="auto"/>
              </w:rPr>
            </w:pP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469,038</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360" w:type="dxa"/>
            <w:vAlign w:val="bottom"/>
            <w:tcBorders>
              <w:top w:val="single" w:sz="8" w:color="auto"/>
              <w:bottom w:val="single" w:sz="8" w:color="auto"/>
            </w:tcBorders>
            <w:shd w:val="clear" w:color="auto" w:fill="F0FFFF"/>
          </w:tcPr>
          <w:p>
            <w:pPr>
              <w:spacing w:after="0"/>
              <w:rPr>
                <w:sz w:val="19"/>
                <w:szCs w:val="19"/>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60" w:type="dxa"/>
            <w:vAlign w:val="bottom"/>
            <w:tcBorders>
              <w:top w:val="single" w:sz="8" w:color="auto"/>
              <w:bottom w:val="single" w:sz="8" w:color="auto"/>
            </w:tcBorders>
            <w:shd w:val="clear" w:color="auto" w:fill="F0FFFF"/>
          </w:tcPr>
          <w:p>
            <w:pPr>
              <w:spacing w:after="0"/>
              <w:rPr>
                <w:sz w:val="19"/>
                <w:szCs w:val="19"/>
                <w:color w:val="auto"/>
              </w:rPr>
            </w:pP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More than 10 years</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F0FFFF"/>
              <w:bottom w:val="single" w:sz="8" w:color="F0FFFF"/>
            </w:tcBorders>
            <w:shd w:val="clear" w:color="auto" w:fill="F0FFFF"/>
          </w:tcPr>
          <w:p>
            <w:pPr>
              <w:spacing w:after="0"/>
              <w:rPr>
                <w:sz w:val="19"/>
                <w:szCs w:val="19"/>
                <w:color w:val="auto"/>
              </w:rPr>
            </w:pPr>
          </w:p>
        </w:tc>
        <w:tc>
          <w:tcPr>
            <w:tcW w:w="320" w:type="dxa"/>
            <w:vAlign w:val="bottom"/>
            <w:tcBorders>
              <w:top w:val="single" w:sz="8" w:color="auto"/>
              <w:bottom w:val="single" w:sz="8" w:color="auto"/>
            </w:tcBorders>
            <w:shd w:val="clear" w:color="auto" w:fill="F0FFFF"/>
          </w:tcPr>
          <w:p>
            <w:pPr>
              <w:spacing w:after="0"/>
              <w:rPr>
                <w:sz w:val="19"/>
                <w:szCs w:val="19"/>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60" w:type="dxa"/>
            <w:vAlign w:val="bottom"/>
            <w:tcBorders>
              <w:top w:val="single" w:sz="8" w:color="auto"/>
              <w:bottom w:val="single" w:sz="8" w:color="auto"/>
            </w:tcBorders>
            <w:shd w:val="clear" w:color="auto" w:fill="F0FFFF"/>
          </w:tcPr>
          <w:p>
            <w:pPr>
              <w:spacing w:after="0"/>
              <w:rPr>
                <w:sz w:val="19"/>
                <w:szCs w:val="19"/>
                <w:color w:val="auto"/>
              </w:rPr>
            </w:pP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360" w:type="dxa"/>
            <w:vAlign w:val="bottom"/>
            <w:tcBorders>
              <w:top w:val="single" w:sz="8" w:color="auto"/>
              <w:bottom w:val="single" w:sz="8" w:color="auto"/>
            </w:tcBorders>
            <w:shd w:val="clear" w:color="auto" w:fill="F0FFFF"/>
          </w:tcPr>
          <w:p>
            <w:pPr>
              <w:spacing w:after="0"/>
              <w:rPr>
                <w:sz w:val="19"/>
                <w:szCs w:val="19"/>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60" w:type="dxa"/>
            <w:vAlign w:val="bottom"/>
            <w:tcBorders>
              <w:top w:val="single" w:sz="8" w:color="auto"/>
              <w:bottom w:val="single" w:sz="8" w:color="auto"/>
            </w:tcBorders>
            <w:shd w:val="clear" w:color="auto" w:fill="F0FFFF"/>
          </w:tcPr>
          <w:p>
            <w:pPr>
              <w:spacing w:after="0"/>
              <w:rPr>
                <w:sz w:val="19"/>
                <w:szCs w:val="19"/>
                <w:color w:val="auto"/>
              </w:rPr>
            </w:pP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Total securities other than mortgage-backed securities:</w:t>
            </w: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Within 1 year</w:t>
            </w: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1 to 5 years</w:t>
            </w: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451,418</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452,571</w:t>
            </w: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15,754</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 to 10 years</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455,442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More than 10 years</w:t>
            </w: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147,827</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147,681</w:t>
            </w: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17,097</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16,877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20" w:type="dxa"/>
            <w:vAlign w:val="bottom"/>
            <w:shd w:val="clear" w:color="auto" w:fill="F0FFFF"/>
          </w:tcPr>
          <w:p>
            <w:pPr>
              <w:spacing w:after="0"/>
              <w:rPr>
                <w:sz w:val="20"/>
                <w:szCs w:val="20"/>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1,383,498</w:t>
            </w: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1,380,360</w:t>
            </w:r>
          </w:p>
        </w:tc>
        <w:tc>
          <w:tcPr>
            <w:tcW w:w="120" w:type="dxa"/>
            <w:vAlign w:val="bottom"/>
            <w:shd w:val="clear" w:color="auto" w:fill="F0FFFF"/>
          </w:tcPr>
          <w:p>
            <w:pPr>
              <w:spacing w:after="0"/>
              <w:rPr>
                <w:sz w:val="20"/>
                <w:szCs w:val="20"/>
                <w:color w:val="auto"/>
              </w:rPr>
            </w:pPr>
          </w:p>
        </w:tc>
        <w:tc>
          <w:tcPr>
            <w:tcW w:w="36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273,367</w:t>
            </w:r>
          </w:p>
        </w:tc>
        <w:tc>
          <w:tcPr>
            <w:tcW w:w="1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274,398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top w:val="single" w:sz="8" w:color="F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shd w:val="clear" w:color="auto" w:fill="F0FFFF"/>
          </w:tcPr>
          <w:p>
            <w:pPr>
              <w:spacing w:after="0"/>
              <w:rPr>
                <w:sz w:val="22"/>
                <w:szCs w:val="22"/>
                <w:color w:val="auto"/>
              </w:rPr>
            </w:pPr>
          </w:p>
        </w:tc>
        <w:tc>
          <w:tcPr>
            <w:tcW w:w="3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2,437,907</w:t>
            </w:r>
          </w:p>
        </w:tc>
        <w:tc>
          <w:tcPr>
            <w:tcW w:w="120" w:type="dxa"/>
            <w:vAlign w:val="bottom"/>
            <w:shd w:val="clear" w:color="auto" w:fill="F0FFFF"/>
          </w:tcPr>
          <w:p>
            <w:pPr>
              <w:spacing w:after="0"/>
              <w:rPr>
                <w:sz w:val="22"/>
                <w:szCs w:val="22"/>
                <w:color w:val="auto"/>
              </w:rPr>
            </w:pPr>
          </w:p>
        </w:tc>
        <w:tc>
          <w:tcPr>
            <w:tcW w:w="28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2,436,591</w:t>
            </w:r>
          </w:p>
        </w:tc>
        <w:tc>
          <w:tcPr>
            <w:tcW w:w="48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329,992</w:t>
            </w:r>
          </w:p>
        </w:tc>
        <w:tc>
          <w:tcPr>
            <w:tcW w:w="2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333,032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maturities may differ from contractual maturities because issuers and borrowers may have the right to call or prepay obligations.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Loans and Allowance for Credit Losses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Major classifications of loans are summarized as of the dates indicated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1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24"/>
                <w:szCs w:val="24"/>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116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1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48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1,633,450</w:t>
            </w:r>
          </w:p>
        </w:tc>
        <w:tc>
          <w:tcPr>
            <w:tcW w:w="140" w:type="dxa"/>
            <w:vAlign w:val="bottom"/>
            <w:shd w:val="clear" w:color="auto" w:fill="F0FFFF"/>
          </w:tcPr>
          <w:p>
            <w:pPr>
              <w:spacing w:after="0"/>
              <w:rPr>
                <w:sz w:val="18"/>
                <w:szCs w:val="18"/>
                <w:color w:val="auto"/>
              </w:rPr>
            </w:pPr>
          </w:p>
        </w:tc>
        <w:tc>
          <w:tcPr>
            <w:tcW w:w="26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1,650,360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1,296,700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1,281,541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1,079,837</w:t>
            </w:r>
          </w:p>
        </w:tc>
        <w:tc>
          <w:tcPr>
            <w:tcW w:w="1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1,069,715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160" w:type="dxa"/>
            <w:vAlign w:val="bottom"/>
            <w:tcBorders>
              <w:bottom w:val="single" w:sz="8" w:color="F0FFFF"/>
            </w:tcBorders>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666,861</w:t>
            </w:r>
          </w:p>
        </w:tc>
        <w:tc>
          <w:tcPr>
            <w:tcW w:w="140" w:type="dxa"/>
            <w:vAlign w:val="bottom"/>
            <w:tcBorders>
              <w:bottom w:val="single" w:sz="8" w:color="F0FFFF"/>
            </w:tcBorders>
          </w:tcPr>
          <w:p>
            <w:pPr>
              <w:spacing w:after="0"/>
              <w:rPr>
                <w:sz w:val="20"/>
                <w:szCs w:val="20"/>
                <w:color w:val="auto"/>
              </w:rPr>
            </w:pPr>
          </w:p>
        </w:tc>
        <w:tc>
          <w:tcPr>
            <w:tcW w:w="2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633,921</w:t>
            </w: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3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4,676,848</w:t>
            </w:r>
          </w:p>
        </w:tc>
        <w:tc>
          <w:tcPr>
            <w:tcW w:w="1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4,635,537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859,796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3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659,041</w:t>
            </w:r>
          </w:p>
        </w:tc>
        <w:tc>
          <w:tcPr>
            <w:tcW w:w="1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655,410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196,643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3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112,461</w:t>
            </w:r>
          </w:p>
        </w:tc>
        <w:tc>
          <w:tcPr>
            <w:tcW w:w="1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123,567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160" w:type="dxa"/>
            <w:vAlign w:val="bottom"/>
            <w:tcBorders>
              <w:bottom w:val="single" w:sz="8" w:color="F0FFFF"/>
            </w:tcBorders>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34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460,201</w:t>
            </w:r>
          </w:p>
        </w:tc>
        <w:tc>
          <w:tcPr>
            <w:tcW w:w="140" w:type="dxa"/>
            <w:vAlign w:val="bottom"/>
            <w:tcBorders>
              <w:bottom w:val="single" w:sz="8" w:color="F0FFFF"/>
            </w:tcBorders>
          </w:tcPr>
          <w:p>
            <w:pPr>
              <w:spacing w:after="0"/>
              <w:rPr>
                <w:sz w:val="20"/>
                <w:szCs w:val="20"/>
                <w:color w:val="auto"/>
              </w:rPr>
            </w:pPr>
          </w:p>
        </w:tc>
        <w:tc>
          <w:tcPr>
            <w:tcW w:w="2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459,354</w:t>
            </w: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loans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6,964,990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6,920,636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16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vMerge w:val="continue"/>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(60,543)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(61,422)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tcBorders>
              <w:top w:val="single" w:sz="8" w:color="F0FFFF"/>
            </w:tcBorders>
            <w:shd w:val="clear" w:color="auto" w:fill="F0FFFF"/>
          </w:tcPr>
          <w:p>
            <w:pPr>
              <w:spacing w:after="0"/>
              <w:rPr>
                <w:sz w:val="18"/>
                <w:szCs w:val="18"/>
                <w:color w:val="auto"/>
              </w:rPr>
            </w:pPr>
          </w:p>
        </w:tc>
        <w:tc>
          <w:tcPr>
            <w:tcW w:w="34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net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6,904,447</w:t>
            </w:r>
          </w:p>
        </w:tc>
        <w:tc>
          <w:tcPr>
            <w:tcW w:w="140" w:type="dxa"/>
            <w:vAlign w:val="bottom"/>
          </w:tcPr>
          <w:p>
            <w:pPr>
              <w:spacing w:after="0"/>
              <w:rPr>
                <w:sz w:val="21"/>
                <w:szCs w:val="21"/>
                <w:color w:val="auto"/>
              </w:rPr>
            </w:pP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6,859,214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2017 and December 31, 2016, loans totaling $3.62 billion and $3.33 billion, respectively, were pledged as collateral to secure Federal Home Loan Bank advances and other contingent funding sources.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At March 31, 2017, the carrying value and outstanding balance of purchased credit impaired (“PCI”) loans accounted for under ASC 310-30, </w:t>
      </w:r>
      <w:r>
        <w:rPr>
          <w:rFonts w:ascii="Times New Roman" w:cs="Times New Roman" w:eastAsia="Times New Roman" w:hAnsi="Times New Roman"/>
          <w:sz w:val="18"/>
          <w:szCs w:val="18"/>
          <w:i w:val="1"/>
          <w:iCs w:val="1"/>
          <w:color w:val="auto"/>
        </w:rPr>
        <w:t>Loans and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Acquired with Deteriorated Credit Quality</w:t>
      </w:r>
      <w:r>
        <w:rPr>
          <w:rFonts w:ascii="Times New Roman" w:cs="Times New Roman" w:eastAsia="Times New Roman" w:hAnsi="Times New Roman"/>
          <w:sz w:val="18"/>
          <w:szCs w:val="18"/>
          <w:color w:val="auto"/>
        </w:rPr>
        <w:t>, were $57.8 million and $80.8 million, respectively. At December 31, 2016, the carrying value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outstanding balance of PCI loans were $62.8 million and $87.9 million, respectively. The following table presents changes in the value of the accretable yield for PCI loans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2620" w:type="dxa"/>
            <w:vAlign w:val="bottom"/>
            <w:gridSpan w:val="7"/>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7"/>
        </w:trPr>
        <w:tc>
          <w:tcPr>
            <w:tcW w:w="20" w:type="dxa"/>
            <w:vAlign w:val="bottom"/>
          </w:tcPr>
          <w:p>
            <w:pPr>
              <w:spacing w:after="0"/>
              <w:rPr>
                <w:sz w:val="20"/>
                <w:szCs w:val="20"/>
                <w:color w:val="auto"/>
              </w:rPr>
            </w:pPr>
          </w:p>
        </w:tc>
        <w:tc>
          <w:tcPr>
            <w:tcW w:w="6500" w:type="dxa"/>
            <w:vAlign w:val="bottom"/>
            <w:tcBorders>
              <w:bottom w:val="single" w:sz="8" w:color="F0FF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top w:val="single" w:sz="8" w:color="auto"/>
              <w:bottom w:val="single" w:sz="8" w:color="F0FFFF"/>
            </w:tcBorders>
          </w:tcPr>
          <w:p>
            <w:pPr>
              <w:spacing w:after="0"/>
              <w:rPr>
                <w:sz w:val="20"/>
                <w:szCs w:val="20"/>
                <w:color w:val="auto"/>
              </w:rPr>
            </w:pPr>
          </w:p>
        </w:tc>
        <w:tc>
          <w:tcPr>
            <w:tcW w:w="60" w:type="dxa"/>
            <w:vAlign w:val="bottom"/>
            <w:tcBorders>
              <w:top w:val="single" w:sz="8" w:color="auto"/>
              <w:bottom w:val="single" w:sz="8" w:color="F0FF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Borders>
              <w:bottom w:val="single" w:sz="8" w:color="F0FF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shd w:val="clear" w:color="auto" w:fill="F0FF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8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Accretion</w:t>
            </w: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(1,315)</w:t>
            </w:r>
          </w:p>
        </w:tc>
      </w:tr>
      <w:tr>
        <w:trPr>
          <w:trHeight w:val="216"/>
        </w:trPr>
        <w:tc>
          <w:tcPr>
            <w:tcW w:w="20" w:type="dxa"/>
            <w:vAlign w:val="bottom"/>
          </w:tcPr>
          <w:p>
            <w:pPr>
              <w:spacing w:after="0"/>
              <w:rPr>
                <w:sz w:val="18"/>
                <w:szCs w:val="18"/>
                <w:color w:val="auto"/>
              </w:rPr>
            </w:pPr>
          </w:p>
        </w:tc>
        <w:tc>
          <w:tcPr>
            <w:tcW w:w="65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Reclassification from nonaccretable difference</w:t>
            </w: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80" w:type="dxa"/>
            <w:vAlign w:val="bottom"/>
            <w:shd w:val="clear" w:color="auto" w:fill="F0FF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6500" w:type="dxa"/>
            <w:vAlign w:val="bottom"/>
            <w:tcBorders>
              <w:bottom w:val="single" w:sz="8" w:color="F0FFFF"/>
            </w:tcBorders>
          </w:tcPr>
          <w:p>
            <w:pPr>
              <w:spacing w:after="0"/>
              <w:rPr>
                <w:sz w:val="20"/>
                <w:szCs w:val="20"/>
                <w:color w:val="auto"/>
              </w:rPr>
            </w:pPr>
            <w:r>
              <w:rPr>
                <w:rFonts w:ascii="Times New Roman" w:cs="Times New Roman" w:eastAsia="Times New Roman" w:hAnsi="Times New Roman"/>
                <w:sz w:val="18"/>
                <w:szCs w:val="18"/>
                <w:color w:val="auto"/>
              </w:rPr>
              <w:t>Changes in expected cash flows that do not affect nonaccretable difference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Borders>
              <w:bottom w:val="single" w:sz="8" w:color="F0FFFF"/>
            </w:tcBorders>
          </w:tcPr>
          <w:p>
            <w:pPr>
              <w:spacing w:after="0"/>
              <w:rPr>
                <w:sz w:val="20"/>
                <w:szCs w:val="20"/>
                <w:color w:val="auto"/>
              </w:rPr>
            </w:pPr>
          </w:p>
        </w:tc>
      </w:tr>
      <w:tr>
        <w:trPr>
          <w:trHeight w:val="255"/>
        </w:trPr>
        <w:tc>
          <w:tcPr>
            <w:tcW w:w="20" w:type="dxa"/>
            <w:vAlign w:val="bottom"/>
          </w:tcPr>
          <w:p>
            <w:pPr>
              <w:spacing w:after="0"/>
              <w:rPr>
                <w:sz w:val="21"/>
                <w:szCs w:val="21"/>
                <w:color w:val="auto"/>
              </w:rPr>
            </w:pPr>
          </w:p>
        </w:tc>
        <w:tc>
          <w:tcPr>
            <w:tcW w:w="650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bottom w:val="single" w:sz="8" w:color="auto"/>
            </w:tcBorders>
            <w:shd w:val="clear" w:color="auto" w:fill="F0FF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10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80" w:type="dxa"/>
            <w:vAlign w:val="bottom"/>
            <w:tcBorders>
              <w:bottom w:val="single" w:sz="8" w:color="F0FFFF"/>
            </w:tcBorders>
            <w:shd w:val="clear" w:color="auto" w:fill="F0FF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accretable yield on PCI loans, the fair value adjustments on purchased loans outside the scope of ASC 310-30 are also accreted to interest revenue over the life of the loans. At March 31, 2017 and December 31, 2016, the remaining accretable fair value marks on loans acquired through a business combination and not accounted for under ASC 310-30 were $6.34 million and $7.14 million, respectively. In addition, indirect auto loans purchased at a premium outside of a business combination have a remaining premium of $11.2 million and $11.4 million, respectively, as of March 31, 2017 and December 31, 2016. During the three months ended March 31, 2017 and 2016, United purchased indirect auto loans of $39.8 million and $67.3 million, respectively.</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loan losses represents management’s estimate of probable incurred losses in the loan portfolio as of the end of the period. The allowance for unfunded commitments is included in other liabilities in the consolidated balance sheet. Combined, the allowance for loan losses and allowance for unfunded commitments are referred to as the allowance for credit losses.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the balance and activity in the allowance for credit losses by portfolio segment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Beginning</w:t>
            </w:r>
          </w:p>
        </w:tc>
        <w:tc>
          <w:tcPr>
            <w:tcW w:w="2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Charge-</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(Release)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Ending</w:t>
            </w:r>
          </w:p>
        </w:tc>
        <w:tc>
          <w:tcPr>
            <w:tcW w:w="0" w:type="dxa"/>
            <w:vAlign w:val="bottom"/>
          </w:tcPr>
          <w:p>
            <w:pPr>
              <w:spacing w:after="0"/>
              <w:rPr>
                <w:sz w:val="1"/>
                <w:szCs w:val="1"/>
                <w:color w:val="auto"/>
              </w:rPr>
            </w:pPr>
          </w:p>
        </w:tc>
      </w:tr>
      <w:tr>
        <w:trPr>
          <w:trHeight w:val="245"/>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2017</w:t>
            </w:r>
          </w:p>
        </w:tc>
        <w:tc>
          <w:tcPr>
            <w:tcW w:w="160" w:type="dxa"/>
            <w:vAlign w:val="bottom"/>
          </w:tcPr>
          <w:p>
            <w:pPr>
              <w:spacing w:after="0"/>
              <w:rPr>
                <w:sz w:val="21"/>
                <w:szCs w:val="21"/>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1"/>
                <w:szCs w:val="21"/>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Offs</w:t>
            </w:r>
          </w:p>
        </w:tc>
        <w:tc>
          <w:tcPr>
            <w:tcW w:w="14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16,446</w:t>
            </w:r>
          </w:p>
        </w:tc>
        <w:tc>
          <w:tcPr>
            <w:tcW w:w="200" w:type="dxa"/>
            <w:vAlign w:val="bottom"/>
            <w:shd w:val="clear" w:color="auto" w:fill="F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2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(989)</w:t>
            </w:r>
          </w:p>
        </w:tc>
        <w:tc>
          <w:tcPr>
            <w:tcW w:w="220" w:type="dxa"/>
            <w:vAlign w:val="bottom"/>
            <w:gridSpan w:val="2"/>
            <w:shd w:val="clear" w:color="auto" w:fill="F0FF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15,669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(897)</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2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(237)</w:t>
            </w: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3,725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13,405</w:t>
            </w:r>
          </w:p>
        </w:tc>
        <w:tc>
          <w:tcPr>
            <w:tcW w:w="2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2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(542)</w:t>
            </w:r>
          </w:p>
        </w:tc>
        <w:tc>
          <w:tcPr>
            <w:tcW w:w="1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1,056</w:t>
            </w: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9,071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2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3,267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708</w:t>
            </w:r>
          </w:p>
        </w:tc>
        <w:tc>
          <w:tcPr>
            <w:tcW w:w="2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60" w:type="dxa"/>
            <w:vAlign w:val="bottom"/>
            <w:shd w:val="clear" w:color="auto" w:fill="F0FFFF"/>
          </w:tcPr>
          <w:p>
            <w:pPr>
              <w:spacing w:after="0"/>
              <w:rPr>
                <w:sz w:val="21"/>
                <w:szCs w:val="21"/>
                <w:color w:val="auto"/>
              </w:rPr>
            </w:pPr>
          </w:p>
        </w:tc>
        <w:tc>
          <w:tcPr>
            <w:tcW w:w="1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3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567</w:t>
            </w:r>
          </w:p>
        </w:tc>
        <w:tc>
          <w:tcPr>
            <w:tcW w:w="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2,004</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Borders>
              <w:top w:val="single" w:sz="8" w:color="F0FFFF"/>
            </w:tcBorders>
            <w:gridSpan w:val="2"/>
          </w:tcPr>
          <w:p>
            <w:pPr>
              <w:ind w:left="160"/>
              <w:spacing w:after="0" w:line="203" w:lineRule="exact"/>
              <w:rPr>
                <w:sz w:val="20"/>
                <w:szCs w:val="20"/>
                <w:color w:val="auto"/>
              </w:rPr>
            </w:pPr>
            <w:r>
              <w:rPr>
                <w:rFonts w:ascii="Times New Roman" w:cs="Times New Roman" w:eastAsia="Times New Roman" w:hAnsi="Times New Roman"/>
                <w:sz w:val="18"/>
                <w:szCs w:val="18"/>
                <w:color w:val="auto"/>
              </w:rPr>
              <w:t>Total allowance for loan losses</w:t>
            </w: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61,422</w:t>
            </w:r>
          </w:p>
        </w:tc>
        <w:tc>
          <w:tcPr>
            <w:tcW w:w="24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(3,215)</w:t>
            </w:r>
          </w:p>
        </w:tc>
        <w:tc>
          <w:tcPr>
            <w:tcW w:w="26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800</w:t>
            </w:r>
          </w:p>
        </w:tc>
        <w:tc>
          <w:tcPr>
            <w:tcW w:w="20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60,543</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Allowance for unfunded commitments</w:t>
            </w:r>
          </w:p>
        </w:tc>
        <w:tc>
          <w:tcPr>
            <w:tcW w:w="160" w:type="dxa"/>
            <w:vAlign w:val="bottom"/>
            <w:shd w:val="clear" w:color="auto" w:fill="F0FFFF"/>
          </w:tcPr>
          <w:p>
            <w:pPr>
              <w:spacing w:after="0"/>
              <w:rPr>
                <w:sz w:val="21"/>
                <w:szCs w:val="21"/>
                <w:color w:val="auto"/>
              </w:rPr>
            </w:pPr>
          </w:p>
        </w:tc>
        <w:tc>
          <w:tcPr>
            <w:tcW w:w="1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2,002</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Borders>
              <w:top w:val="single" w:sz="8" w:color="F0FF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63,424</w:t>
            </w:r>
          </w:p>
        </w:tc>
        <w:tc>
          <w:tcPr>
            <w:tcW w:w="24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60" w:type="dxa"/>
            <w:vAlign w:val="bottom"/>
            <w:tcBorders>
              <w:top w:val="single" w:sz="8" w:color="F0FFFF"/>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62,545</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Beginning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Charge-</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(Release)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Ending</w:t>
            </w:r>
          </w:p>
        </w:tc>
        <w:tc>
          <w:tcPr>
            <w:tcW w:w="0" w:type="dxa"/>
            <w:vAlign w:val="bottom"/>
          </w:tcPr>
          <w:p>
            <w:pPr>
              <w:spacing w:after="0"/>
              <w:rPr>
                <w:sz w:val="1"/>
                <w:szCs w:val="1"/>
                <w:color w:val="auto"/>
              </w:rPr>
            </w:pPr>
          </w:p>
        </w:tc>
      </w:tr>
      <w:tr>
        <w:trPr>
          <w:trHeight w:val="245"/>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2016</w:t>
            </w:r>
          </w:p>
        </w:tc>
        <w:tc>
          <w:tcPr>
            <w:tcW w:w="160" w:type="dxa"/>
            <w:vAlign w:val="bottom"/>
          </w:tcPr>
          <w:p>
            <w:pPr>
              <w:spacing w:after="0"/>
              <w:rPr>
                <w:sz w:val="21"/>
                <w:szCs w:val="21"/>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Offs</w:t>
            </w:r>
          </w:p>
        </w:tc>
        <w:tc>
          <w:tcPr>
            <w:tcW w:w="14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18,016</w:t>
            </w:r>
          </w:p>
        </w:tc>
        <w:tc>
          <w:tcPr>
            <w:tcW w:w="36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(599)</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452</w:t>
            </w:r>
          </w:p>
        </w:tc>
        <w:tc>
          <w:tcPr>
            <w:tcW w:w="280" w:type="dxa"/>
            <w:vAlign w:val="bottom"/>
            <w:gridSpan w:val="2"/>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17,990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6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12,719</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(723)</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778</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60" w:type="dxa"/>
            <w:vAlign w:val="bottom"/>
            <w:shd w:val="clear" w:color="auto" w:fill="F0FFFF"/>
          </w:tcPr>
          <w:p>
            <w:pPr>
              <w:spacing w:after="0"/>
              <w:rPr>
                <w:sz w:val="21"/>
                <w:szCs w:val="21"/>
                <w:color w:val="auto"/>
              </w:rPr>
            </w:pPr>
          </w:p>
        </w:tc>
        <w:tc>
          <w:tcPr>
            <w:tcW w:w="1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c>
          <w:tcPr>
            <w:tcW w:w="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Borders>
              <w:top w:val="single" w:sz="8" w:color="F0FFFF"/>
            </w:tcBorders>
            <w:gridSpan w:val="2"/>
          </w:tcPr>
          <w:p>
            <w:pPr>
              <w:ind w:left="160"/>
              <w:spacing w:after="0" w:line="203" w:lineRule="exact"/>
              <w:rPr>
                <w:sz w:val="20"/>
                <w:szCs w:val="20"/>
                <w:color w:val="auto"/>
              </w:rPr>
            </w:pPr>
            <w:r>
              <w:rPr>
                <w:rFonts w:ascii="Times New Roman" w:cs="Times New Roman" w:eastAsia="Times New Roman" w:hAnsi="Times New Roman"/>
                <w:sz w:val="18"/>
                <w:szCs w:val="18"/>
                <w:color w:val="auto"/>
              </w:rPr>
              <w:t>Total allowance for loan losses</w:t>
            </w: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68,448</w:t>
            </w:r>
          </w:p>
        </w:tc>
        <w:tc>
          <w:tcPr>
            <w:tcW w:w="12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(3,153)</w:t>
            </w:r>
          </w:p>
        </w:tc>
        <w:tc>
          <w:tcPr>
            <w:tcW w:w="26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66,310</w:t>
            </w: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Allowance for unfunded commitments</w:t>
            </w:r>
          </w:p>
        </w:tc>
        <w:tc>
          <w:tcPr>
            <w:tcW w:w="160" w:type="dxa"/>
            <w:vAlign w:val="bottom"/>
            <w:shd w:val="clear" w:color="auto" w:fill="F0FFFF"/>
          </w:tcPr>
          <w:p>
            <w:pPr>
              <w:spacing w:after="0"/>
              <w:rPr>
                <w:sz w:val="21"/>
                <w:szCs w:val="21"/>
                <w:color w:val="auto"/>
              </w:rPr>
            </w:pPr>
          </w:p>
        </w:tc>
        <w:tc>
          <w:tcPr>
            <w:tcW w:w="1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2,342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Borders>
              <w:top w:val="single" w:sz="8" w:color="F0FF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70,990</w:t>
            </w: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260" w:type="dxa"/>
            <w:vAlign w:val="bottom"/>
            <w:tcBorders>
              <w:top w:val="single" w:sz="8" w:color="F0FFFF"/>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Borders>
              <w:top w:val="single" w:sz="8" w:color="F0FF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68,652</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39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9"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represents the recorded investment in loans by portfolio segment and the balance of the allowance for loan losses assigned to each segment based on the method of evaluating the loans for impairment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Allowance for Loan Losses</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04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Individually</w:t>
            </w: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Collectively</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Individually</w:t>
            </w: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Collectively</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evaluated</w:t>
            </w: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evaluated</w:t>
            </w: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180" w:type="dxa"/>
            <w:vAlign w:val="bottom"/>
          </w:tcPr>
          <w:p>
            <w:pPr>
              <w:spacing w:after="0"/>
              <w:rPr>
                <w:sz w:val="12"/>
                <w:szCs w:val="12"/>
                <w:color w:val="auto"/>
              </w:rPr>
            </w:pPr>
          </w:p>
        </w:tc>
        <w:tc>
          <w:tcPr>
            <w:tcW w:w="8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PCI</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PCI</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Owner occupied commercial real estate</w:t>
            </w:r>
          </w:p>
        </w:tc>
        <w:tc>
          <w:tcPr>
            <w:tcW w:w="8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1,607</w:t>
            </w:r>
          </w:p>
        </w:tc>
        <w:tc>
          <w:tcPr>
            <w:tcW w:w="18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14,062</w:t>
            </w:r>
          </w:p>
        </w:tc>
        <w:tc>
          <w:tcPr>
            <w:tcW w:w="180" w:type="dxa"/>
            <w:vAlign w:val="bottom"/>
            <w:shd w:val="clear" w:color="auto" w:fill="F0F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spacing w:after="0"/>
              <w:rPr>
                <w:sz w:val="12"/>
                <w:szCs w:val="12"/>
                <w:color w:val="auto"/>
              </w:rPr>
            </w:pPr>
          </w:p>
        </w:tc>
        <w:tc>
          <w:tcPr>
            <w:tcW w:w="1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15,669</w:t>
            </w:r>
          </w:p>
        </w:tc>
        <w:tc>
          <w:tcPr>
            <w:tcW w:w="8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1,746</w:t>
            </w:r>
          </w:p>
        </w:tc>
        <w:tc>
          <w:tcPr>
            <w:tcW w:w="18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14,700</w:t>
            </w:r>
          </w:p>
        </w:tc>
        <w:tc>
          <w:tcPr>
            <w:tcW w:w="280" w:type="dxa"/>
            <w:vAlign w:val="bottom"/>
            <w:gridSpan w:val="2"/>
            <w:shd w:val="clear" w:color="auto" w:fill="F0F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16,446</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producing commercial real estate</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7,971</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8,878</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7,919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8,843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Commercial &amp; industrial</w:t>
            </w: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2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3,671</w:t>
            </w:r>
          </w:p>
        </w:tc>
        <w:tc>
          <w:tcPr>
            <w:tcW w:w="180" w:type="dxa"/>
            <w:vAlign w:val="bottom"/>
            <w:shd w:val="clear" w:color="auto" w:fill="F0FFFF"/>
          </w:tcPr>
          <w:p>
            <w:pPr>
              <w:spacing w:after="0"/>
              <w:rPr>
                <w:sz w:val="12"/>
                <w:szCs w:val="12"/>
                <w:color w:val="auto"/>
              </w:rPr>
            </w:pPr>
          </w:p>
        </w:tc>
        <w:tc>
          <w:tcPr>
            <w:tcW w:w="6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3,725</w:t>
            </w: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3,752</w:t>
            </w: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3,810</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Commercial construction</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12,613</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12,790</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13,218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13,405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w:t>
            </w:r>
          </w:p>
        </w:tc>
        <w:tc>
          <w:tcPr>
            <w:tcW w:w="2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8,196</w:t>
            </w:r>
          </w:p>
        </w:tc>
        <w:tc>
          <w:tcPr>
            <w:tcW w:w="180" w:type="dxa"/>
            <w:vAlign w:val="bottom"/>
            <w:shd w:val="clear" w:color="auto" w:fill="F0FFFF"/>
          </w:tcPr>
          <w:p>
            <w:pPr>
              <w:spacing w:after="0"/>
              <w:rPr>
                <w:sz w:val="12"/>
                <w:szCs w:val="12"/>
                <w:color w:val="auto"/>
              </w:rPr>
            </w:pPr>
          </w:p>
        </w:tc>
        <w:tc>
          <w:tcPr>
            <w:tcW w:w="6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9,071</w:t>
            </w: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517</w:t>
            </w: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7,997</w:t>
            </w: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8,545</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Home equity lines of credit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4,528</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4,530</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4,597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4,599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Residential construction</w:t>
            </w: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2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3,200</w:t>
            </w:r>
          </w:p>
        </w:tc>
        <w:tc>
          <w:tcPr>
            <w:tcW w:w="180" w:type="dxa"/>
            <w:vAlign w:val="bottom"/>
            <w:shd w:val="clear" w:color="auto" w:fill="F0FFFF"/>
          </w:tcPr>
          <w:p>
            <w:pPr>
              <w:spacing w:after="0"/>
              <w:rPr>
                <w:sz w:val="12"/>
                <w:szCs w:val="12"/>
                <w:color w:val="auto"/>
              </w:rPr>
            </w:pPr>
          </w:p>
        </w:tc>
        <w:tc>
          <w:tcPr>
            <w:tcW w:w="6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3,267</w:t>
            </w: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3,198</w:t>
            </w: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3,264</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Consumer installment</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Indirect auto</w:t>
            </w:r>
          </w:p>
        </w:tc>
        <w:tc>
          <w:tcPr>
            <w:tcW w:w="80" w:type="dxa"/>
            <w:vAlign w:val="bottom"/>
            <w:shd w:val="clear" w:color="auto" w:fill="F0FFFF"/>
          </w:tcPr>
          <w:p>
            <w:pPr>
              <w:spacing w:after="0"/>
              <w:rPr>
                <w:sz w:val="15"/>
                <w:szCs w:val="15"/>
                <w:color w:val="auto"/>
              </w:rPr>
            </w:pPr>
          </w:p>
        </w:tc>
        <w:tc>
          <w:tcPr>
            <w:tcW w:w="7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2,004</w:t>
            </w:r>
          </w:p>
        </w:tc>
        <w:tc>
          <w:tcPr>
            <w:tcW w:w="180" w:type="dxa"/>
            <w:vAlign w:val="bottom"/>
            <w:shd w:val="clear" w:color="auto" w:fill="F0FFFF"/>
          </w:tcPr>
          <w:p>
            <w:pPr>
              <w:spacing w:after="0"/>
              <w:rPr>
                <w:sz w:val="15"/>
                <w:szCs w:val="15"/>
                <w:color w:val="auto"/>
              </w:rPr>
            </w:pPr>
          </w:p>
        </w:tc>
        <w:tc>
          <w:tcPr>
            <w:tcW w:w="6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2,004</w:t>
            </w:r>
          </w:p>
        </w:tc>
        <w:tc>
          <w:tcPr>
            <w:tcW w:w="80" w:type="dxa"/>
            <w:vAlign w:val="bottom"/>
            <w:shd w:val="clear" w:color="auto" w:fill="F0FFFF"/>
          </w:tcPr>
          <w:p>
            <w:pPr>
              <w:spacing w:after="0"/>
              <w:rPr>
                <w:sz w:val="15"/>
                <w:szCs w:val="15"/>
                <w:color w:val="auto"/>
              </w:rPr>
            </w:pPr>
          </w:p>
        </w:tc>
        <w:tc>
          <w:tcPr>
            <w:tcW w:w="7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1,802</w:t>
            </w:r>
          </w:p>
        </w:tc>
        <w:tc>
          <w:tcPr>
            <w:tcW w:w="10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8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1,802</w:t>
            </w:r>
          </w:p>
        </w:tc>
        <w:tc>
          <w:tcPr>
            <w:tcW w:w="8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320" w:type="dxa"/>
            <w:vAlign w:val="bottom"/>
            <w:tcBorders>
              <w:top w:val="single" w:sz="8" w:color="F0FFFF"/>
            </w:tcBorders>
          </w:tcPr>
          <w:p>
            <w:pPr>
              <w:ind w:left="160"/>
              <w:spacing w:after="0" w:line="136" w:lineRule="exact"/>
              <w:rPr>
                <w:sz w:val="20"/>
                <w:szCs w:val="20"/>
                <w:color w:val="auto"/>
              </w:rPr>
            </w:pPr>
            <w:r>
              <w:rPr>
                <w:rFonts w:ascii="Times New Roman" w:cs="Times New Roman" w:eastAsia="Times New Roman" w:hAnsi="Times New Roman"/>
                <w:sz w:val="14"/>
                <w:szCs w:val="14"/>
                <w:color w:val="auto"/>
              </w:rPr>
              <w:t>Total allowance for loan losses</w:t>
            </w: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3,693</w:t>
            </w:r>
          </w:p>
        </w:tc>
        <w:tc>
          <w:tcPr>
            <w:tcW w:w="240" w:type="dxa"/>
            <w:vAlign w:val="bottom"/>
            <w:tcBorders>
              <w:top w:val="single" w:sz="8" w:color="F0FF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56,843</w:t>
            </w:r>
          </w:p>
        </w:tc>
        <w:tc>
          <w:tcPr>
            <w:tcW w:w="220" w:type="dxa"/>
            <w:vAlign w:val="bottom"/>
            <w:tcBorders>
              <w:top w:val="single" w:sz="8" w:color="F0FF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w:t>
            </w:r>
          </w:p>
        </w:tc>
        <w:tc>
          <w:tcPr>
            <w:tcW w:w="220" w:type="dxa"/>
            <w:vAlign w:val="bottom"/>
            <w:tcBorders>
              <w:top w:val="single" w:sz="8" w:color="F0FF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60,543</w:t>
            </w:r>
          </w:p>
        </w:tc>
        <w:tc>
          <w:tcPr>
            <w:tcW w:w="22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3,452</w:t>
            </w:r>
          </w:p>
        </w:tc>
        <w:tc>
          <w:tcPr>
            <w:tcW w:w="220" w:type="dxa"/>
            <w:vAlign w:val="bottom"/>
            <w:tcBorders>
              <w:top w:val="single" w:sz="8" w:color="F0FF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57,879</w:t>
            </w:r>
          </w:p>
        </w:tc>
        <w:tc>
          <w:tcPr>
            <w:tcW w:w="10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91</w:t>
            </w:r>
          </w:p>
        </w:tc>
        <w:tc>
          <w:tcPr>
            <w:tcW w:w="200" w:type="dxa"/>
            <w:vAlign w:val="bottom"/>
            <w:tcBorders>
              <w:top w:val="single" w:sz="8" w:color="F0FFFF"/>
            </w:tcBorders>
          </w:tcPr>
          <w:p>
            <w:pPr>
              <w:spacing w:after="0"/>
              <w:rPr>
                <w:sz w:val="11"/>
                <w:szCs w:val="11"/>
                <w:color w:val="auto"/>
              </w:rPr>
            </w:pPr>
          </w:p>
        </w:tc>
        <w:tc>
          <w:tcPr>
            <w:tcW w:w="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61,422</w:t>
            </w:r>
          </w:p>
        </w:tc>
        <w:tc>
          <w:tcPr>
            <w:tcW w:w="2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Allowance for unfunded commitments</w:t>
            </w:r>
          </w:p>
        </w:tc>
        <w:tc>
          <w:tcPr>
            <w:tcW w:w="80" w:type="dxa"/>
            <w:vAlign w:val="bottom"/>
            <w:shd w:val="clear" w:color="auto" w:fill="F0FFFF"/>
          </w:tcPr>
          <w:p>
            <w:pPr>
              <w:spacing w:after="0"/>
              <w:rPr>
                <w:sz w:val="15"/>
                <w:szCs w:val="15"/>
                <w:color w:val="auto"/>
              </w:rPr>
            </w:pPr>
          </w:p>
        </w:tc>
        <w:tc>
          <w:tcPr>
            <w:tcW w:w="7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2,002</w:t>
            </w:r>
          </w:p>
        </w:tc>
        <w:tc>
          <w:tcPr>
            <w:tcW w:w="180" w:type="dxa"/>
            <w:vAlign w:val="bottom"/>
            <w:shd w:val="clear" w:color="auto" w:fill="F0FFFF"/>
          </w:tcPr>
          <w:p>
            <w:pPr>
              <w:spacing w:after="0"/>
              <w:rPr>
                <w:sz w:val="15"/>
                <w:szCs w:val="15"/>
                <w:color w:val="auto"/>
              </w:rPr>
            </w:pPr>
          </w:p>
        </w:tc>
        <w:tc>
          <w:tcPr>
            <w:tcW w:w="6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2,002</w:t>
            </w:r>
          </w:p>
        </w:tc>
        <w:tc>
          <w:tcPr>
            <w:tcW w:w="80" w:type="dxa"/>
            <w:vAlign w:val="bottom"/>
            <w:shd w:val="clear" w:color="auto" w:fill="F0FFFF"/>
          </w:tcPr>
          <w:p>
            <w:pPr>
              <w:spacing w:after="0"/>
              <w:rPr>
                <w:sz w:val="15"/>
                <w:szCs w:val="15"/>
                <w:color w:val="auto"/>
              </w:rPr>
            </w:pPr>
          </w:p>
        </w:tc>
        <w:tc>
          <w:tcPr>
            <w:tcW w:w="7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2,002</w:t>
            </w:r>
          </w:p>
        </w:tc>
        <w:tc>
          <w:tcPr>
            <w:tcW w:w="10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8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2,002</w:t>
            </w:r>
          </w:p>
        </w:tc>
        <w:tc>
          <w:tcPr>
            <w:tcW w:w="8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top w:val="single" w:sz="8" w:color="F0FFFF"/>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allowance for credit losses</w:t>
            </w:r>
          </w:p>
        </w:tc>
        <w:tc>
          <w:tcPr>
            <w:tcW w:w="8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3,693</w:t>
            </w:r>
          </w:p>
        </w:tc>
        <w:tc>
          <w:tcPr>
            <w:tcW w:w="24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58,845</w:t>
            </w:r>
          </w:p>
        </w:tc>
        <w:tc>
          <w:tcPr>
            <w:tcW w:w="22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20" w:type="dxa"/>
            <w:vAlign w:val="bottom"/>
            <w:tcBorders>
              <w:top w:val="single" w:sz="8" w:color="F0FF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62,545</w:t>
            </w:r>
          </w:p>
        </w:tc>
        <w:tc>
          <w:tcPr>
            <w:tcW w:w="220" w:type="dxa"/>
            <w:vAlign w:val="bottom"/>
            <w:tcBorders>
              <w:top w:val="single" w:sz="8" w:color="F0FF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3,452</w:t>
            </w:r>
          </w:p>
        </w:tc>
        <w:tc>
          <w:tcPr>
            <w:tcW w:w="22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59,881</w:t>
            </w:r>
          </w:p>
        </w:tc>
        <w:tc>
          <w:tcPr>
            <w:tcW w:w="10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200" w:type="dxa"/>
            <w:vAlign w:val="bottom"/>
            <w:tcBorders>
              <w:top w:val="single" w:sz="8" w:color="F0FFFF"/>
            </w:tcBorders>
          </w:tcPr>
          <w:p>
            <w:pPr>
              <w:spacing w:after="0"/>
              <w:rPr>
                <w:sz w:val="12"/>
                <w:szCs w:val="12"/>
                <w:color w:val="auto"/>
              </w:rPr>
            </w:pPr>
          </w:p>
        </w:tc>
        <w:tc>
          <w:tcPr>
            <w:tcW w:w="2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63,424</w:t>
            </w:r>
          </w:p>
        </w:tc>
        <w:tc>
          <w:tcPr>
            <w:tcW w:w="2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Loans Outstanding</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040" w:type="dxa"/>
            <w:vAlign w:val="bottom"/>
            <w:gridSpan w:val="3"/>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Individually</w:t>
            </w: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Collectively</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Individually</w:t>
            </w: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Collectively</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evaluated</w:t>
            </w: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evaluated</w:t>
            </w: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180" w:type="dxa"/>
            <w:vAlign w:val="bottom"/>
          </w:tcPr>
          <w:p>
            <w:pPr>
              <w:spacing w:after="0"/>
              <w:rPr>
                <w:sz w:val="12"/>
                <w:szCs w:val="12"/>
                <w:color w:val="auto"/>
              </w:rPr>
            </w:pPr>
          </w:p>
        </w:tc>
        <w:tc>
          <w:tcPr>
            <w:tcW w:w="8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PCI</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PCI</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Owner occupied commercial real estate</w:t>
            </w:r>
          </w:p>
        </w:tc>
        <w:tc>
          <w:tcPr>
            <w:tcW w:w="8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29,699</w:t>
            </w:r>
          </w:p>
        </w:tc>
        <w:tc>
          <w:tcPr>
            <w:tcW w:w="18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1,586,060</w:t>
            </w: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17,691</w:t>
            </w:r>
          </w:p>
        </w:tc>
        <w:tc>
          <w:tcPr>
            <w:tcW w:w="1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1,633,450</w:t>
            </w: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31,421</w:t>
            </w:r>
          </w:p>
        </w:tc>
        <w:tc>
          <w:tcPr>
            <w:tcW w:w="18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1,600,355</w:t>
            </w:r>
          </w:p>
        </w:tc>
        <w:tc>
          <w:tcPr>
            <w:tcW w:w="280" w:type="dxa"/>
            <w:vAlign w:val="bottom"/>
            <w:gridSpan w:val="2"/>
            <w:shd w:val="clear" w:color="auto" w:fill="F0F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18,584</w:t>
            </w:r>
          </w:p>
        </w:tc>
        <w:tc>
          <w:tcPr>
            <w:tcW w:w="12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1,650,360</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producing commercial real estate</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28,265</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1,245,324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23,111</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1,296,700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30,459</w:t>
            </w: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1,225,763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25,319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1,281,541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Commercial &amp; industrial</w:t>
            </w:r>
          </w:p>
        </w:tc>
        <w:tc>
          <w:tcPr>
            <w:tcW w:w="8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1,959</w:t>
            </w:r>
          </w:p>
        </w:tc>
        <w:tc>
          <w:tcPr>
            <w:tcW w:w="18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1,077,118</w:t>
            </w:r>
          </w:p>
        </w:tc>
        <w:tc>
          <w:tcPr>
            <w:tcW w:w="180" w:type="dxa"/>
            <w:vAlign w:val="bottom"/>
            <w:shd w:val="clear" w:color="auto" w:fill="F0FFFF"/>
          </w:tcPr>
          <w:p>
            <w:pPr>
              <w:spacing w:after="0"/>
              <w:rPr>
                <w:sz w:val="12"/>
                <w:szCs w:val="12"/>
                <w:color w:val="auto"/>
              </w:rPr>
            </w:pPr>
          </w:p>
        </w:tc>
        <w:tc>
          <w:tcPr>
            <w:tcW w:w="6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760</w:t>
            </w:r>
          </w:p>
        </w:tc>
        <w:tc>
          <w:tcPr>
            <w:tcW w:w="2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1,079,837</w:t>
            </w: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1,915</w:t>
            </w:r>
          </w:p>
        </w:tc>
        <w:tc>
          <w:tcPr>
            <w:tcW w:w="1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1,066,764</w:t>
            </w: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1,036</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1,069,715</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Commercial construction</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4,907</w:t>
            </w:r>
          </w:p>
        </w:tc>
        <w:tc>
          <w:tcPr>
            <w:tcW w:w="1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654,284</w:t>
            </w:r>
          </w:p>
        </w:tc>
        <w:tc>
          <w:tcPr>
            <w:tcW w:w="1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7,670</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666,861</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5,050</w:t>
            </w: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620,543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8,328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633,921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8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13,549</w:t>
            </w:r>
          </w:p>
        </w:tc>
        <w:tc>
          <w:tcPr>
            <w:tcW w:w="18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840,373</w:t>
            </w:r>
          </w:p>
        </w:tc>
        <w:tc>
          <w:tcPr>
            <w:tcW w:w="1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5,874</w:t>
            </w:r>
          </w:p>
        </w:tc>
        <w:tc>
          <w:tcPr>
            <w:tcW w:w="1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859,796</w:t>
            </w: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13,706</w:t>
            </w:r>
          </w:p>
        </w:tc>
        <w:tc>
          <w:tcPr>
            <w:tcW w:w="1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836,624</w:t>
            </w: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6,395</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856,725</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Home equity lines of credit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657,015</w:t>
            </w:r>
          </w:p>
        </w:tc>
        <w:tc>
          <w:tcPr>
            <w:tcW w:w="1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1,963</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659,041</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653,337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655,410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Residential construction</w:t>
            </w:r>
          </w:p>
        </w:tc>
        <w:tc>
          <w:tcPr>
            <w:tcW w:w="8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1,602</w:t>
            </w:r>
          </w:p>
        </w:tc>
        <w:tc>
          <w:tcPr>
            <w:tcW w:w="18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194,498</w:t>
            </w:r>
          </w:p>
        </w:tc>
        <w:tc>
          <w:tcPr>
            <w:tcW w:w="180" w:type="dxa"/>
            <w:vAlign w:val="bottom"/>
            <w:shd w:val="clear" w:color="auto" w:fill="F0FFFF"/>
          </w:tcPr>
          <w:p>
            <w:pPr>
              <w:spacing w:after="0"/>
              <w:rPr>
                <w:sz w:val="12"/>
                <w:szCs w:val="12"/>
                <w:color w:val="auto"/>
              </w:rPr>
            </w:pPr>
          </w:p>
        </w:tc>
        <w:tc>
          <w:tcPr>
            <w:tcW w:w="6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543</w:t>
            </w:r>
          </w:p>
        </w:tc>
        <w:tc>
          <w:tcPr>
            <w:tcW w:w="2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196,643</w:t>
            </w: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1,594</w:t>
            </w:r>
          </w:p>
        </w:tc>
        <w:tc>
          <w:tcPr>
            <w:tcW w:w="1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187,516</w:t>
            </w: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933</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190,043</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Consumer installment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112,035</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112,461</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123,118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123,567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Indirect auto</w:t>
            </w:r>
          </w:p>
        </w:tc>
        <w:tc>
          <w:tcPr>
            <w:tcW w:w="80" w:type="dxa"/>
            <w:vAlign w:val="bottom"/>
            <w:shd w:val="clear" w:color="auto" w:fill="F0FFFF"/>
          </w:tcPr>
          <w:p>
            <w:pPr>
              <w:spacing w:after="0"/>
              <w:rPr>
                <w:sz w:val="15"/>
                <w:szCs w:val="15"/>
                <w:color w:val="auto"/>
              </w:rPr>
            </w:pPr>
          </w:p>
        </w:tc>
        <w:tc>
          <w:tcPr>
            <w:tcW w:w="9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1,055</w:t>
            </w:r>
          </w:p>
        </w:tc>
        <w:tc>
          <w:tcPr>
            <w:tcW w:w="18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459,146</w:t>
            </w:r>
          </w:p>
        </w:tc>
        <w:tc>
          <w:tcPr>
            <w:tcW w:w="180" w:type="dxa"/>
            <w:vAlign w:val="bottom"/>
            <w:shd w:val="clear" w:color="auto" w:fill="F0FFFF"/>
          </w:tcPr>
          <w:p>
            <w:pPr>
              <w:spacing w:after="0"/>
              <w:rPr>
                <w:sz w:val="15"/>
                <w:szCs w:val="15"/>
                <w:color w:val="auto"/>
              </w:rPr>
            </w:pPr>
          </w:p>
        </w:tc>
        <w:tc>
          <w:tcPr>
            <w:tcW w:w="6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460,201</w:t>
            </w:r>
          </w:p>
        </w:tc>
        <w:tc>
          <w:tcPr>
            <w:tcW w:w="8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1,165</w:t>
            </w:r>
          </w:p>
        </w:tc>
        <w:tc>
          <w:tcPr>
            <w:tcW w:w="18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458,189</w:t>
            </w:r>
          </w:p>
        </w:tc>
        <w:tc>
          <w:tcPr>
            <w:tcW w:w="10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8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459,354</w:t>
            </w:r>
          </w:p>
        </w:tc>
        <w:tc>
          <w:tcPr>
            <w:tcW w:w="8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top w:val="single" w:sz="8" w:color="F0FFFF"/>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loans</w:t>
            </w:r>
          </w:p>
        </w:tc>
        <w:tc>
          <w:tcPr>
            <w:tcW w:w="8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81,377</w:t>
            </w:r>
          </w:p>
        </w:tc>
        <w:tc>
          <w:tcPr>
            <w:tcW w:w="24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6,825,853</w:t>
            </w:r>
          </w:p>
        </w:tc>
        <w:tc>
          <w:tcPr>
            <w:tcW w:w="22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57,760</w:t>
            </w:r>
          </w:p>
        </w:tc>
        <w:tc>
          <w:tcPr>
            <w:tcW w:w="220" w:type="dxa"/>
            <w:vAlign w:val="bottom"/>
            <w:tcBorders>
              <w:top w:val="single" w:sz="8" w:color="F0FF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6,964,990</w:t>
            </w:r>
          </w:p>
        </w:tc>
        <w:tc>
          <w:tcPr>
            <w:tcW w:w="220" w:type="dxa"/>
            <w:vAlign w:val="bottom"/>
            <w:tcBorders>
              <w:top w:val="single" w:sz="8" w:color="F0FF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85,663</w:t>
            </w:r>
          </w:p>
        </w:tc>
        <w:tc>
          <w:tcPr>
            <w:tcW w:w="22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6,772,209</w:t>
            </w:r>
          </w:p>
        </w:tc>
        <w:tc>
          <w:tcPr>
            <w:tcW w:w="10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62,764</w:t>
            </w:r>
          </w:p>
        </w:tc>
        <w:tc>
          <w:tcPr>
            <w:tcW w:w="200" w:type="dxa"/>
            <w:vAlign w:val="bottom"/>
            <w:tcBorders>
              <w:top w:val="single" w:sz="8" w:color="F0FFFF"/>
            </w:tcBorders>
          </w:tcPr>
          <w:p>
            <w:pPr>
              <w:spacing w:after="0"/>
              <w:rPr>
                <w:sz w:val="12"/>
                <w:szCs w:val="12"/>
                <w:color w:val="auto"/>
              </w:rPr>
            </w:pPr>
          </w:p>
        </w:tc>
        <w:tc>
          <w:tcPr>
            <w:tcW w:w="20" w:type="dxa"/>
            <w:vAlign w:val="bottom"/>
            <w:tcBorders>
              <w:top w:val="single" w:sz="8" w:color="F0FFFF"/>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6,920,636</w:t>
            </w:r>
          </w:p>
        </w:tc>
        <w:tc>
          <w:tcPr>
            <w:tcW w:w="20" w:type="dxa"/>
            <w:vAlign w:val="bottom"/>
            <w:tcBorders>
              <w:top w:val="single" w:sz="8" w:color="F0FFFF"/>
              <w:bottom w:val="single" w:sz="8" w:color="auto"/>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considers all non-PCI relationships that are on nonaccrual with a balance of $500,000 or greater and all troubled debt restructurings (“TDRs”) to be impaired. In addition, management reviews all accruing substandard loans greater than $2 million to determine if the loan is impaired. A loan is considered impaired when, based on current events and circumstances, it is probable that all amounts due according to the original contractual terms of the loan will not be collected. All TDRs are considered impaired regardless of accrual status. Impairment is measured based on the present value of expected future cash flows, discounted at the loan’s effective interest rate, the loan’s observable market price, or the fair value of the collateral if the loan is collateral dependent. A specific reserve is established for impaired loans for the amount of calculated impairment. Interest payments received on impaired nonaccrual loans are applied as a reduction of the recorded investment in the loan. For impaired loans not on nonaccrual status, interest is accrued according to the terms of the loan agreement. Loans are evaluated for impairment quarterly and specific reserves are established in the allowance for loan losses for any measured impairment.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quarter, management prepares an analysis of the allowance for credit losses to determine the appropriate balance that measures and quantifies the amount of probable incurred losses in the loan portfolio and unfunded loan commitments. The allowance is comprised of specific reserves on individually impaired loans, which are determined as described above, and general reserves which are determined based on historical loss experience as adjusted for current trends and economic conditions multiplied by a loss emergence period factor.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calculates the loss emergence period for each pool of loans based on the weighted average length of time between the date a loan first exceeds 30 days past due and the date the loan is charged off.</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junior lien home equity loans, management has limited ability to monitor the delinquency status of the first lien unless the first lien is also held by United. As a result, management applies the weighted average historical loss factor for this category and appropriately adjusts it to reflect the increased risk of loss from these credits.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carefully reviews the resulting loss factors for each category of the loan portfolio and evaluates whether qualitative adjustments are necessary to take into consideration recent credit trends such as increases or decreases in past due, nonaccrual, criticized and classified loans, and other macro environmental factors such as changes in unemployment rates, lease vacancy rates and trends in property values and absorption rates.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believes that its method of determining the balance of the allowance for credit losses provides a reasonable and reliable basis for measuring and reporting losses that are incurred in the loan portfolio as of the reporting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 loan officer determines that a loan is uncollectible, he or she is responsible for recommending that the loan be placed on nonaccrual status, evaluating the loan for impairment, and, if necessary, fully or partially charging off the loan. Full or partial charge-offs may also be recommended by the Collections Department, the Special Assets Department, the Loss Mitigation Department and the Foreclosure/OREO Department. Nonaccrual real estate loans are generally charged down to fair value less costs to sell at the time they are placed on nonaccrual status.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Commercial and consumer asset quality committees meet monthly to review charge-offs that have occurred during the previous month. Participants include the Chief Credit Officer, Senior Risk Officers and Senior Credit Officers.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closed-end retail loans (installment and residential mortgage loans) past due 90 cumulative days are written down to their collateral value less estimated selling costs. Open-end (revolving) unsecured retail loans which are past due 90 cumulative days from their contractual due date are generally charged-off.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loans individually evaluated for impairment by class of loans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8"/>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Allowance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Unpaid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Loan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Unpaid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for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Allocated</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1"/>
                <w:szCs w:val="21"/>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Allocated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6,839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8,477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15,168</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15,168</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16,864</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16,864</w:t>
            </w: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3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845</w:t>
            </w:r>
          </w:p>
        </w:tc>
        <w:tc>
          <w:tcPr>
            <w:tcW w:w="1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841</w:t>
            </w:r>
          </w:p>
        </w:tc>
        <w:tc>
          <w:tcPr>
            <w:tcW w:w="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Borders>
              <w:top w:val="single" w:sz="8" w:color="F0FF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commercial</w:t>
            </w:r>
          </w:p>
        </w:tc>
        <w:tc>
          <w:tcPr>
            <w:tcW w:w="38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24,088</w:t>
            </w:r>
          </w:p>
        </w:tc>
        <w:tc>
          <w:tcPr>
            <w:tcW w:w="80" w:type="dxa"/>
            <w:vAlign w:val="bottom"/>
            <w:tcBorders>
              <w:top w:val="single" w:sz="8" w:color="F0FFFF"/>
            </w:tcBorders>
          </w:tcPr>
          <w:p>
            <w:pPr>
              <w:spacing w:after="0"/>
              <w:rPr>
                <w:sz w:val="17"/>
                <w:szCs w:val="17"/>
                <w:color w:val="auto"/>
              </w:rPr>
            </w:pPr>
          </w:p>
        </w:tc>
        <w:tc>
          <w:tcPr>
            <w:tcW w:w="16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23,400</w:t>
            </w:r>
          </w:p>
        </w:tc>
        <w:tc>
          <w:tcPr>
            <w:tcW w:w="16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27,301</w:t>
            </w: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26,516</w:t>
            </w:r>
          </w:p>
        </w:tc>
        <w:tc>
          <w:tcPr>
            <w:tcW w:w="22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Residential mortgage</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630</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628</w:t>
            </w: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 installment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Indirect auto</w:t>
            </w:r>
          </w:p>
        </w:tc>
        <w:tc>
          <w:tcPr>
            <w:tcW w:w="3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1,055</w:t>
            </w:r>
          </w:p>
        </w:tc>
        <w:tc>
          <w:tcPr>
            <w:tcW w:w="1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1,055</w:t>
            </w:r>
          </w:p>
        </w:tc>
        <w:tc>
          <w:tcPr>
            <w:tcW w:w="8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1,165</w:t>
            </w:r>
          </w:p>
        </w:tc>
        <w:tc>
          <w:tcPr>
            <w:tcW w:w="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F0FFFF"/>
              <w:bottom w:val="single" w:sz="8" w:color="F0FF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with no related allowance recorded</w:t>
            </w:r>
          </w:p>
        </w:tc>
        <w:tc>
          <w:tcPr>
            <w:tcW w:w="38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25,773</w:t>
            </w:r>
          </w:p>
        </w:tc>
        <w:tc>
          <w:tcPr>
            <w:tcW w:w="8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25,077</w:t>
            </w:r>
          </w:p>
        </w:tc>
        <w:tc>
          <w:tcPr>
            <w:tcW w:w="16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29,096</w:t>
            </w:r>
          </w:p>
        </w:tc>
        <w:tc>
          <w:tcPr>
            <w:tcW w:w="10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28,309</w:t>
            </w:r>
          </w:p>
        </w:tc>
        <w:tc>
          <w:tcPr>
            <w:tcW w:w="220" w:type="dxa"/>
            <w:vAlign w:val="bottom"/>
            <w:tcBorders>
              <w:top w:val="single" w:sz="8" w:color="F0FFFF"/>
              <w:bottom w:val="single" w:sz="8" w:color="F0FFFF"/>
            </w:tcBorders>
          </w:tcPr>
          <w:p>
            <w:pPr>
              <w:spacing w:after="0"/>
              <w:rPr>
                <w:sz w:val="18"/>
                <w:szCs w:val="18"/>
                <w:color w:val="auto"/>
              </w:rPr>
            </w:pPr>
          </w:p>
        </w:tc>
        <w:tc>
          <w:tcPr>
            <w:tcW w:w="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With an allowance recorded: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23,493</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22,860</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23,574</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22,944</w:t>
            </w: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1,746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13,595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1,406</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1,306</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1,679</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1,581</w:t>
            </w: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4,596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Borders>
              <w:top w:val="single" w:sz="8" w:color="F0FFFF"/>
            </w:tcBorders>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Total commercial</w:t>
            </w:r>
          </w:p>
        </w:tc>
        <w:tc>
          <w:tcPr>
            <w:tcW w:w="3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42,682</w:t>
            </w:r>
          </w:p>
        </w:tc>
        <w:tc>
          <w:tcPr>
            <w:tcW w:w="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41,430</w:t>
            </w:r>
          </w:p>
        </w:tc>
        <w:tc>
          <w:tcPr>
            <w:tcW w:w="16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43,673</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42,329</w:t>
            </w:r>
          </w:p>
        </w:tc>
        <w:tc>
          <w:tcPr>
            <w:tcW w:w="2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mortgage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Consumer installment</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Indirect auto</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2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Total with an allowance recorded</w:t>
            </w:r>
          </w:p>
        </w:tc>
        <w:tc>
          <w:tcPr>
            <w:tcW w:w="38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58,410</w:t>
            </w: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56,300</w:t>
            </w:r>
          </w:p>
        </w:tc>
        <w:tc>
          <w:tcPr>
            <w:tcW w:w="16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59,541</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57,354</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85,663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2017 and December 31, 2016, $3.16 million and $2.90 million, respectively, of specific reserves were allocated to customers whose loan terms have been modified in TDRs. United committed to lend additional amounts totaling up to $77,000 and $95,000 as of March 31, 2017 and December 31, 2016, respectively, to customers with outstanding loans that are classified as TDRs.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modification of the TDR terms included one or a combination of the following: a reduction of the stated interest rate of the loan or an extension of the amortization period that would not otherwise be considered in the current market for new debt with similar risk characteristics; a restructuring of the borrower’s debt into an “A/B note structure” where the A note would fall within the borrower’s ability to pay and the remainder would be included in the B note; a mandated bankruptcy restructuring; or interest-only payment terms greater than 90 days where the borrower is unable to amortize the loan. Modified PCI loans are not accounted for as TDRs because they are not separated from the pools, and as such are not classified as impaired loans.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Loans modified under the terms of a TDR during the three months ended March 31, 2017 and 2016 are presented in the table below. In addition, the following table presents loans modified under the terms of a TDR that defaulted (became 90 days or more delinquent) during the periods presented and were initially restructured within one year prior to default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New TDRs</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0" w:type="dxa"/>
            <w:vAlign w:val="bottom"/>
            <w:gridSpan w:val="5"/>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TDRs Modified Within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4"/>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the Previous Twelve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Pre-</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Post-</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4"/>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Months That Have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6"/>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Subsequently Defaulted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80" w:type="dxa"/>
            <w:vAlign w:val="bottom"/>
          </w:tcPr>
          <w:p>
            <w:pPr>
              <w:spacing w:after="0"/>
              <w:rPr>
                <w:sz w:val="12"/>
                <w:szCs w:val="12"/>
                <w:color w:val="auto"/>
              </w:rPr>
            </w:pPr>
          </w:p>
        </w:tc>
        <w:tc>
          <w:tcPr>
            <w:tcW w:w="4000" w:type="dxa"/>
            <w:vAlign w:val="bottom"/>
            <w:gridSpan w:val="1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 Outstanding Recorded Investment by</w:t>
            </w:r>
          </w:p>
        </w:tc>
        <w:tc>
          <w:tcPr>
            <w:tcW w:w="1900" w:type="dxa"/>
            <w:vAlign w:val="bottom"/>
            <w:gridSpan w:val="6"/>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during the Three Months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Type of Modification</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Borders>
              <w:bottom w:val="single" w:sz="8" w:color="auto"/>
            </w:tcBorders>
            <w:gridSpan w:val="4"/>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2017</w:t>
            </w:r>
          </w:p>
        </w:tc>
        <w:tc>
          <w:tcPr>
            <w:tcW w:w="10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0"/>
                <w:szCs w:val="10"/>
                <w:color w:val="auto"/>
              </w:rPr>
            </w:pPr>
          </w:p>
        </w:tc>
        <w:tc>
          <w:tcPr>
            <w:tcW w:w="98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80" w:type="dxa"/>
            <w:vAlign w:val="bottom"/>
          </w:tcPr>
          <w:p>
            <w:pPr>
              <w:spacing w:after="0"/>
              <w:rPr>
                <w:sz w:val="10"/>
                <w:szCs w:val="10"/>
                <w:color w:val="auto"/>
              </w:rPr>
            </w:pPr>
          </w:p>
        </w:tc>
        <w:tc>
          <w:tcPr>
            <w:tcW w:w="980" w:type="dxa"/>
            <w:vAlign w:val="bottom"/>
            <w:gridSpan w:val="2"/>
          </w:tcPr>
          <w:p>
            <w:pPr>
              <w:jc w:val="center"/>
              <w:ind w:right="380"/>
              <w:spacing w:after="0" w:line="124"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80" w:type="dxa"/>
            <w:vAlign w:val="bottom"/>
          </w:tcPr>
          <w:p>
            <w:pPr>
              <w:spacing w:after="0"/>
              <w:rPr>
                <w:sz w:val="10"/>
                <w:szCs w:val="10"/>
                <w:color w:val="auto"/>
              </w:rPr>
            </w:pPr>
          </w:p>
        </w:tc>
        <w:tc>
          <w:tcPr>
            <w:tcW w:w="9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Structure</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gridSpan w:val="2"/>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0"/>
                <w:szCs w:val="10"/>
                <w:color w:val="auto"/>
              </w:rPr>
            </w:pPr>
          </w:p>
        </w:tc>
        <w:tc>
          <w:tcPr>
            <w:tcW w:w="80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340" w:type="dxa"/>
            <w:vAlign w:val="bottom"/>
            <w:gridSpan w:val="3"/>
            <w:vMerge w:val="continue"/>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 w:type="dxa"/>
            <w:vAlign w:val="bottom"/>
          </w:tcPr>
          <w:p>
            <w:pPr>
              <w:spacing w:after="0"/>
              <w:rPr>
                <w:sz w:val="15"/>
                <w:szCs w:val="15"/>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Owner occupied commercial real estate</w:t>
            </w:r>
          </w:p>
        </w:tc>
        <w:tc>
          <w:tcPr>
            <w:tcW w:w="8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F0FFFF"/>
          </w:tcPr>
          <w:p>
            <w:pPr>
              <w:jc w:val="right"/>
              <w:ind w:right="480"/>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F0FF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F0FF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Income producing commercial real estate</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Commercial &amp; industrial</w:t>
            </w:r>
          </w:p>
        </w:tc>
        <w:tc>
          <w:tcPr>
            <w:tcW w:w="8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4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90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36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construction</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top w:val="single" w:sz="8" w:color="F0FFFF"/>
            </w:tcBorders>
            <w:gridSpan w:val="2"/>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commercial</w:t>
            </w:r>
          </w:p>
        </w:tc>
        <w:tc>
          <w:tcPr>
            <w:tcW w:w="8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4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4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40" w:type="dxa"/>
            <w:vAlign w:val="bottom"/>
            <w:tcBorders>
              <w:top w:val="single" w:sz="8" w:color="F0FFFF"/>
            </w:tcBorders>
            <w:shd w:val="clear" w:color="auto" w:fill="F0FFFF"/>
          </w:tcPr>
          <w:p>
            <w:pPr>
              <w:spacing w:after="0"/>
              <w:rPr>
                <w:sz w:val="12"/>
                <w:szCs w:val="12"/>
                <w:color w:val="auto"/>
              </w:rPr>
            </w:pPr>
          </w:p>
        </w:tc>
        <w:tc>
          <w:tcPr>
            <w:tcW w:w="600" w:type="dxa"/>
            <w:vAlign w:val="bottom"/>
            <w:tcBorders>
              <w:top w:val="single" w:sz="8" w:color="auto"/>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00" w:type="dxa"/>
            <w:vAlign w:val="bottom"/>
            <w:tcBorders>
              <w:top w:val="single" w:sz="8" w:color="F0FFFF"/>
            </w:tcBorders>
            <w:shd w:val="clear" w:color="auto" w:fill="F0FFFF"/>
          </w:tcPr>
          <w:p>
            <w:pPr>
              <w:spacing w:after="0"/>
              <w:rPr>
                <w:sz w:val="12"/>
                <w:szCs w:val="12"/>
                <w:color w:val="auto"/>
              </w:rPr>
            </w:pPr>
          </w:p>
        </w:tc>
        <w:tc>
          <w:tcPr>
            <w:tcW w:w="8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540" w:type="dxa"/>
            <w:vAlign w:val="bottom"/>
            <w:tcBorders>
              <w:top w:val="single" w:sz="8" w:color="auto"/>
            </w:tcBorders>
            <w:shd w:val="clear" w:color="auto" w:fill="F0FFFF"/>
          </w:tcPr>
          <w:p>
            <w:pPr>
              <w:spacing w:after="0"/>
              <w:rPr>
                <w:sz w:val="12"/>
                <w:szCs w:val="12"/>
                <w:color w:val="auto"/>
              </w:rPr>
            </w:pPr>
          </w:p>
        </w:tc>
        <w:tc>
          <w:tcPr>
            <w:tcW w:w="26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Home equity lines of credit</w:t>
            </w:r>
          </w:p>
        </w:tc>
        <w:tc>
          <w:tcPr>
            <w:tcW w:w="8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F0FFFF"/>
          </w:tcPr>
          <w:p>
            <w:pPr>
              <w:spacing w:after="0"/>
              <w:rPr>
                <w:sz w:val="12"/>
                <w:szCs w:val="12"/>
                <w:color w:val="auto"/>
              </w:rPr>
            </w:pPr>
          </w:p>
        </w:tc>
        <w:tc>
          <w:tcPr>
            <w:tcW w:w="2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36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Residential construction</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Consumer installment</w:t>
            </w:r>
          </w:p>
        </w:tc>
        <w:tc>
          <w:tcPr>
            <w:tcW w:w="8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90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36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Indirect auto</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3320" w:type="dxa"/>
            <w:vAlign w:val="bottom"/>
            <w:tcBorders>
              <w:top w:val="single" w:sz="8" w:color="F0FFFF"/>
              <w:bottom w:val="single" w:sz="8" w:color="F0FFFF"/>
            </w:tcBorders>
            <w:gridSpan w:val="2"/>
            <w:shd w:val="clear" w:color="auto" w:fill="F0FFFF"/>
          </w:tcPr>
          <w:p>
            <w:pPr>
              <w:ind w:left="160"/>
              <w:spacing w:after="0"/>
              <w:rPr>
                <w:sz w:val="20"/>
                <w:szCs w:val="20"/>
                <w:color w:val="auto"/>
              </w:rPr>
            </w:pPr>
            <w:r>
              <w:rPr>
                <w:rFonts w:ascii="Times New Roman" w:cs="Times New Roman" w:eastAsia="Times New Roman" w:hAnsi="Times New Roman"/>
                <w:sz w:val="14"/>
                <w:szCs w:val="14"/>
                <w:color w:val="auto"/>
              </w:rPr>
              <w:t>Total loans</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6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600" w:type="dxa"/>
            <w:vAlign w:val="bottom"/>
            <w:tcBorders>
              <w:top w:val="single" w:sz="8" w:color="auto"/>
              <w:bottom w:val="single" w:sz="8" w:color="auto"/>
            </w:tcBorders>
            <w:shd w:val="clear" w:color="auto" w:fill="F0FFFF"/>
          </w:tcPr>
          <w:p>
            <w:pPr>
              <w:jc w:val="right"/>
              <w:ind w:right="480"/>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6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200" w:type="dxa"/>
            <w:vAlign w:val="bottom"/>
            <w:tcBorders>
              <w:top w:val="single" w:sz="8" w:color="F0FFFF"/>
              <w:bottom w:val="single" w:sz="8" w:color="F0FFFF"/>
            </w:tcBorders>
            <w:shd w:val="clear" w:color="auto" w:fill="F0FFFF"/>
          </w:tcPr>
          <w:p>
            <w:pPr>
              <w:spacing w:after="0"/>
              <w:rPr>
                <w:sz w:val="15"/>
                <w:szCs w:val="15"/>
                <w:color w:val="auto"/>
              </w:rPr>
            </w:pP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540" w:type="dxa"/>
            <w:vAlign w:val="bottom"/>
            <w:tcBorders>
              <w:top w:val="single" w:sz="8" w:color="auto"/>
              <w:bottom w:val="single" w:sz="8" w:color="auto"/>
            </w:tcBorders>
            <w:shd w:val="clear" w:color="auto" w:fill="F0FF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64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54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3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3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2016</w:t>
            </w:r>
          </w:p>
        </w:tc>
        <w:tc>
          <w:tcPr>
            <w:tcW w:w="8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60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64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8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tcBorders>
              <w:top w:val="single" w:sz="8" w:color="auto"/>
            </w:tcBorders>
          </w:tcPr>
          <w:p>
            <w:pPr>
              <w:spacing w:after="0"/>
              <w:rPr>
                <w:sz w:val="12"/>
                <w:szCs w:val="12"/>
                <w:color w:val="auto"/>
              </w:rPr>
            </w:pPr>
          </w:p>
        </w:tc>
        <w:tc>
          <w:tcPr>
            <w:tcW w:w="140" w:type="dxa"/>
            <w:vAlign w:val="bottom"/>
            <w:tcBorders>
              <w:top w:val="single" w:sz="8" w:color="F0FFFF"/>
            </w:tcBorders>
          </w:tcPr>
          <w:p>
            <w:pPr>
              <w:spacing w:after="0"/>
              <w:rPr>
                <w:sz w:val="12"/>
                <w:szCs w:val="12"/>
                <w:color w:val="auto"/>
              </w:rPr>
            </w:pPr>
          </w:p>
        </w:tc>
        <w:tc>
          <w:tcPr>
            <w:tcW w:w="800" w:type="dxa"/>
            <w:vAlign w:val="bottom"/>
            <w:tcBorders>
              <w:top w:val="single" w:sz="8" w:color="F0FFFF"/>
            </w:tcBorders>
          </w:tcPr>
          <w:p>
            <w:pPr>
              <w:spacing w:after="0"/>
              <w:rPr>
                <w:sz w:val="12"/>
                <w:szCs w:val="12"/>
                <w:color w:val="auto"/>
              </w:rPr>
            </w:pPr>
          </w:p>
        </w:tc>
        <w:tc>
          <w:tcPr>
            <w:tcW w:w="24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740" w:type="dxa"/>
            <w:vAlign w:val="bottom"/>
            <w:tcBorders>
              <w:top w:val="single" w:sz="8" w:color="F0FFFF"/>
            </w:tcBorders>
          </w:tcPr>
          <w:p>
            <w:pPr>
              <w:spacing w:after="0"/>
              <w:rPr>
                <w:sz w:val="12"/>
                <w:szCs w:val="12"/>
                <w:color w:val="auto"/>
              </w:rPr>
            </w:pPr>
          </w:p>
        </w:tc>
        <w:tc>
          <w:tcPr>
            <w:tcW w:w="24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720" w:type="dxa"/>
            <w:vAlign w:val="bottom"/>
            <w:tcBorders>
              <w:top w:val="single" w:sz="8" w:color="F0FFFF"/>
            </w:tcBorders>
          </w:tcPr>
          <w:p>
            <w:pPr>
              <w:spacing w:after="0"/>
              <w:rPr>
                <w:sz w:val="12"/>
                <w:szCs w:val="12"/>
                <w:color w:val="auto"/>
              </w:rPr>
            </w:pPr>
          </w:p>
        </w:tc>
        <w:tc>
          <w:tcPr>
            <w:tcW w:w="26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720" w:type="dxa"/>
            <w:vAlign w:val="bottom"/>
            <w:tcBorders>
              <w:top w:val="single" w:sz="8" w:color="F0FFFF"/>
            </w:tcBorders>
          </w:tcPr>
          <w:p>
            <w:pPr>
              <w:spacing w:after="0"/>
              <w:rPr>
                <w:sz w:val="12"/>
                <w:szCs w:val="12"/>
                <w:color w:val="auto"/>
              </w:rPr>
            </w:pPr>
          </w:p>
        </w:tc>
        <w:tc>
          <w:tcPr>
            <w:tcW w:w="240" w:type="dxa"/>
            <w:vAlign w:val="bottom"/>
            <w:tcBorders>
              <w:top w:val="single" w:sz="8" w:color="F0FFFF"/>
            </w:tcBorders>
          </w:tcPr>
          <w:p>
            <w:pPr>
              <w:spacing w:after="0"/>
              <w:rPr>
                <w:sz w:val="12"/>
                <w:szCs w:val="12"/>
                <w:color w:val="auto"/>
              </w:rPr>
            </w:pPr>
          </w:p>
        </w:tc>
        <w:tc>
          <w:tcPr>
            <w:tcW w:w="600" w:type="dxa"/>
            <w:vAlign w:val="bottom"/>
            <w:tcBorders>
              <w:top w:val="single" w:sz="8" w:color="F0FFFF"/>
            </w:tcBorders>
          </w:tcPr>
          <w:p>
            <w:pPr>
              <w:spacing w:after="0"/>
              <w:rPr>
                <w:sz w:val="12"/>
                <w:szCs w:val="12"/>
                <w:color w:val="auto"/>
              </w:rPr>
            </w:pPr>
          </w:p>
        </w:tc>
        <w:tc>
          <w:tcPr>
            <w:tcW w:w="18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60" w:type="dxa"/>
            <w:vAlign w:val="bottom"/>
            <w:tcBorders>
              <w:top w:val="single" w:sz="8" w:color="F0FFFF"/>
            </w:tcBorders>
          </w:tcPr>
          <w:p>
            <w:pPr>
              <w:spacing w:after="0"/>
              <w:rPr>
                <w:sz w:val="12"/>
                <w:szCs w:val="12"/>
                <w:color w:val="auto"/>
              </w:rPr>
            </w:pPr>
          </w:p>
        </w:tc>
        <w:tc>
          <w:tcPr>
            <w:tcW w:w="640" w:type="dxa"/>
            <w:vAlign w:val="bottom"/>
            <w:tcBorders>
              <w:top w:val="single" w:sz="8" w:color="F0FFFF"/>
            </w:tcBorders>
          </w:tcPr>
          <w:p>
            <w:pPr>
              <w:spacing w:after="0"/>
              <w:rPr>
                <w:sz w:val="12"/>
                <w:szCs w:val="12"/>
                <w:color w:val="auto"/>
              </w:rPr>
            </w:pPr>
          </w:p>
        </w:tc>
        <w:tc>
          <w:tcPr>
            <w:tcW w:w="200" w:type="dxa"/>
            <w:vAlign w:val="bottom"/>
            <w:tcBorders>
              <w:top w:val="single" w:sz="8" w:color="F0FFFF"/>
            </w:tcBorders>
          </w:tcPr>
          <w:p>
            <w:pPr>
              <w:spacing w:after="0"/>
              <w:rPr>
                <w:sz w:val="12"/>
                <w:szCs w:val="12"/>
                <w:color w:val="auto"/>
              </w:rPr>
            </w:pPr>
          </w:p>
        </w:tc>
        <w:tc>
          <w:tcPr>
            <w:tcW w:w="80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540" w:type="dxa"/>
            <w:vAlign w:val="bottom"/>
            <w:tcBorders>
              <w:top w:val="single" w:sz="8" w:color="F0FFFF"/>
            </w:tcBorders>
          </w:tcPr>
          <w:p>
            <w:pPr>
              <w:spacing w:after="0"/>
              <w:rPr>
                <w:sz w:val="12"/>
                <w:szCs w:val="12"/>
                <w:color w:val="auto"/>
              </w:rPr>
            </w:pPr>
          </w:p>
        </w:tc>
        <w:tc>
          <w:tcPr>
            <w:tcW w:w="26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Owner occupied commercial real estate</w:t>
            </w:r>
          </w:p>
        </w:tc>
        <w:tc>
          <w:tcPr>
            <w:tcW w:w="8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649</w:t>
            </w: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649</w:t>
            </w:r>
          </w:p>
        </w:tc>
        <w:tc>
          <w:tcPr>
            <w:tcW w:w="240" w:type="dxa"/>
            <w:vAlign w:val="bottom"/>
            <w:shd w:val="clear" w:color="auto" w:fill="F0FFFF"/>
          </w:tcPr>
          <w:p>
            <w:pPr>
              <w:spacing w:after="0"/>
              <w:rPr>
                <w:sz w:val="12"/>
                <w:szCs w:val="12"/>
                <w:color w:val="auto"/>
              </w:rPr>
            </w:pPr>
          </w:p>
        </w:tc>
        <w:tc>
          <w:tcPr>
            <w:tcW w:w="600" w:type="dxa"/>
            <w:vAlign w:val="bottom"/>
            <w:shd w:val="clear" w:color="auto" w:fill="F0FFFF"/>
          </w:tcPr>
          <w:p>
            <w:pPr>
              <w:jc w:val="right"/>
              <w:ind w:right="480"/>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F0FF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649</w:t>
            </w:r>
          </w:p>
        </w:tc>
        <w:tc>
          <w:tcPr>
            <w:tcW w:w="90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40" w:type="dxa"/>
            <w:vAlign w:val="bottom"/>
            <w:gridSpan w:val="2"/>
            <w:shd w:val="clear" w:color="auto" w:fill="F0FF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Income producing commercial real estate</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Commercial &amp; industrial</w:t>
            </w:r>
          </w:p>
        </w:tc>
        <w:tc>
          <w:tcPr>
            <w:tcW w:w="8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24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90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36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construction</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66</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top w:val="single" w:sz="8" w:color="F0FFFF"/>
            </w:tcBorders>
            <w:gridSpan w:val="2"/>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commercial</w:t>
            </w:r>
          </w:p>
        </w:tc>
        <w:tc>
          <w:tcPr>
            <w:tcW w:w="8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4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4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912</w:t>
            </w:r>
          </w:p>
        </w:tc>
        <w:tc>
          <w:tcPr>
            <w:tcW w:w="24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240" w:type="dxa"/>
            <w:vAlign w:val="bottom"/>
            <w:tcBorders>
              <w:top w:val="single" w:sz="8" w:color="F0FFFF"/>
            </w:tcBorders>
            <w:shd w:val="clear" w:color="auto" w:fill="F0FFFF"/>
          </w:tcPr>
          <w:p>
            <w:pPr>
              <w:spacing w:after="0"/>
              <w:rPr>
                <w:sz w:val="12"/>
                <w:szCs w:val="12"/>
                <w:color w:val="auto"/>
              </w:rPr>
            </w:pPr>
          </w:p>
        </w:tc>
        <w:tc>
          <w:tcPr>
            <w:tcW w:w="600" w:type="dxa"/>
            <w:vAlign w:val="bottom"/>
            <w:tcBorders>
              <w:top w:val="single" w:sz="8" w:color="auto"/>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912</w:t>
            </w:r>
          </w:p>
        </w:tc>
        <w:tc>
          <w:tcPr>
            <w:tcW w:w="200" w:type="dxa"/>
            <w:vAlign w:val="bottom"/>
            <w:tcBorders>
              <w:top w:val="single" w:sz="8" w:color="F0FFFF"/>
            </w:tcBorders>
            <w:shd w:val="clear" w:color="auto" w:fill="F0FFFF"/>
          </w:tcPr>
          <w:p>
            <w:pPr>
              <w:spacing w:after="0"/>
              <w:rPr>
                <w:sz w:val="12"/>
                <w:szCs w:val="12"/>
                <w:color w:val="auto"/>
              </w:rPr>
            </w:pPr>
          </w:p>
        </w:tc>
        <w:tc>
          <w:tcPr>
            <w:tcW w:w="8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540" w:type="dxa"/>
            <w:vAlign w:val="bottom"/>
            <w:tcBorders>
              <w:top w:val="single" w:sz="8" w:color="auto"/>
            </w:tcBorders>
            <w:shd w:val="clear" w:color="auto" w:fill="F0FFFF"/>
          </w:tcPr>
          <w:p>
            <w:pPr>
              <w:spacing w:after="0"/>
              <w:rPr>
                <w:sz w:val="12"/>
                <w:szCs w:val="12"/>
                <w:color w:val="auto"/>
              </w:rPr>
            </w:pPr>
          </w:p>
        </w:tc>
        <w:tc>
          <w:tcPr>
            <w:tcW w:w="26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10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763</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Home equity lines of credit</w:t>
            </w:r>
          </w:p>
        </w:tc>
        <w:tc>
          <w:tcPr>
            <w:tcW w:w="8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F0FFFF"/>
          </w:tcPr>
          <w:p>
            <w:pPr>
              <w:spacing w:after="0"/>
              <w:rPr>
                <w:sz w:val="12"/>
                <w:szCs w:val="12"/>
                <w:color w:val="auto"/>
              </w:rPr>
            </w:pPr>
          </w:p>
        </w:tc>
        <w:tc>
          <w:tcPr>
            <w:tcW w:w="2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36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Residential construction</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Consumer installment</w:t>
            </w:r>
          </w:p>
        </w:tc>
        <w:tc>
          <w:tcPr>
            <w:tcW w:w="8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4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90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36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Indirect auto</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3320" w:type="dxa"/>
            <w:vAlign w:val="bottom"/>
            <w:tcBorders>
              <w:top w:val="single" w:sz="8" w:color="F0FFFF"/>
              <w:bottom w:val="single" w:sz="8" w:color="F0FFFF"/>
            </w:tcBorders>
            <w:gridSpan w:val="2"/>
            <w:shd w:val="clear" w:color="auto" w:fill="F0FFFF"/>
          </w:tcPr>
          <w:p>
            <w:pPr>
              <w:ind w:left="160"/>
              <w:spacing w:after="0"/>
              <w:rPr>
                <w:sz w:val="20"/>
                <w:szCs w:val="20"/>
                <w:color w:val="auto"/>
              </w:rPr>
            </w:pPr>
            <w:r>
              <w:rPr>
                <w:rFonts w:ascii="Times New Roman" w:cs="Times New Roman" w:eastAsia="Times New Roman" w:hAnsi="Times New Roman"/>
                <w:sz w:val="14"/>
                <w:szCs w:val="14"/>
                <w:color w:val="auto"/>
              </w:rPr>
              <w:t>Total loans</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1,731</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26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600" w:type="dxa"/>
            <w:vAlign w:val="bottom"/>
            <w:tcBorders>
              <w:top w:val="single" w:sz="8" w:color="auto"/>
              <w:bottom w:val="single" w:sz="8" w:color="auto"/>
            </w:tcBorders>
            <w:shd w:val="clear" w:color="auto" w:fill="F0FFFF"/>
          </w:tcPr>
          <w:p>
            <w:pPr>
              <w:jc w:val="right"/>
              <w:ind w:right="480"/>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6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200" w:type="dxa"/>
            <w:vAlign w:val="bottom"/>
            <w:tcBorders>
              <w:top w:val="single" w:sz="8" w:color="F0FFFF"/>
              <w:bottom w:val="single" w:sz="8" w:color="F0FFFF"/>
            </w:tcBorders>
            <w:shd w:val="clear" w:color="auto" w:fill="F0FFFF"/>
          </w:tcPr>
          <w:p>
            <w:pPr>
              <w:spacing w:after="0"/>
              <w:rPr>
                <w:sz w:val="15"/>
                <w:szCs w:val="15"/>
                <w:color w:val="auto"/>
              </w:rPr>
            </w:pP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540" w:type="dxa"/>
            <w:vAlign w:val="bottom"/>
            <w:tcBorders>
              <w:top w:val="single" w:sz="8" w:color="auto"/>
              <w:bottom w:val="single" w:sz="8" w:color="auto"/>
            </w:tcBorders>
            <w:shd w:val="clear" w:color="auto" w:fill="F0FF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64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54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TDRs that subsequently default and are placed on nonaccrual are charged down to the fair value of the collateral consistent with United’s policy for nonaccrual loans.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average balances of impaired loans and income recognized on impaired loans while they were considered impaired are presented below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0" w:type="dxa"/>
            <w:vAlign w:val="bottom"/>
          </w:tcPr>
          <w:p>
            <w:pPr>
              <w:spacing w:after="0"/>
              <w:rPr>
                <w:sz w:val="18"/>
                <w:szCs w:val="18"/>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Cash Basis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00" w:type="dxa"/>
            <w:vAlign w:val="bottom"/>
          </w:tcPr>
          <w:p>
            <w:pPr>
              <w:spacing w:after="0"/>
              <w:rPr>
                <w:sz w:val="18"/>
                <w:szCs w:val="18"/>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Cash Basis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Recognized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Recognized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During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During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0" w:type="dxa"/>
            <w:vAlign w:val="bottom"/>
          </w:tcPr>
          <w:p>
            <w:pPr>
              <w:spacing w:after="0"/>
              <w:rPr>
                <w:sz w:val="1"/>
                <w:szCs w:val="1"/>
                <w:color w:val="auto"/>
              </w:rPr>
            </w:pPr>
          </w:p>
        </w:tc>
      </w:tr>
      <w:tr>
        <w:trPr>
          <w:trHeight w:val="245"/>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20" w:type="dxa"/>
            <w:vAlign w:val="bottom"/>
          </w:tcPr>
          <w:p>
            <w:pPr>
              <w:spacing w:after="0"/>
              <w:rPr>
                <w:sz w:val="21"/>
                <w:szCs w:val="21"/>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Impairment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Received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1"/>
                <w:szCs w:val="21"/>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Impairment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Received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2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29,858</w:t>
            </w:r>
          </w:p>
        </w:tc>
        <w:tc>
          <w:tcPr>
            <w:tcW w:w="2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336</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33,696</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448</w:t>
            </w:r>
          </w:p>
        </w:tc>
        <w:tc>
          <w:tcPr>
            <w:tcW w:w="2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1,939</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2,385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top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65,208</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68,975</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88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81,907</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86,915</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0" w:type="dxa"/>
            <w:vAlign w:val="bottom"/>
          </w:tcPr>
          <w:p>
            <w:pPr>
              <w:spacing w:after="0"/>
              <w:rPr>
                <w:sz w:val="24"/>
                <w:szCs w:val="24"/>
                <w:color w:val="auto"/>
              </w:rPr>
            </w:pPr>
          </w:p>
        </w:tc>
        <w:tc>
          <w:tcPr>
            <w:tcW w:w="38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jc w:val="right"/>
              <w:ind w:right="43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Nonaccrual loans include both homogeneous loans that are collectively evaluated for impairment and individually evaluated impaired loans. United’s policy is to place loans on nonaccrual status when, in the opinion of management, the principal and interest on a loan is not likely to be repaid in full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the loan’s recorded investment.</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PCI loans are considered past due or delinquent when the contractual principal or interest due in accordance with the terms of the loan agreement remains unpaid after the due date of the scheduled payment. However, these loans are considered to be performing, even though they may be contractually past due, as any non-payment of contractual principal or interest is considered in the periodic re-estimation of expected cash flows and is included in the resulting recognition of current period loan loss provision or future period yield adjustments. The accrual of interest is discontinued on PCI loans if management can no longer reliably estimate future cash flows on the loan. No PCI loans were classified as nonaccrual at March 31, 2017 or December 31, 2016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PCI loans.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gross additional interest revenue that would have been earned if the loans classified as nonaccrual had performed in accordance with the original terms was approximately $277,000 and $254,000 for the three months ended March 31, 2017 and 2016,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the recorded investment in nonaccrual loans by loan class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9"/>
                <w:szCs w:val="19"/>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16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29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400" w:type="dxa"/>
            <w:vAlign w:val="bottom"/>
            <w:gridSpan w:val="2"/>
            <w:shd w:val="clear" w:color="auto" w:fill="F0FF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8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8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720" w:type="dxa"/>
            <w:vAlign w:val="bottom"/>
            <w:tcBorders>
              <w:bottom w:val="single" w:sz="8" w:color="F0FFFF"/>
            </w:tcBorders>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278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6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80" w:type="dxa"/>
            <w:vAlign w:val="bottom"/>
            <w:tcBorders>
              <w:bottom w:val="single" w:sz="8" w:color="F0FFFF"/>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2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9,673</w:t>
            </w:r>
          </w:p>
        </w:tc>
        <w:tc>
          <w:tcPr>
            <w:tcW w:w="1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11,201</w:t>
            </w:r>
          </w:p>
        </w:tc>
        <w:tc>
          <w:tcPr>
            <w:tcW w:w="8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2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8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2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720" w:type="dxa"/>
            <w:vAlign w:val="bottom"/>
            <w:tcBorders>
              <w:bottom w:val="single" w:sz="8" w:color="F0FFFF"/>
            </w:tcBorders>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278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6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80" w:type="dxa"/>
            <w:vAlign w:val="bottom"/>
            <w:tcBorders>
              <w:bottom w:val="single" w:sz="8" w:color="F0FFFF"/>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160" w:type="dxa"/>
            <w:vAlign w:val="bottom"/>
          </w:tcPr>
          <w:p>
            <w:pPr>
              <w:spacing w:after="0"/>
              <w:rPr>
                <w:sz w:val="21"/>
                <w:szCs w:val="21"/>
                <w:color w:val="auto"/>
              </w:rPr>
            </w:pPr>
          </w:p>
        </w:tc>
        <w:tc>
          <w:tcPr>
            <w:tcW w:w="3720" w:type="dxa"/>
            <w:vAlign w:val="bottom"/>
            <w:tcBorders>
              <w:bottom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19,812</w:t>
            </w:r>
          </w:p>
        </w:tc>
        <w:tc>
          <w:tcPr>
            <w:tcW w:w="16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21,539</w:t>
            </w:r>
          </w:p>
        </w:tc>
        <w:tc>
          <w:tcPr>
            <w:tcW w:w="80" w:type="dxa"/>
            <w:vAlign w:val="bottom"/>
            <w:tcBorders>
              <w:bottom w:val="single" w:sz="8" w:color="F0FFFF"/>
            </w:tcBorders>
            <w:shd w:val="clear" w:color="auto" w:fill="F0FF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20" w:type="dxa"/>
            <w:vAlign w:val="bottom"/>
            <w:tcBorders>
              <w:top w:val="single" w:sz="8" w:color="F0FFFF"/>
            </w:tcBorders>
          </w:tcPr>
          <w:p>
            <w:pPr>
              <w:spacing w:after="0" w:line="20" w:lineRule="exact"/>
              <w:rPr>
                <w:sz w:val="1"/>
                <w:szCs w:val="1"/>
                <w:color w:val="auto"/>
              </w:rPr>
            </w:pPr>
          </w:p>
        </w:tc>
        <w:tc>
          <w:tcPr>
            <w:tcW w:w="2780" w:type="dxa"/>
            <w:vAlign w:val="bottom"/>
            <w:tcBorders>
              <w:top w:val="single" w:sz="8" w:color="F0FFFF"/>
              <w:bottom w:val="single" w:sz="8" w:color="F0FFFF"/>
            </w:tcBorders>
            <w:vMerge w:val="restart"/>
          </w:tcPr>
          <w:p>
            <w:pPr>
              <w:jc w:val="right"/>
              <w:ind w:right="175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1160" w:type="dxa"/>
            <w:vAlign w:val="bottom"/>
            <w:tcBorders>
              <w:bottom w:val="single" w:sz="8" w:color="DCDCDC"/>
            </w:tcBorders>
          </w:tcPr>
          <w:p>
            <w:pPr>
              <w:spacing w:after="0"/>
              <w:rPr>
                <w:sz w:val="24"/>
                <w:szCs w:val="24"/>
                <w:color w:val="auto"/>
              </w:rPr>
            </w:pPr>
          </w:p>
        </w:tc>
        <w:tc>
          <w:tcPr>
            <w:tcW w:w="3720" w:type="dxa"/>
            <w:vAlign w:val="bottom"/>
            <w:tcBorders>
              <w:bottom w:val="single" w:sz="8" w:color="DCDCDC"/>
            </w:tcBorders>
          </w:tcPr>
          <w:p>
            <w:pPr>
              <w:spacing w:after="0"/>
              <w:rPr>
                <w:sz w:val="24"/>
                <w:szCs w:val="24"/>
                <w:color w:val="auto"/>
              </w:rPr>
            </w:pPr>
          </w:p>
        </w:tc>
        <w:tc>
          <w:tcPr>
            <w:tcW w:w="2780" w:type="dxa"/>
            <w:vAlign w:val="bottom"/>
            <w:tcBorders>
              <w:bottom w:val="single" w:sz="8" w:color="DCDCDC"/>
            </w:tcBorders>
            <w:vMerge w:val="continue"/>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Excluding PCI loans, substantially all loans more than 90 days past due were on nonaccrual status at March 31, 2017 and December 31, 2016. The following table presents the aging of the recorded investment in past due loans by class of loans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Loans Past Due</w:t>
            </w:r>
          </w:p>
        </w:tc>
        <w:tc>
          <w:tcPr>
            <w:tcW w:w="7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Loans Not</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08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As of March 31, 2017</w:t>
            </w:r>
          </w:p>
        </w:tc>
        <w:tc>
          <w:tcPr>
            <w:tcW w:w="116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30 - 59 Days</w:t>
            </w:r>
          </w:p>
        </w:tc>
        <w:tc>
          <w:tcPr>
            <w:tcW w:w="116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8"/>
                <w:szCs w:val="18"/>
                <w:b w:val="1"/>
                <w:bCs w:val="1"/>
                <w:color w:val="auto"/>
                <w:w w:val="98"/>
              </w:rPr>
              <w:t>60 - 89 Days</w:t>
            </w:r>
          </w:p>
        </w:tc>
        <w:tc>
          <w:tcPr>
            <w:tcW w:w="10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&gt; 90 Days</w:t>
            </w:r>
          </w:p>
        </w:tc>
        <w:tc>
          <w:tcPr>
            <w:tcW w:w="760" w:type="dxa"/>
            <w:vAlign w:val="bottom"/>
          </w:tcPr>
          <w:p>
            <w:pPr>
              <w:jc w:val="right"/>
              <w:ind w:right="90"/>
              <w:spacing w:after="0" w:line="156" w:lineRule="exact"/>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5"/>
                <w:szCs w:val="15"/>
                <w:color w:val="auto"/>
              </w:rPr>
            </w:pPr>
          </w:p>
        </w:tc>
        <w:tc>
          <w:tcPr>
            <w:tcW w:w="94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8"/>
                <w:szCs w:val="18"/>
                <w:b w:val="1"/>
                <w:bCs w:val="1"/>
                <w:color w:val="auto"/>
                <w:w w:val="99"/>
              </w:rPr>
              <w:t>Past Due</w:t>
            </w:r>
          </w:p>
        </w:tc>
        <w:tc>
          <w:tcPr>
            <w:tcW w:w="116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8"/>
                <w:szCs w:val="18"/>
                <w:b w:val="1"/>
                <w:bCs w:val="1"/>
                <w:color w:val="auto"/>
              </w:rPr>
              <w:t>PCI Loans</w:t>
            </w:r>
          </w:p>
        </w:tc>
        <w:tc>
          <w:tcPr>
            <w:tcW w:w="940" w:type="dxa"/>
            <w:vAlign w:val="bottom"/>
            <w:gridSpan w:val="2"/>
          </w:tcPr>
          <w:p>
            <w:pPr>
              <w:ind w:left="220"/>
              <w:spacing w:after="0" w:line="156"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20" w:type="dxa"/>
            <w:vAlign w:val="bottom"/>
            <w:tcBorders>
              <w:top w:val="single" w:sz="8" w:color="auto"/>
            </w:tcBorders>
          </w:tcPr>
          <w:p>
            <w:pPr>
              <w:spacing w:after="0"/>
              <w:rPr>
                <w:sz w:val="3"/>
                <w:szCs w:val="3"/>
                <w:color w:val="auto"/>
              </w:rPr>
            </w:pPr>
          </w:p>
        </w:tc>
        <w:tc>
          <w:tcPr>
            <w:tcW w:w="24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1,947</w:t>
            </w: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1,472</w:t>
            </w:r>
          </w:p>
        </w:tc>
        <w:tc>
          <w:tcPr>
            <w:tcW w:w="10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3,866</w:t>
            </w:r>
          </w:p>
        </w:tc>
        <w:tc>
          <w:tcPr>
            <w:tcW w:w="9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7,285</w:t>
            </w: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1,608,474</w:t>
            </w:r>
          </w:p>
        </w:tc>
        <w:tc>
          <w:tcPr>
            <w:tcW w:w="100" w:type="dxa"/>
            <w:vAlign w:val="bottom"/>
            <w:shd w:val="clear" w:color="auto" w:fill="F0FFFF"/>
          </w:tcPr>
          <w:p>
            <w:pPr>
              <w:spacing w:after="0"/>
              <w:rPr>
                <w:sz w:val="18"/>
                <w:szCs w:val="18"/>
                <w:color w:val="auto"/>
              </w:rPr>
            </w:pPr>
          </w:p>
        </w:tc>
        <w:tc>
          <w:tcPr>
            <w:tcW w:w="1160" w:type="dxa"/>
            <w:vAlign w:val="bottom"/>
            <w:gridSpan w:val="3"/>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17,691</w:t>
            </w: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1,633,450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1,894</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1,271,117</w:t>
            </w:r>
          </w:p>
        </w:tc>
        <w:tc>
          <w:tcPr>
            <w:tcW w:w="10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23,111</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1,928</w:t>
            </w: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1,045</w:t>
            </w:r>
          </w:p>
        </w:tc>
        <w:tc>
          <w:tcPr>
            <w:tcW w:w="10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9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3,045</w:t>
            </w: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1,076,032</w:t>
            </w:r>
          </w:p>
        </w:tc>
        <w:tc>
          <w:tcPr>
            <w:tcW w:w="100" w:type="dxa"/>
            <w:vAlign w:val="bottom"/>
            <w:shd w:val="clear" w:color="auto" w:fill="F0FFFF"/>
          </w:tcPr>
          <w:p>
            <w:pPr>
              <w:spacing w:after="0"/>
              <w:rPr>
                <w:sz w:val="18"/>
                <w:szCs w:val="18"/>
                <w:color w:val="auto"/>
              </w:rPr>
            </w:pPr>
          </w:p>
        </w:tc>
        <w:tc>
          <w:tcPr>
            <w:tcW w:w="1160" w:type="dxa"/>
            <w:vAlign w:val="bottom"/>
            <w:gridSpan w:val="3"/>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760</w:t>
            </w: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1,079,837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833</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657,410</w:t>
            </w:r>
          </w:p>
        </w:tc>
        <w:tc>
          <w:tcPr>
            <w:tcW w:w="100" w:type="dxa"/>
            <w:vAlign w:val="bottom"/>
          </w:tcPr>
          <w:p>
            <w:pPr>
              <w:spacing w:after="0"/>
              <w:rPr>
                <w:sz w:val="20"/>
                <w:szCs w:val="20"/>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7,670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666,861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top w:val="single" w:sz="8" w:color="F0FFFF"/>
            </w:tcBorders>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9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220" w:type="dxa"/>
            <w:vAlign w:val="bottom"/>
            <w:tcBorders>
              <w:top w:val="single" w:sz="8" w:color="F0FFFF"/>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220" w:type="dxa"/>
            <w:vAlign w:val="bottom"/>
            <w:tcBorders>
              <w:top w:val="single" w:sz="8" w:color="F0FFFF"/>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220" w:type="dxa"/>
            <w:vAlign w:val="bottom"/>
            <w:tcBorders>
              <w:top w:val="single" w:sz="8" w:color="F0FFFF"/>
            </w:tcBorders>
            <w:shd w:val="clear" w:color="auto" w:fill="F0FFFF"/>
          </w:tcPr>
          <w:p>
            <w:pPr>
              <w:spacing w:after="0"/>
              <w:rPr>
                <w:sz w:val="18"/>
                <w:szCs w:val="18"/>
                <w:color w:val="auto"/>
              </w:rPr>
            </w:pPr>
          </w:p>
        </w:tc>
        <w:tc>
          <w:tcPr>
            <w:tcW w:w="7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14,583</w:t>
            </w:r>
          </w:p>
        </w:tc>
        <w:tc>
          <w:tcPr>
            <w:tcW w:w="220" w:type="dxa"/>
            <w:vAlign w:val="bottom"/>
            <w:tcBorders>
              <w:top w:val="single" w:sz="8" w:color="F0FFFF"/>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4,613,033</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49,232</w:t>
            </w:r>
          </w:p>
        </w:tc>
        <w:tc>
          <w:tcPr>
            <w:tcW w:w="220" w:type="dxa"/>
            <w:vAlign w:val="bottom"/>
            <w:tcBorders>
              <w:top w:val="single" w:sz="8" w:color="F0FFFF"/>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4,676,848</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3,955</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8,688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845,234</w:t>
            </w:r>
          </w:p>
        </w:tc>
        <w:tc>
          <w:tcPr>
            <w:tcW w:w="10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5,874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1,182</w:t>
            </w: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0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9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1,687</w:t>
            </w: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655,391</w:t>
            </w:r>
          </w:p>
        </w:tc>
        <w:tc>
          <w:tcPr>
            <w:tcW w:w="100" w:type="dxa"/>
            <w:vAlign w:val="bottom"/>
            <w:shd w:val="clear" w:color="auto" w:fill="F0FFFF"/>
          </w:tcPr>
          <w:p>
            <w:pPr>
              <w:spacing w:after="0"/>
              <w:rPr>
                <w:sz w:val="18"/>
                <w:szCs w:val="18"/>
                <w:color w:val="auto"/>
              </w:rPr>
            </w:pPr>
          </w:p>
        </w:tc>
        <w:tc>
          <w:tcPr>
            <w:tcW w:w="1160" w:type="dxa"/>
            <w:vAlign w:val="bottom"/>
            <w:gridSpan w:val="3"/>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1,963</w:t>
            </w: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659,041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195,417</w:t>
            </w:r>
          </w:p>
        </w:tc>
        <w:tc>
          <w:tcPr>
            <w:tcW w:w="10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543</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421</w:t>
            </w: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10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9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613</w:t>
            </w: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111,700</w:t>
            </w:r>
          </w:p>
        </w:tc>
        <w:tc>
          <w:tcPr>
            <w:tcW w:w="1160" w:type="dxa"/>
            <w:vAlign w:val="bottom"/>
            <w:gridSpan w:val="3"/>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112,461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929</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458,391</w:t>
            </w:r>
          </w:p>
        </w:tc>
        <w:tc>
          <w:tcPr>
            <w:tcW w:w="100" w:type="dxa"/>
            <w:vAlign w:val="bottom"/>
          </w:tcPr>
          <w:p>
            <w:pPr>
              <w:spacing w:after="0"/>
              <w:rPr>
                <w:sz w:val="20"/>
                <w:szCs w:val="20"/>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460,201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060" w:type="dxa"/>
            <w:vAlign w:val="bottom"/>
            <w:tcBorders>
              <w:top w:val="single" w:sz="8" w:color="F0FFFF"/>
              <w:bottom w:val="single" w:sz="8" w:color="F0FFFF"/>
            </w:tcBorders>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loans</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13,198</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28,064</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6,879,166</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57,760</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6,964,990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F0FFFF"/>
            </w:tcBorders>
          </w:tcPr>
          <w:p>
            <w:pPr>
              <w:spacing w:after="0" w:line="20" w:lineRule="exact"/>
              <w:rPr>
                <w:sz w:val="1"/>
                <w:szCs w:val="1"/>
                <w:color w:val="auto"/>
              </w:rPr>
            </w:pPr>
          </w:p>
        </w:tc>
        <w:tc>
          <w:tcPr>
            <w:tcW w:w="2440" w:type="dxa"/>
            <w:vAlign w:val="bottom"/>
            <w:tcBorders>
              <w:top w:val="single" w:sz="8" w:color="F0FFFF"/>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Loans Past Due</w:t>
            </w:r>
          </w:p>
        </w:tc>
        <w:tc>
          <w:tcPr>
            <w:tcW w:w="4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Loans Not</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08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As of December 31, 2016</w:t>
            </w:r>
          </w:p>
        </w:tc>
        <w:tc>
          <w:tcPr>
            <w:tcW w:w="116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30 - 59 Days</w:t>
            </w:r>
          </w:p>
        </w:tc>
        <w:tc>
          <w:tcPr>
            <w:tcW w:w="104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60 - 89 Days</w:t>
            </w:r>
          </w:p>
        </w:tc>
        <w:tc>
          <w:tcPr>
            <w:tcW w:w="120" w:type="dxa"/>
            <w:vAlign w:val="bottom"/>
          </w:tcPr>
          <w:p>
            <w:pPr>
              <w:spacing w:after="0"/>
              <w:rPr>
                <w:sz w:val="15"/>
                <w:szCs w:val="15"/>
                <w:color w:val="auto"/>
              </w:rPr>
            </w:pPr>
          </w:p>
        </w:tc>
        <w:tc>
          <w:tcPr>
            <w:tcW w:w="100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&gt; 90 Days</w:t>
            </w:r>
          </w:p>
        </w:tc>
        <w:tc>
          <w:tcPr>
            <w:tcW w:w="140" w:type="dxa"/>
            <w:vAlign w:val="bottom"/>
          </w:tcPr>
          <w:p>
            <w:pPr>
              <w:spacing w:after="0"/>
              <w:rPr>
                <w:sz w:val="15"/>
                <w:szCs w:val="15"/>
                <w:color w:val="auto"/>
              </w:rPr>
            </w:pPr>
          </w:p>
        </w:tc>
        <w:tc>
          <w:tcPr>
            <w:tcW w:w="620" w:type="dxa"/>
            <w:vAlign w:val="bottom"/>
          </w:tcPr>
          <w:p>
            <w:pPr>
              <w:jc w:val="right"/>
              <w:ind w:right="90"/>
              <w:spacing w:after="0" w:line="156" w:lineRule="exact"/>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Past Due</w:t>
            </w:r>
          </w:p>
        </w:tc>
        <w:tc>
          <w:tcPr>
            <w:tcW w:w="1260" w:type="dxa"/>
            <w:vAlign w:val="bottom"/>
            <w:gridSpan w:val="4"/>
          </w:tcPr>
          <w:p>
            <w:pPr>
              <w:ind w:left="220"/>
              <w:spacing w:after="0" w:line="156" w:lineRule="exact"/>
              <w:rPr>
                <w:sz w:val="20"/>
                <w:szCs w:val="20"/>
                <w:color w:val="auto"/>
              </w:rPr>
            </w:pPr>
            <w:r>
              <w:rPr>
                <w:rFonts w:ascii="Times New Roman" w:cs="Times New Roman" w:eastAsia="Times New Roman" w:hAnsi="Times New Roman"/>
                <w:sz w:val="18"/>
                <w:szCs w:val="18"/>
                <w:b w:val="1"/>
                <w:bCs w:val="1"/>
                <w:color w:val="auto"/>
              </w:rPr>
              <w:t>PCI Loans</w:t>
            </w:r>
          </w:p>
        </w:tc>
        <w:tc>
          <w:tcPr>
            <w:tcW w:w="940" w:type="dxa"/>
            <w:vAlign w:val="bottom"/>
            <w:gridSpan w:val="2"/>
          </w:tcPr>
          <w:p>
            <w:pPr>
              <w:ind w:left="220"/>
              <w:spacing w:after="0" w:line="156"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880" w:type="dxa"/>
            <w:vAlign w:val="bottom"/>
            <w:tcBorders>
              <w:top w:val="single" w:sz="8" w:color="auto"/>
            </w:tcBorders>
          </w:tcPr>
          <w:p>
            <w:pPr>
              <w:spacing w:after="0"/>
              <w:rPr>
                <w:sz w:val="3"/>
                <w:szCs w:val="3"/>
                <w:color w:val="auto"/>
              </w:rPr>
            </w:pPr>
          </w:p>
        </w:tc>
        <w:tc>
          <w:tcPr>
            <w:tcW w:w="2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2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2,195</w:t>
            </w:r>
          </w:p>
        </w:tc>
        <w:tc>
          <w:tcPr>
            <w:tcW w:w="1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1,664</w:t>
            </w:r>
          </w:p>
        </w:tc>
        <w:tc>
          <w:tcPr>
            <w:tcW w:w="46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3,386</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7,245</w:t>
            </w:r>
          </w:p>
        </w:tc>
        <w:tc>
          <w:tcPr>
            <w:tcW w:w="9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$ 1,624,531</w:t>
            </w:r>
          </w:p>
        </w:tc>
        <w:tc>
          <w:tcPr>
            <w:tcW w:w="420" w:type="dxa"/>
            <w:vAlign w:val="bottom"/>
            <w:gridSpan w:val="2"/>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18,584</w:t>
            </w: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$ 1,650,360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2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1,373</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1,254,164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25,319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1,281,541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943</w:t>
            </w:r>
          </w:p>
        </w:tc>
        <w:tc>
          <w:tcPr>
            <w:tcW w:w="18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F0FFFF"/>
          </w:tcPr>
          <w:p>
            <w:pPr>
              <w:spacing w:after="0"/>
              <w:rPr>
                <w:sz w:val="18"/>
                <w:szCs w:val="18"/>
                <w:color w:val="auto"/>
              </w:rPr>
            </w:pPr>
          </w:p>
        </w:tc>
        <w:tc>
          <w:tcPr>
            <w:tcW w:w="7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1,362</w:t>
            </w:r>
          </w:p>
        </w:tc>
        <w:tc>
          <w:tcPr>
            <w:tcW w:w="9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1,067,317</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1,036</w:t>
            </w: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1,069,715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2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452</w:t>
            </w: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624,835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8,328</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top w:val="single" w:sz="8" w:color="F0FFFF"/>
            </w:tcBorders>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260" w:type="dxa"/>
            <w:vAlign w:val="bottom"/>
            <w:tcBorders>
              <w:top w:val="single" w:sz="8" w:color="auto"/>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7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340" w:type="dxa"/>
            <w:vAlign w:val="bottom"/>
            <w:tcBorders>
              <w:top w:val="single" w:sz="8" w:color="auto"/>
            </w:tcBorders>
            <w:shd w:val="clear" w:color="auto" w:fill="F0FFFF"/>
          </w:tcPr>
          <w:p>
            <w:pPr>
              <w:spacing w:after="0"/>
              <w:rPr>
                <w:sz w:val="18"/>
                <w:szCs w:val="18"/>
                <w:color w:val="auto"/>
              </w:rPr>
            </w:pPr>
          </w:p>
        </w:tc>
        <w:tc>
          <w:tcPr>
            <w:tcW w:w="4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2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6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11,423</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4,570,847</w:t>
            </w:r>
          </w:p>
        </w:tc>
        <w:tc>
          <w:tcPr>
            <w:tcW w:w="2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6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53,267</w:t>
            </w:r>
          </w:p>
        </w:tc>
        <w:tc>
          <w:tcPr>
            <w:tcW w:w="220" w:type="dxa"/>
            <w:vAlign w:val="bottom"/>
            <w:tcBorders>
              <w:top w:val="single" w:sz="8" w:color="F0FFFF"/>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4,635,537</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2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7,221</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1,700</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839,610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2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1,996</w:t>
            </w:r>
          </w:p>
        </w:tc>
        <w:tc>
          <w:tcPr>
            <w:tcW w:w="18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957</w:t>
            </w:r>
          </w:p>
        </w:tc>
        <w:tc>
          <w:tcPr>
            <w:tcW w:w="140" w:type="dxa"/>
            <w:vAlign w:val="bottom"/>
            <w:shd w:val="clear" w:color="auto" w:fill="F0FFFF"/>
          </w:tcPr>
          <w:p>
            <w:pPr>
              <w:spacing w:after="0"/>
              <w:rPr>
                <w:sz w:val="18"/>
                <w:szCs w:val="18"/>
                <w:color w:val="auto"/>
              </w:rPr>
            </w:pPr>
          </w:p>
        </w:tc>
        <w:tc>
          <w:tcPr>
            <w:tcW w:w="7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3,054</w:t>
            </w:r>
          </w:p>
        </w:tc>
        <w:tc>
          <w:tcPr>
            <w:tcW w:w="9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650,346</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2,010</w:t>
            </w: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655,410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2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950</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187,350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933</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2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633</w:t>
            </w:r>
          </w:p>
        </w:tc>
        <w:tc>
          <w:tcPr>
            <w:tcW w:w="18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F0FFFF"/>
          </w:tcPr>
          <w:p>
            <w:pPr>
              <w:spacing w:after="0"/>
              <w:rPr>
                <w:sz w:val="18"/>
                <w:szCs w:val="18"/>
                <w:color w:val="auto"/>
              </w:rPr>
            </w:pPr>
          </w:p>
        </w:tc>
        <w:tc>
          <w:tcPr>
            <w:tcW w:w="7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785</w:t>
            </w:r>
          </w:p>
        </w:tc>
        <w:tc>
          <w:tcPr>
            <w:tcW w:w="9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122,623</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123,567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2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1,109</w:t>
            </w: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909</w:t>
            </w:r>
          </w:p>
        </w:tc>
        <w:tc>
          <w:tcPr>
            <w:tcW w:w="1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457,035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459,354</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060" w:type="dxa"/>
            <w:vAlign w:val="bottom"/>
            <w:tcBorders>
              <w:top w:val="single" w:sz="8" w:color="F0FFFF"/>
              <w:bottom w:val="single" w:sz="8" w:color="F0FFFF"/>
            </w:tcBorders>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loans</w:t>
            </w:r>
          </w:p>
        </w:tc>
        <w:tc>
          <w:tcPr>
            <w:tcW w:w="26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16,872</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34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30,061</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95"/>
              </w:rPr>
              <w:t>$ 6,827,811</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62,764</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95"/>
              </w:rPr>
              <w:t>$ 6,920,636</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F0FFFF"/>
            </w:tcBorders>
          </w:tcPr>
          <w:p>
            <w:pPr>
              <w:spacing w:after="0" w:line="20" w:lineRule="exact"/>
              <w:rPr>
                <w:sz w:val="1"/>
                <w:szCs w:val="1"/>
                <w:color w:val="auto"/>
              </w:rPr>
            </w:pPr>
          </w:p>
        </w:tc>
        <w:tc>
          <w:tcPr>
            <w:tcW w:w="218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bottom w:val="single" w:sz="8" w:color="auto"/>
            </w:tcBorders>
          </w:tcPr>
          <w:p>
            <w:pPr>
              <w:spacing w:after="0" w:line="20" w:lineRule="exact"/>
              <w:rPr>
                <w:sz w:val="1"/>
                <w:szCs w:val="1"/>
                <w:color w:val="auto"/>
              </w:rPr>
            </w:pPr>
          </w:p>
        </w:tc>
        <w:tc>
          <w:tcPr>
            <w:tcW w:w="4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Ratings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categorizes commercial loans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Watch. </w:t>
      </w:r>
      <w:r>
        <w:rPr>
          <w:rFonts w:ascii="Times New Roman" w:cs="Times New Roman" w:eastAsia="Times New Roman" w:hAnsi="Times New Roman"/>
          <w:sz w:val="18"/>
          <w:szCs w:val="18"/>
          <w:color w:val="auto"/>
        </w:rPr>
        <w:t>Loans in this category are presently protected from apparent loss; however, weaknesses exist that could cause future impairment,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Substandard. </w:t>
      </w:r>
      <w:r>
        <w:rPr>
          <w:rFonts w:ascii="Times New Roman" w:cs="Times New Roman" w:eastAsia="Times New Roman" w:hAnsi="Times New Roman"/>
          <w:sz w:val="18"/>
          <w:szCs w:val="18"/>
          <w:color w:val="auto"/>
        </w:rPr>
        <w:t>These loans are inadequately protected by the current net worth and paying capacity of the obligor or by the collateral pledged. Specific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Doubtful. </w:t>
      </w:r>
      <w:r>
        <w:rPr>
          <w:rFonts w:ascii="Times New Roman" w:cs="Times New Roman" w:eastAsia="Times New Roman" w:hAnsi="Times New Roman"/>
          <w:sz w:val="18"/>
          <w:szCs w:val="18"/>
          <w:color w:val="auto"/>
        </w:rPr>
        <w:t>Specific weaknesses characterized as Substandard that are severe enough to make collection in full highly questionable and improbable. There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reliable secondary source of full repayment.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Loss. </w:t>
      </w:r>
      <w:r>
        <w:rPr>
          <w:rFonts w:ascii="Times New Roman" w:cs="Times New Roman" w:eastAsia="Times New Roman" w:hAnsi="Times New Roman"/>
          <w:sz w:val="18"/>
          <w:szCs w:val="18"/>
          <w:color w:val="auto"/>
        </w:rPr>
        <w:t>Loans categorized as Loss have the same characteristics as Doubtful; however, probability of loss is certain. Loans classified as Loss are charged off.</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Consumer Purpose Loans. </w:t>
      </w:r>
      <w:r>
        <w:rPr>
          <w:rFonts w:ascii="Times New Roman" w:cs="Times New Roman" w:eastAsia="Times New Roman" w:hAnsi="Times New Roman"/>
          <w:sz w:val="18"/>
          <w:szCs w:val="18"/>
          <w:color w:val="auto"/>
        </w:rPr>
        <w:t>United applies a pass / fail grading system to all consumer purpose loans. Under the pass / fail grading system, consumer 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loans that become past due 90 days or are in bankruptcy are classified as “fail” and all other loans are classified as “pass”. For reporting purposes, consumer purpose loans classified as “fail” are reported in the substandard column and all other consumer purpose loans are reported in the “pass” column.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not meeting the criteria above that are analyzed individually as part of the above described process are considered to be pass rated loans.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09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Based on the most recent analysis performed, the risk category of loans by class of loans as of the dates indicated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Doubtful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March 31, 2017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Pass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Watch</w:t>
            </w:r>
          </w:p>
        </w:tc>
        <w:tc>
          <w:tcPr>
            <w:tcW w:w="120" w:type="dxa"/>
            <w:vAlign w:val="bottom"/>
          </w:tcPr>
          <w:p>
            <w:pPr>
              <w:spacing w:after="0"/>
              <w:rPr>
                <w:sz w:val="21"/>
                <w:szCs w:val="21"/>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Substandard</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320" w:type="dxa"/>
            <w:vAlign w:val="bottom"/>
            <w:gridSpan w:val="2"/>
            <w:shd w:val="clear" w:color="auto" w:fill="F0FF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1,557,667</w:t>
            </w:r>
          </w:p>
        </w:tc>
        <w:tc>
          <w:tcPr>
            <w:tcW w:w="300" w:type="dxa"/>
            <w:vAlign w:val="bottom"/>
            <w:gridSpan w:val="2"/>
            <w:shd w:val="clear" w:color="auto" w:fill="F0FF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22,799</w:t>
            </w:r>
          </w:p>
        </w:tc>
        <w:tc>
          <w:tcPr>
            <w:tcW w:w="38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35,293</w:t>
            </w:r>
          </w:p>
        </w:tc>
        <w:tc>
          <w:tcPr>
            <w:tcW w:w="20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F0FF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1,615,759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1,236,410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1,273,589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1,064,945</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3,155</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10,977</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1,079,077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647,400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5,746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top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4,506,422</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45,493</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7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75,701</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4,627,616</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833,846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650,500</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6,578</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657,078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193,850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111,610</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112,313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457,596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460,201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14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loans, excluding PCI loans</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6,753,824</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45,493</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107,913</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6,907,230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320" w:type="dxa"/>
            <w:vAlign w:val="bottom"/>
            <w:gridSpan w:val="2"/>
            <w:shd w:val="clear" w:color="auto" w:fill="F0FF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1,956</w:t>
            </w:r>
          </w:p>
        </w:tc>
        <w:tc>
          <w:tcPr>
            <w:tcW w:w="300" w:type="dxa"/>
            <w:vAlign w:val="bottom"/>
            <w:gridSpan w:val="2"/>
            <w:shd w:val="clear" w:color="auto" w:fill="F0FF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3,357</w:t>
            </w:r>
          </w:p>
        </w:tc>
        <w:tc>
          <w:tcPr>
            <w:tcW w:w="38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12,378</w:t>
            </w:r>
          </w:p>
        </w:tc>
        <w:tc>
          <w:tcPr>
            <w:tcW w:w="20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F0FF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17,691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top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17,225</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7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18,587</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49,232</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14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PCI loans</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23,602</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20,738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57,760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40" w:type="dxa"/>
            <w:vAlign w:val="bottom"/>
            <w:tcBorders>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2016</w:t>
            </w:r>
          </w:p>
        </w:tc>
        <w:tc>
          <w:tcPr>
            <w:tcW w:w="12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84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86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F0FFFF"/>
            </w:tcBorders>
            <w:shd w:val="clear" w:color="auto" w:fill="F0FFFF"/>
          </w:tcPr>
          <w:p>
            <w:pPr>
              <w:spacing w:after="0"/>
              <w:rPr>
                <w:sz w:val="20"/>
                <w:szCs w:val="20"/>
                <w:color w:val="auto"/>
              </w:rPr>
            </w:pPr>
          </w:p>
        </w:tc>
        <w:tc>
          <w:tcPr>
            <w:tcW w:w="76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9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8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320" w:type="dxa"/>
            <w:vAlign w:val="bottom"/>
            <w:gridSpan w:val="2"/>
            <w:shd w:val="clear" w:color="auto" w:fill="F0FF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1,577,301</w:t>
            </w:r>
          </w:p>
        </w:tc>
        <w:tc>
          <w:tcPr>
            <w:tcW w:w="300" w:type="dxa"/>
            <w:vAlign w:val="bottom"/>
            <w:gridSpan w:val="2"/>
            <w:shd w:val="clear" w:color="auto" w:fill="F0FF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18,029</w:t>
            </w:r>
          </w:p>
        </w:tc>
        <w:tc>
          <w:tcPr>
            <w:tcW w:w="38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36,446</w:t>
            </w:r>
          </w:p>
        </w:tc>
        <w:tc>
          <w:tcPr>
            <w:tcW w:w="20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F0FF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1,631,776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1,220,626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1,256,222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1,055,282</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4,188</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9,209</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1,068,679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612,900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top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4,466,109</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36,885</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7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79,276</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4,582,270</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829,844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647,425</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5,975</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653,400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185,643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122,736</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123,408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456,717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459,354</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14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loans, excluding PCI loans</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6,708,474</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36,885</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112,513</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6,857,872</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320" w:type="dxa"/>
            <w:vAlign w:val="bottom"/>
            <w:gridSpan w:val="2"/>
            <w:shd w:val="clear" w:color="auto" w:fill="F0FF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2,044</w:t>
            </w:r>
          </w:p>
        </w:tc>
        <w:tc>
          <w:tcPr>
            <w:tcW w:w="300" w:type="dxa"/>
            <w:vAlign w:val="bottom"/>
            <w:gridSpan w:val="2"/>
            <w:shd w:val="clear" w:color="auto" w:fill="F0FF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3,444</w:t>
            </w:r>
          </w:p>
        </w:tc>
        <w:tc>
          <w:tcPr>
            <w:tcW w:w="38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13,096</w:t>
            </w:r>
          </w:p>
        </w:tc>
        <w:tc>
          <w:tcPr>
            <w:tcW w:w="20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F0FF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top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18,708</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13,343</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7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21,216</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53,267</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14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PCI loans</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26,048</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13,343</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23,373</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62,764</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0" w:type="dxa"/>
            <w:vAlign w:val="bottom"/>
          </w:tcPr>
          <w:p>
            <w:pPr>
              <w:spacing w:after="0"/>
              <w:rPr>
                <w:sz w:val="24"/>
                <w:szCs w:val="24"/>
                <w:color w:val="auto"/>
              </w:rPr>
            </w:pPr>
          </w:p>
        </w:tc>
        <w:tc>
          <w:tcPr>
            <w:tcW w:w="51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ind w:left="16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7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Reclassifications Out of Accumulated Other Comprehensive Income</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 presents the details regarding amounts reclassified out of accumulated other comprehensive income for the periods indicated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792" w:right="239" w:bottom="1440" w:gutter="0" w:footer="0" w:header="0"/>
        </w:sectPr>
      </w:pP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Amounts Reclassified from</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Accumulated Other</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Comprehensive Income</w:t>
            </w:r>
          </w:p>
        </w:tc>
        <w:tc>
          <w:tcPr>
            <w:tcW w:w="0" w:type="dxa"/>
            <w:vAlign w:val="bottom"/>
          </w:tcPr>
          <w:p>
            <w:pPr>
              <w:spacing w:after="0"/>
              <w:rPr>
                <w:sz w:val="1"/>
                <w:szCs w:val="1"/>
                <w:color w:val="auto"/>
              </w:rPr>
            </w:pPr>
          </w:p>
        </w:tc>
      </w:tr>
      <w:tr>
        <w:trPr>
          <w:trHeight w:val="216"/>
        </w:trPr>
        <w:tc>
          <w:tcPr>
            <w:tcW w:w="4900" w:type="dxa"/>
            <w:vAlign w:val="bottom"/>
            <w:gridSpan w:val="3"/>
            <w:vMerge w:val="restart"/>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Details about Accumulated Other</w:t>
            </w:r>
          </w:p>
        </w:tc>
        <w:tc>
          <w:tcPr>
            <w:tcW w:w="26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0" w:type="dxa"/>
            <w:vAlign w:val="bottom"/>
          </w:tcPr>
          <w:p>
            <w:pPr>
              <w:spacing w:after="0"/>
              <w:rPr>
                <w:sz w:val="1"/>
                <w:szCs w:val="1"/>
                <w:color w:val="auto"/>
              </w:rPr>
            </w:pPr>
          </w:p>
        </w:tc>
      </w:tr>
      <w:tr>
        <w:trPr>
          <w:trHeight w:val="245"/>
        </w:trPr>
        <w:tc>
          <w:tcPr>
            <w:tcW w:w="4900" w:type="dxa"/>
            <w:vAlign w:val="bottom"/>
            <w:gridSpan w:val="3"/>
            <w:vMerge w:val="continue"/>
          </w:tcPr>
          <w:p>
            <w:pPr>
              <w:spacing w:after="0"/>
              <w:rPr>
                <w:sz w:val="21"/>
                <w:szCs w:val="21"/>
                <w:color w:val="auto"/>
              </w:rPr>
            </w:pPr>
          </w:p>
        </w:tc>
        <w:tc>
          <w:tcPr>
            <w:tcW w:w="26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Comprehensive Income Components</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90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color w:val="auto"/>
                <w:w w:val="99"/>
              </w:rPr>
              <w:t>Realized (losses) gains on available-for-sale securities:</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6"/>
              </w:rPr>
              <w:t>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2"/>
                <w:szCs w:val="22"/>
                <w:color w:val="auto"/>
              </w:rPr>
            </w:pPr>
          </w:p>
        </w:tc>
        <w:tc>
          <w:tcPr>
            <w:tcW w:w="102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7"/>
              </w:rPr>
              <w:t>(141)</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6"/>
              </w:rPr>
              <w:t>238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-616585</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2466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Affected Line Item in the Statement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Net Income is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23837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(losses) gains,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 (expense)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of tax</w:t>
      </w:r>
    </w:p>
    <w:p>
      <w:pPr>
        <w:spacing w:after="0" w:line="306" w:lineRule="exact"/>
        <w:rPr>
          <w:sz w:val="20"/>
          <w:szCs w:val="20"/>
          <w:color w:val="auto"/>
        </w:rPr>
      </w:pPr>
    </w:p>
    <w:p>
      <w:pPr>
        <w:sectPr>
          <w:pgSz w:w="11900" w:h="16838" w:orient="portrait"/>
          <w:cols w:equalWidth="0" w:num="2">
            <w:col w:w="7500" w:space="160"/>
            <w:col w:w="3760"/>
          </w:cols>
          <w:pgMar w:left="240" w:top="792"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Amortization of losses included in net income on available-for-sale securities transferred to held to maturity:</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00" w:type="dxa"/>
            <w:vAlign w:val="bottom"/>
            <w:shd w:val="clear" w:color="auto" w:fill="F0FFFF"/>
          </w:tcPr>
          <w:p>
            <w:pPr>
              <w:spacing w:after="0"/>
              <w:rPr>
                <w:sz w:val="17"/>
                <w:szCs w:val="17"/>
                <w:color w:val="auto"/>
              </w:rPr>
            </w:pPr>
          </w:p>
        </w:tc>
        <w:tc>
          <w:tcPr>
            <w:tcW w:w="840" w:type="dxa"/>
            <w:vAlign w:val="bottom"/>
            <w:gridSpan w:val="2"/>
            <w:shd w:val="clear" w:color="auto" w:fill="F0FF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(310)</w:t>
            </w:r>
          </w:p>
        </w:tc>
        <w:tc>
          <w:tcPr>
            <w:tcW w:w="500" w:type="dxa"/>
            <w:vAlign w:val="bottom"/>
            <w:shd w:val="clear" w:color="auto" w:fill="F0FF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3840" w:type="dxa"/>
            <w:vAlign w:val="bottom"/>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Investment securities interest revenue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w:t>
            </w:r>
          </w:p>
        </w:tc>
        <w:tc>
          <w:tcPr>
            <w:tcW w:w="5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 benefit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300" w:type="dxa"/>
            <w:vAlign w:val="bottom"/>
            <w:tcBorders>
              <w:top w:val="single" w:sz="8" w:color="F0FFFF"/>
              <w:bottom w:val="single" w:sz="8" w:color="F0FFFF"/>
            </w:tcBorders>
            <w:shd w:val="clear" w:color="auto" w:fill="F0FFFF"/>
          </w:tcPr>
          <w:p>
            <w:pPr>
              <w:spacing w:after="0"/>
              <w:rPr>
                <w:sz w:val="21"/>
                <w:szCs w:val="21"/>
                <w:color w:val="auto"/>
              </w:rPr>
            </w:pPr>
          </w:p>
        </w:tc>
        <w:tc>
          <w:tcPr>
            <w:tcW w:w="380" w:type="dxa"/>
            <w:vAlign w:val="bottom"/>
            <w:tcBorders>
              <w:top w:val="single" w:sz="8" w:color="F0FFFF"/>
              <w:bottom w:val="single" w:sz="8" w:color="F0FFFF"/>
            </w:tcBorders>
            <w:shd w:val="clear" w:color="auto" w:fill="F0FFFF"/>
          </w:tcPr>
          <w:p>
            <w:pPr>
              <w:spacing w:after="0"/>
              <w:rPr>
                <w:sz w:val="21"/>
                <w:szCs w:val="21"/>
                <w:color w:val="auto"/>
              </w:rPr>
            </w:pPr>
          </w:p>
        </w:tc>
        <w:tc>
          <w:tcPr>
            <w:tcW w:w="460" w:type="dxa"/>
            <w:vAlign w:val="bottom"/>
            <w:tcBorders>
              <w:top w:val="single" w:sz="8" w:color="auto"/>
              <w:bottom w:val="single" w:sz="8" w:color="auto"/>
            </w:tcBorders>
            <w:shd w:val="clear" w:color="auto" w:fill="F0FF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Borders>
              <w:top w:val="single" w:sz="8" w:color="F0FFFF"/>
              <w:bottom w:val="single" w:sz="8" w:color="F0FFFF"/>
            </w:tcBorders>
            <w:shd w:val="clear" w:color="auto" w:fill="F0FF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F0FF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40" w:type="dxa"/>
            <w:vAlign w:val="bottom"/>
            <w:tcBorders>
              <w:top w:val="single" w:sz="8" w:color="F0FFFF"/>
              <w:bottom w:val="single" w:sz="8" w:color="F0FFFF"/>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F0FFFF"/>
            </w:tcBorders>
            <w:gridSpan w:val="2"/>
          </w:tcPr>
          <w:p>
            <w:pPr>
              <w:spacing w:after="0" w:line="20" w:lineRule="exact"/>
              <w:rPr>
                <w:sz w:val="1"/>
                <w:szCs w:val="1"/>
                <w:color w:val="auto"/>
              </w:rPr>
            </w:pPr>
          </w:p>
        </w:tc>
        <w:tc>
          <w:tcPr>
            <w:tcW w:w="1280" w:type="dxa"/>
            <w:vAlign w:val="bottom"/>
            <w:tcBorders>
              <w:top w:val="single" w:sz="8" w:color="F0FFFF"/>
            </w:tcBorders>
            <w:gridSpan w:val="2"/>
          </w:tcPr>
          <w:p>
            <w:pPr>
              <w:spacing w:after="0" w:line="20" w:lineRule="exact"/>
              <w:rPr>
                <w:sz w:val="1"/>
                <w:szCs w:val="1"/>
                <w:color w:val="auto"/>
              </w:rPr>
            </w:pPr>
          </w:p>
        </w:tc>
        <w:tc>
          <w:tcPr>
            <w:tcW w:w="1460" w:type="dxa"/>
            <w:vAlign w:val="bottom"/>
            <w:tcBorders>
              <w:top w:val="single" w:sz="8" w:color="F0FFFF"/>
            </w:tcBorders>
            <w:gridSpan w:val="3"/>
          </w:tcPr>
          <w:p>
            <w:pPr>
              <w:spacing w:after="0" w:line="20" w:lineRule="exact"/>
              <w:rPr>
                <w:sz w:val="1"/>
                <w:szCs w:val="1"/>
                <w:color w:val="auto"/>
              </w:rPr>
            </w:pPr>
          </w:p>
        </w:tc>
        <w:tc>
          <w:tcPr>
            <w:tcW w:w="3980" w:type="dxa"/>
            <w:vAlign w:val="bottom"/>
            <w:tcBorders>
              <w:top w:val="single" w:sz="8" w:color="F0FF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0" w:type="dxa"/>
            <w:vAlign w:val="bottom"/>
            <w:gridSpan w:val="9"/>
            <w:shd w:val="clear" w:color="auto" w:fill="F0FFFF"/>
          </w:tcPr>
          <w:p>
            <w:pPr>
              <w:spacing w:after="0"/>
              <w:rPr>
                <w:sz w:val="20"/>
                <w:szCs w:val="20"/>
                <w:color w:val="auto"/>
              </w:rPr>
            </w:pPr>
            <w:r>
              <w:rPr>
                <w:rFonts w:ascii="Times New Roman" w:cs="Times New Roman" w:eastAsia="Times New Roman" w:hAnsi="Times New Roman"/>
                <w:sz w:val="18"/>
                <w:szCs w:val="18"/>
                <w:color w:val="auto"/>
              </w:rPr>
              <w:t>Amortization of losses included in net income on derivative financial instruments accounted for as cash flow hedges: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Deposits in banks and short-term investments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losses on de-designated positions</w:t>
            </w:r>
          </w:p>
        </w:tc>
        <w:tc>
          <w:tcPr>
            <w:tcW w:w="8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Amortization of losses on de-designated positions</w:t>
            </w:r>
          </w:p>
        </w:tc>
        <w:tc>
          <w:tcPr>
            <w:tcW w:w="38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(149)</w:t>
            </w:r>
          </w:p>
        </w:tc>
        <w:tc>
          <w:tcPr>
            <w:tcW w:w="50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840" w:type="dxa"/>
            <w:vAlign w:val="bottom"/>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Money market deposit interest expense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Federal Home Loan Bank advances interest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losses on de-designated positions</w:t>
            </w: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(264)</w:t>
            </w:r>
          </w:p>
        </w:tc>
        <w:tc>
          <w:tcPr>
            <w:tcW w:w="5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top w:val="single" w:sz="8" w:color="F0FFFF"/>
            </w:tcBorders>
            <w:shd w:val="clear" w:color="auto" w:fill="F0FFFF"/>
          </w:tcPr>
          <w:p>
            <w:pPr>
              <w:spacing w:after="0"/>
              <w:rPr>
                <w:sz w:val="18"/>
                <w:szCs w:val="18"/>
                <w:color w:val="auto"/>
              </w:rPr>
            </w:pPr>
          </w:p>
        </w:tc>
        <w:tc>
          <w:tcPr>
            <w:tcW w:w="380" w:type="dxa"/>
            <w:vAlign w:val="bottom"/>
            <w:tcBorders>
              <w:top w:val="single" w:sz="8" w:color="F0FFFF"/>
            </w:tcBorders>
            <w:shd w:val="clear" w:color="auto" w:fill="F0FFFF"/>
          </w:tcPr>
          <w:p>
            <w:pPr>
              <w:spacing w:after="0"/>
              <w:rPr>
                <w:sz w:val="18"/>
                <w:szCs w:val="18"/>
                <w:color w:val="auto"/>
              </w:rPr>
            </w:pPr>
          </w:p>
        </w:tc>
        <w:tc>
          <w:tcPr>
            <w:tcW w:w="46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tcBorders>
              <w:top w:val="single" w:sz="8" w:color="F0FFFF"/>
            </w:tcBorders>
            <w:shd w:val="clear" w:color="auto" w:fill="F0FFFF"/>
          </w:tcPr>
          <w:p>
            <w:pPr>
              <w:spacing w:after="0"/>
              <w:rPr>
                <w:sz w:val="18"/>
                <w:szCs w:val="18"/>
                <w:color w:val="auto"/>
              </w:rPr>
            </w:pPr>
          </w:p>
        </w:tc>
        <w:tc>
          <w:tcPr>
            <w:tcW w:w="500" w:type="dxa"/>
            <w:vAlign w:val="bottom"/>
            <w:tcBorders>
              <w:top w:val="single" w:sz="8" w:color="auto"/>
            </w:tcBorders>
            <w:shd w:val="clear" w:color="auto" w:fill="F0FFFF"/>
          </w:tcPr>
          <w:p>
            <w:pPr>
              <w:spacing w:after="0"/>
              <w:rPr>
                <w:sz w:val="18"/>
                <w:szCs w:val="18"/>
                <w:color w:val="auto"/>
              </w:rPr>
            </w:pPr>
          </w:p>
        </w:tc>
        <w:tc>
          <w:tcPr>
            <w:tcW w:w="7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Borders>
              <w:top w:val="single" w:sz="8" w:color="F0FFFF"/>
            </w:tcBorders>
            <w:shd w:val="clear" w:color="auto" w:fill="F0FFFF"/>
          </w:tcPr>
          <w:p>
            <w:pPr>
              <w:spacing w:after="0"/>
              <w:rPr>
                <w:sz w:val="18"/>
                <w:szCs w:val="18"/>
                <w:color w:val="auto"/>
              </w:rPr>
            </w:pPr>
          </w:p>
        </w:tc>
        <w:tc>
          <w:tcPr>
            <w:tcW w:w="3840" w:type="dxa"/>
            <w:vAlign w:val="bottom"/>
            <w:tcBorders>
              <w:top w:val="single" w:sz="8" w:color="F0FFFF"/>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c>
          <w:tcPr>
            <w:tcW w:w="5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 benefit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300" w:type="dxa"/>
            <w:vAlign w:val="bottom"/>
            <w:tcBorders>
              <w:top w:val="single" w:sz="8" w:color="F0FFFF"/>
              <w:bottom w:val="single" w:sz="8" w:color="F0FFFF"/>
            </w:tcBorders>
            <w:shd w:val="clear" w:color="auto" w:fill="F0FFFF"/>
          </w:tcPr>
          <w:p>
            <w:pPr>
              <w:spacing w:after="0"/>
              <w:rPr>
                <w:sz w:val="21"/>
                <w:szCs w:val="21"/>
                <w:color w:val="auto"/>
              </w:rPr>
            </w:pPr>
          </w:p>
        </w:tc>
        <w:tc>
          <w:tcPr>
            <w:tcW w:w="380" w:type="dxa"/>
            <w:vAlign w:val="bottom"/>
            <w:tcBorders>
              <w:top w:val="single" w:sz="8" w:color="F0FFFF"/>
              <w:bottom w:val="single" w:sz="8" w:color="F0FFFF"/>
            </w:tcBorders>
            <w:shd w:val="clear" w:color="auto" w:fill="F0FFFF"/>
          </w:tcPr>
          <w:p>
            <w:pPr>
              <w:spacing w:after="0"/>
              <w:rPr>
                <w:sz w:val="21"/>
                <w:szCs w:val="21"/>
                <w:color w:val="auto"/>
              </w:rPr>
            </w:pPr>
          </w:p>
        </w:tc>
        <w:tc>
          <w:tcPr>
            <w:tcW w:w="460" w:type="dxa"/>
            <w:vAlign w:val="bottom"/>
            <w:tcBorders>
              <w:top w:val="single" w:sz="8" w:color="auto"/>
              <w:bottom w:val="single" w:sz="8" w:color="auto"/>
            </w:tcBorders>
            <w:shd w:val="clear" w:color="auto" w:fill="F0FF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tcBorders>
              <w:top w:val="single" w:sz="8" w:color="F0FFFF"/>
              <w:bottom w:val="single" w:sz="8" w:color="F0FFFF"/>
            </w:tcBorders>
            <w:shd w:val="clear" w:color="auto" w:fill="F0FF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F0FF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40" w:type="dxa"/>
            <w:vAlign w:val="bottom"/>
            <w:tcBorders>
              <w:top w:val="single" w:sz="8" w:color="F0FFFF"/>
              <w:bottom w:val="single" w:sz="8" w:color="F0FFFF"/>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F0FFFF"/>
            </w:tcBorders>
            <w:gridSpan w:val="2"/>
          </w:tcPr>
          <w:p>
            <w:pPr>
              <w:spacing w:after="0" w:line="20" w:lineRule="exact"/>
              <w:rPr>
                <w:sz w:val="1"/>
                <w:szCs w:val="1"/>
                <w:color w:val="auto"/>
              </w:rPr>
            </w:pPr>
          </w:p>
        </w:tc>
        <w:tc>
          <w:tcPr>
            <w:tcW w:w="1280" w:type="dxa"/>
            <w:vAlign w:val="bottom"/>
            <w:tcBorders>
              <w:top w:val="single" w:sz="8" w:color="F0FFFF"/>
              <w:bottom w:val="single" w:sz="8" w:color="auto"/>
            </w:tcBorders>
            <w:gridSpan w:val="2"/>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50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384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5"/>
            <w:shd w:val="clear" w:color="auto" w:fill="F0FFFF"/>
          </w:tcPr>
          <w:p>
            <w:pPr>
              <w:spacing w:after="0"/>
              <w:rPr>
                <w:sz w:val="20"/>
                <w:szCs w:val="20"/>
                <w:color w:val="auto"/>
              </w:rPr>
            </w:pPr>
            <w:r>
              <w:rPr>
                <w:rFonts w:ascii="Times New Roman" w:cs="Times New Roman" w:eastAsia="Times New Roman" w:hAnsi="Times New Roman"/>
                <w:sz w:val="18"/>
                <w:szCs w:val="18"/>
                <w:color w:val="auto"/>
              </w:rPr>
              <w:t>Reclassification of disproportionate tax effect related to terminated cash flow hedges:</w:t>
            </w:r>
          </w:p>
        </w:tc>
        <w:tc>
          <w:tcPr>
            <w:tcW w:w="50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8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(3,400)</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gridSpan w:val="2"/>
            <w:shd w:val="clear" w:color="auto" w:fill="F0FFFF"/>
          </w:tcPr>
          <w:p>
            <w:pPr>
              <w:spacing w:after="0"/>
              <w:rPr>
                <w:sz w:val="18"/>
                <w:szCs w:val="18"/>
                <w:color w:val="auto"/>
              </w:rPr>
            </w:pPr>
          </w:p>
        </w:tc>
        <w:tc>
          <w:tcPr>
            <w:tcW w:w="1280" w:type="dxa"/>
            <w:vAlign w:val="bottom"/>
            <w:gridSpan w:val="2"/>
            <w:shd w:val="clear" w:color="auto" w:fill="F0FFFF"/>
          </w:tcPr>
          <w:p>
            <w:pPr>
              <w:spacing w:after="0"/>
              <w:rPr>
                <w:sz w:val="18"/>
                <w:szCs w:val="18"/>
                <w:color w:val="auto"/>
              </w:rPr>
            </w:pPr>
          </w:p>
        </w:tc>
        <w:tc>
          <w:tcPr>
            <w:tcW w:w="1460" w:type="dxa"/>
            <w:vAlign w:val="bottom"/>
            <w:gridSpan w:val="3"/>
            <w:shd w:val="clear" w:color="auto" w:fill="F0FFFF"/>
          </w:tcPr>
          <w:p>
            <w:pPr>
              <w:spacing w:after="0"/>
              <w:rPr>
                <w:sz w:val="18"/>
                <w:szCs w:val="18"/>
                <w:color w:val="auto"/>
              </w:rPr>
            </w:pPr>
          </w:p>
        </w:tc>
        <w:tc>
          <w:tcPr>
            <w:tcW w:w="3980" w:type="dxa"/>
            <w:vAlign w:val="bottom"/>
            <w:gridSpan w:val="2"/>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Amortization of prior service cost and actuarial losses included in net periodic pension cost for defined benefit pension 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Prior service cost</w:t>
            </w:r>
          </w:p>
        </w:tc>
        <w:tc>
          <w:tcPr>
            <w:tcW w:w="840" w:type="dxa"/>
            <w:vAlign w:val="bottom"/>
            <w:gridSpan w:val="2"/>
            <w:shd w:val="clear" w:color="auto" w:fill="F0FF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(140)</w:t>
            </w:r>
          </w:p>
        </w:tc>
        <w:tc>
          <w:tcPr>
            <w:tcW w:w="500" w:type="dxa"/>
            <w:vAlign w:val="bottom"/>
            <w:shd w:val="clear" w:color="auto" w:fill="F0FF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840" w:type="dxa"/>
            <w:vAlign w:val="bottom"/>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Salaries and employee benefits expense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Actuarial losses</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5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Salaries and employee benefits 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top w:val="single" w:sz="8" w:color="F0FFFF"/>
            </w:tcBorders>
            <w:shd w:val="clear" w:color="auto" w:fill="F0FFFF"/>
          </w:tcPr>
          <w:p>
            <w:pPr>
              <w:spacing w:after="0"/>
              <w:rPr>
                <w:sz w:val="18"/>
                <w:szCs w:val="18"/>
                <w:color w:val="auto"/>
              </w:rPr>
            </w:pPr>
          </w:p>
        </w:tc>
        <w:tc>
          <w:tcPr>
            <w:tcW w:w="380" w:type="dxa"/>
            <w:vAlign w:val="bottom"/>
            <w:tcBorders>
              <w:top w:val="single" w:sz="8" w:color="F0FFFF"/>
            </w:tcBorders>
            <w:shd w:val="clear" w:color="auto" w:fill="F0FFFF"/>
          </w:tcPr>
          <w:p>
            <w:pPr>
              <w:spacing w:after="0"/>
              <w:rPr>
                <w:sz w:val="18"/>
                <w:szCs w:val="18"/>
                <w:color w:val="auto"/>
              </w:rPr>
            </w:pPr>
          </w:p>
        </w:tc>
        <w:tc>
          <w:tcPr>
            <w:tcW w:w="46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Borders>
              <w:top w:val="single" w:sz="8" w:color="F0FFFF"/>
            </w:tcBorders>
            <w:shd w:val="clear" w:color="auto" w:fill="F0FFFF"/>
          </w:tcPr>
          <w:p>
            <w:pPr>
              <w:spacing w:after="0"/>
              <w:rPr>
                <w:sz w:val="18"/>
                <w:szCs w:val="18"/>
                <w:color w:val="auto"/>
              </w:rPr>
            </w:pPr>
          </w:p>
        </w:tc>
        <w:tc>
          <w:tcPr>
            <w:tcW w:w="500" w:type="dxa"/>
            <w:vAlign w:val="bottom"/>
            <w:tcBorders>
              <w:top w:val="single" w:sz="8" w:color="auto"/>
            </w:tcBorders>
            <w:shd w:val="clear" w:color="auto" w:fill="F0FFFF"/>
          </w:tcPr>
          <w:p>
            <w:pPr>
              <w:spacing w:after="0"/>
              <w:rPr>
                <w:sz w:val="18"/>
                <w:szCs w:val="18"/>
                <w:color w:val="auto"/>
              </w:rPr>
            </w:pPr>
          </w:p>
        </w:tc>
        <w:tc>
          <w:tcPr>
            <w:tcW w:w="7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Borders>
              <w:top w:val="single" w:sz="8" w:color="F0FFFF"/>
            </w:tcBorders>
            <w:shd w:val="clear" w:color="auto" w:fill="F0FFFF"/>
          </w:tcPr>
          <w:p>
            <w:pPr>
              <w:spacing w:after="0"/>
              <w:rPr>
                <w:sz w:val="18"/>
                <w:szCs w:val="18"/>
                <w:color w:val="auto"/>
              </w:rPr>
            </w:pPr>
          </w:p>
        </w:tc>
        <w:tc>
          <w:tcPr>
            <w:tcW w:w="3840" w:type="dxa"/>
            <w:vAlign w:val="bottom"/>
            <w:tcBorders>
              <w:top w:val="single" w:sz="8" w:color="F0FFFF"/>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20"/>
                <w:szCs w:val="20"/>
                <w:color w:val="auto"/>
              </w:rPr>
            </w:pP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 benefit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300" w:type="dxa"/>
            <w:vAlign w:val="bottom"/>
            <w:tcBorders>
              <w:top w:val="single" w:sz="8" w:color="F0FFFF"/>
              <w:bottom w:val="single" w:sz="8" w:color="F0FFFF"/>
            </w:tcBorders>
            <w:shd w:val="clear" w:color="auto" w:fill="F0FFFF"/>
          </w:tcPr>
          <w:p>
            <w:pPr>
              <w:spacing w:after="0"/>
              <w:rPr>
                <w:sz w:val="21"/>
                <w:szCs w:val="21"/>
                <w:color w:val="auto"/>
              </w:rPr>
            </w:pPr>
          </w:p>
        </w:tc>
        <w:tc>
          <w:tcPr>
            <w:tcW w:w="380" w:type="dxa"/>
            <w:vAlign w:val="bottom"/>
            <w:tcBorders>
              <w:top w:val="single" w:sz="8" w:color="F0FFFF"/>
              <w:bottom w:val="single" w:sz="8" w:color="F0FFFF"/>
            </w:tcBorders>
            <w:shd w:val="clear" w:color="auto" w:fill="F0FFFF"/>
          </w:tcPr>
          <w:p>
            <w:pPr>
              <w:spacing w:after="0"/>
              <w:rPr>
                <w:sz w:val="21"/>
                <w:szCs w:val="21"/>
                <w:color w:val="auto"/>
              </w:rPr>
            </w:pPr>
          </w:p>
        </w:tc>
        <w:tc>
          <w:tcPr>
            <w:tcW w:w="460" w:type="dxa"/>
            <w:vAlign w:val="bottom"/>
            <w:tcBorders>
              <w:top w:val="single" w:sz="8" w:color="auto"/>
              <w:bottom w:val="single" w:sz="8" w:color="auto"/>
            </w:tcBorders>
            <w:shd w:val="clear" w:color="auto" w:fill="F0FF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Borders>
              <w:top w:val="single" w:sz="8" w:color="F0FFFF"/>
              <w:bottom w:val="single" w:sz="8" w:color="F0FFFF"/>
            </w:tcBorders>
            <w:shd w:val="clear" w:color="auto" w:fill="F0FF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F0FF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40" w:type="dxa"/>
            <w:vAlign w:val="bottom"/>
            <w:tcBorders>
              <w:top w:val="single" w:sz="8" w:color="F0FFFF"/>
              <w:bottom w:val="single" w:sz="8" w:color="F0FFFF"/>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F0FFFF"/>
            </w:tcBorders>
          </w:tcPr>
          <w:p>
            <w:pPr>
              <w:spacing w:after="0" w:line="20" w:lineRule="exact"/>
              <w:rPr>
                <w:sz w:val="1"/>
                <w:szCs w:val="1"/>
                <w:color w:val="auto"/>
              </w:rPr>
            </w:pPr>
          </w:p>
        </w:tc>
        <w:tc>
          <w:tcPr>
            <w:tcW w:w="380" w:type="dxa"/>
            <w:vAlign w:val="bottom"/>
            <w:tcBorders>
              <w:top w:val="single" w:sz="8" w:color="F0FFFF"/>
            </w:tcBorders>
          </w:tcPr>
          <w:p>
            <w:pPr>
              <w:spacing w:after="0" w:line="20" w:lineRule="exact"/>
              <w:rPr>
                <w:sz w:val="1"/>
                <w:szCs w:val="1"/>
                <w:color w:val="auto"/>
              </w:rPr>
            </w:pPr>
          </w:p>
        </w:tc>
        <w:tc>
          <w:tcPr>
            <w:tcW w:w="46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50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384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43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Total reclassifications for the period</w:t>
            </w:r>
          </w:p>
        </w:tc>
        <w:tc>
          <w:tcPr>
            <w:tcW w:w="840" w:type="dxa"/>
            <w:vAlign w:val="bottom"/>
            <w:gridSpan w:val="2"/>
            <w:shd w:val="clear" w:color="auto" w:fill="F0FF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(3,968)</w:t>
            </w:r>
          </w:p>
        </w:tc>
        <w:tc>
          <w:tcPr>
            <w:tcW w:w="500" w:type="dxa"/>
            <w:vAlign w:val="bottom"/>
            <w:shd w:val="clear" w:color="auto" w:fill="F0FF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3840" w:type="dxa"/>
            <w:vAlign w:val="bottom"/>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F0FFFF"/>
            </w:tcBorders>
          </w:tcPr>
          <w:p>
            <w:pPr>
              <w:spacing w:after="0" w:line="20" w:lineRule="exact"/>
              <w:rPr>
                <w:sz w:val="1"/>
                <w:szCs w:val="1"/>
                <w:color w:val="auto"/>
              </w:rPr>
            </w:pPr>
          </w:p>
        </w:tc>
        <w:tc>
          <w:tcPr>
            <w:tcW w:w="380" w:type="dxa"/>
            <w:vAlign w:val="bottom"/>
            <w:tcBorders>
              <w:top w:val="single" w:sz="8" w:color="F0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384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Amounts shown above in parentheses reduce earnings.</w:t>
            </w:r>
          </w:p>
        </w:tc>
        <w:tc>
          <w:tcPr>
            <w:tcW w:w="38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50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8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Earnings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is required to report on the face of the consolidated statement of income, earnings per common share with and without the dilutive effects of potential common stock issuances from instruments such as options, convertible securities and warrants. Basic earnings per common share is based on the weighted average number of common shares outstanding during the period while the effects of potential common shares outstanding during the period are included in diluted earnings per common share.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2016, United accrued dividends of $21,000 on its Series H preferred stock. The Series H preferred stock was redeemed in the first quarter of 2016; accordingly, United did not accrue any dividends for the first quarter of 2017.</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sets forth the computation of basic and diluted earnings per share for the periods indicated </w:t>
      </w:r>
      <w:r>
        <w:rPr>
          <w:rFonts w:ascii="Times New Roman" w:cs="Times New Roman" w:eastAsia="Times New Roman" w:hAnsi="Times New Roman"/>
          <w:sz w:val="18"/>
          <w:szCs w:val="18"/>
          <w:i w:val="1"/>
          <w:iCs w:val="1"/>
          <w:color w:val="auto"/>
        </w:rPr>
        <w:t>(in thousands, except per share data)</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49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840" w:type="dxa"/>
            <w:vAlign w:val="bottom"/>
            <w:gridSpan w:val="2"/>
            <w:shd w:val="clear" w:color="auto" w:fill="F0FF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23,524</w:t>
            </w:r>
          </w:p>
        </w:tc>
        <w:tc>
          <w:tcPr>
            <w:tcW w:w="500" w:type="dxa"/>
            <w:vAlign w:val="bottom"/>
            <w:gridSpan w:val="2"/>
            <w:shd w:val="clear" w:color="auto" w:fill="F0FF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22,274</w:t>
            </w:r>
          </w:p>
        </w:tc>
        <w:tc>
          <w:tcPr>
            <w:tcW w:w="8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F0FFFF"/>
            </w:tcBorders>
          </w:tcPr>
          <w:p>
            <w:pPr>
              <w:spacing w:after="0" w:line="20" w:lineRule="exact"/>
              <w:rPr>
                <w:sz w:val="1"/>
                <w:szCs w:val="1"/>
                <w:color w:val="auto"/>
              </w:rPr>
            </w:pPr>
          </w:p>
        </w:tc>
        <w:tc>
          <w:tcPr>
            <w:tcW w:w="16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6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Borders>
              <w:bottom w:val="single" w:sz="8" w:color="F0FFFF"/>
            </w:tcBorders>
          </w:tcPr>
          <w:p>
            <w:pPr>
              <w:ind w:left="320"/>
              <w:spacing w:after="0"/>
              <w:rPr>
                <w:sz w:val="20"/>
                <w:szCs w:val="20"/>
                <w:color w:val="auto"/>
              </w:rPr>
            </w:pPr>
            <w:r>
              <w:rPr>
                <w:rFonts w:ascii="Times New Roman" w:cs="Times New Roman" w:eastAsia="Times New Roman" w:hAnsi="Times New Roman"/>
                <w:sz w:val="18"/>
                <w:szCs w:val="18"/>
                <w:color w:val="auto"/>
              </w:rPr>
              <w:t>Stock options</w:t>
            </w:r>
          </w:p>
        </w:tc>
        <w:tc>
          <w:tcPr>
            <w:tcW w:w="160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F0FF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900" w:type="dxa"/>
            <w:vAlign w:val="bottom"/>
            <w:tcBorders>
              <w:bottom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60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spacing w:after="0"/>
              <w:rPr>
                <w:sz w:val="21"/>
                <w:szCs w:val="21"/>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71,708</w:t>
            </w:r>
          </w:p>
        </w:tc>
        <w:tc>
          <w:tcPr>
            <w:tcW w:w="16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auto"/>
            </w:tcBorders>
            <w:shd w:val="clear" w:color="auto" w:fill="F0FFFF"/>
          </w:tcPr>
          <w:p>
            <w:pPr>
              <w:spacing w:after="0"/>
              <w:rPr>
                <w:sz w:val="21"/>
                <w:szCs w:val="21"/>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72,166</w:t>
            </w:r>
          </w:p>
        </w:tc>
        <w:tc>
          <w:tcPr>
            <w:tcW w:w="8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F0FFFF"/>
            </w:tcBorders>
          </w:tcPr>
          <w:p>
            <w:pPr>
              <w:spacing w:after="0" w:line="20" w:lineRule="exact"/>
              <w:rPr>
                <w:sz w:val="1"/>
                <w:szCs w:val="1"/>
                <w:color w:val="auto"/>
              </w:rPr>
            </w:pPr>
          </w:p>
        </w:tc>
        <w:tc>
          <w:tcPr>
            <w:tcW w:w="16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16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8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0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bottom w:val="single" w:sz="8" w:color="F0FFFF"/>
            </w:tcBorders>
          </w:tcPr>
          <w:p>
            <w:pPr>
              <w:spacing w:after="0" w:line="20" w:lineRule="exact"/>
              <w:rPr>
                <w:sz w:val="1"/>
                <w:szCs w:val="1"/>
                <w:color w:val="auto"/>
              </w:rPr>
            </w:pPr>
          </w:p>
        </w:tc>
        <w:tc>
          <w:tcPr>
            <w:tcW w:w="1600" w:type="dxa"/>
            <w:vAlign w:val="bottom"/>
            <w:tcBorders>
              <w:bottom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900" w:type="dxa"/>
            <w:vAlign w:val="bottom"/>
            <w:tcBorders>
              <w:bottom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60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auto"/>
            </w:tcBorders>
            <w:shd w:val="clear" w:color="auto" w:fill="F0FF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bottom w:val="single" w:sz="8" w:color="F0FFFF"/>
            </w:tcBorders>
            <w:shd w:val="clear" w:color="auto" w:fill="F0FFFF"/>
          </w:tcPr>
          <w:p>
            <w:pPr>
              <w:spacing w:after="0"/>
              <w:rPr>
                <w:sz w:val="20"/>
                <w:szCs w:val="20"/>
                <w:color w:val="auto"/>
              </w:rPr>
            </w:pPr>
          </w:p>
        </w:tc>
        <w:tc>
          <w:tcPr>
            <w:tcW w:w="340" w:type="dxa"/>
            <w:vAlign w:val="bottom"/>
            <w:tcBorders>
              <w:bottom w:val="single" w:sz="8" w:color="auto"/>
            </w:tcBorders>
            <w:shd w:val="clear" w:color="auto" w:fill="F0FF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F0FFFF"/>
            </w:tcBorders>
          </w:tcPr>
          <w:p>
            <w:pPr>
              <w:spacing w:after="0" w:line="20" w:lineRule="exact"/>
              <w:rPr>
                <w:sz w:val="1"/>
                <w:szCs w:val="1"/>
                <w:color w:val="auto"/>
              </w:rPr>
            </w:pPr>
          </w:p>
        </w:tc>
        <w:tc>
          <w:tcPr>
            <w:tcW w:w="16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2017, United had the following potentially dilutive stock options and warrants outstanding: a warrant to purchase 219,909 shares of common stock at $61.40 per share; 64,942 shares of common stock issuable upon exercise of stock options granted to employees with a weighted average exercise price of $28.34; and 575,835 shares of common stock issuable upon the vesting of restricted stock unit awards.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2016, United had the following potentially dilutive stock options and warrants outstanding: a warrant to purchase 219,909 shares of common stock at $61.40 per share; 235,771 shares of common stock issuable upon exercise of stock options granted to employees with a weighted average exercise price of $89.61; and 597,240 shares of common stock issuable upon the vesting of restricted stock unit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Derivatives and Hedging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Management Objective of Using Derivatives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wholesale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Derivative financial instruments are used to manage differences in the amount, timing, and duration of known or expected cash receipts and known or expected cash payments principally related to loans, investment securities, wholesale borrowings and deposits.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conjunction with the FASB’s fair value measurement guidance, United made an accounting policy election to measure the credit risk of its derivative financial instruments that are subject to master netting agreements on a gross basis.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presents the fair value of derivative financial instruments as of the dates indicated as well as their classification on the consolidated balance sheet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 under ASC 815</w:t>
            </w: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ind w:left="640"/>
              <w:spacing w:after="0" w:line="194"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6"/>
                <w:szCs w:val="16"/>
                <w:color w:val="auto"/>
              </w:rPr>
            </w:pPr>
          </w:p>
        </w:tc>
        <w:tc>
          <w:tcPr>
            <w:tcW w:w="12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58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Interest Rate Products</w:t>
            </w:r>
          </w:p>
        </w:tc>
        <w:tc>
          <w:tcPr>
            <w:tcW w:w="120" w:type="dxa"/>
            <w:vAlign w:val="bottom"/>
          </w:tcPr>
          <w:p>
            <w:pPr>
              <w:spacing w:after="0"/>
              <w:rPr>
                <w:sz w:val="21"/>
                <w:szCs w:val="21"/>
                <w:color w:val="auto"/>
              </w:rPr>
            </w:pPr>
          </w:p>
        </w:tc>
        <w:tc>
          <w:tcPr>
            <w:tcW w:w="24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Fair value hedge of corporate bonds</w:t>
            </w:r>
          </w:p>
        </w:tc>
        <w:tc>
          <w:tcPr>
            <w:tcW w:w="25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Derivative assets</w:t>
            </w:r>
          </w:p>
        </w:tc>
        <w:tc>
          <w:tcPr>
            <w:tcW w:w="2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480" w:type="dxa"/>
            <w:vAlign w:val="bottom"/>
            <w:gridSpan w:val="2"/>
            <w:shd w:val="clear" w:color="auto" w:fill="F0FF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7"/>
        </w:trPr>
        <w:tc>
          <w:tcPr>
            <w:tcW w:w="558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4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4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 of brokered CD's</w:t>
            </w: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Derivative liabilities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tcPr>
          <w:p>
            <w:pPr>
              <w:spacing w:after="0"/>
              <w:rPr>
                <w:sz w:val="20"/>
                <w:szCs w:val="20"/>
                <w:color w:val="auto"/>
              </w:rPr>
            </w:pPr>
          </w:p>
        </w:tc>
        <w:tc>
          <w:tcPr>
            <w:tcW w:w="48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55"/>
        </w:trPr>
        <w:tc>
          <w:tcPr>
            <w:tcW w:w="558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4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360" w:type="dxa"/>
            <w:vAlign w:val="bottom"/>
            <w:tcBorders>
              <w:top w:val="single" w:sz="8" w:color="auto"/>
              <w:bottom w:val="single" w:sz="8" w:color="auto"/>
            </w:tcBorders>
            <w:shd w:val="clear" w:color="auto" w:fill="F0FF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F0FFFF"/>
              <w:bottom w:val="single" w:sz="8" w:color="F0FF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 under ASC 815</w:t>
            </w:r>
          </w:p>
        </w:tc>
        <w:tc>
          <w:tcPr>
            <w:tcW w:w="120" w:type="dxa"/>
            <w:vAlign w:val="bottom"/>
            <w:tcBorders>
              <w:top w:val="single" w:sz="8" w:color="F0FFFF"/>
            </w:tcBorders>
          </w:tcPr>
          <w:p>
            <w:pPr>
              <w:spacing w:after="0" w:line="20" w:lineRule="exact"/>
              <w:rPr>
                <w:sz w:val="1"/>
                <w:szCs w:val="1"/>
                <w:color w:val="auto"/>
              </w:rPr>
            </w:pPr>
          </w:p>
        </w:tc>
        <w:tc>
          <w:tcPr>
            <w:tcW w:w="24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ind w:left="640"/>
              <w:spacing w:after="0" w:line="194"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6"/>
                <w:szCs w:val="16"/>
                <w:color w:val="auto"/>
              </w:rPr>
            </w:pPr>
          </w:p>
        </w:tc>
        <w:tc>
          <w:tcPr>
            <w:tcW w:w="12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58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Interest Rate Products</w:t>
            </w:r>
          </w:p>
        </w:tc>
        <w:tc>
          <w:tcPr>
            <w:tcW w:w="120" w:type="dxa"/>
            <w:vAlign w:val="bottom"/>
          </w:tcPr>
          <w:p>
            <w:pPr>
              <w:spacing w:after="0"/>
              <w:rPr>
                <w:sz w:val="21"/>
                <w:szCs w:val="21"/>
                <w:color w:val="auto"/>
              </w:rPr>
            </w:pPr>
          </w:p>
        </w:tc>
        <w:tc>
          <w:tcPr>
            <w:tcW w:w="24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Customer derivative positions</w:t>
            </w:r>
          </w:p>
        </w:tc>
        <w:tc>
          <w:tcPr>
            <w:tcW w:w="25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Derivative assets</w:t>
            </w:r>
          </w:p>
        </w:tc>
        <w:tc>
          <w:tcPr>
            <w:tcW w:w="2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shd w:val="clear" w:color="auto" w:fill="F0FFFF"/>
          </w:tcPr>
          <w:p>
            <w:pPr>
              <w:spacing w:after="0"/>
              <w:rPr>
                <w:sz w:val="18"/>
                <w:szCs w:val="18"/>
                <w:color w:val="auto"/>
              </w:rPr>
            </w:pPr>
          </w:p>
        </w:tc>
        <w:tc>
          <w:tcPr>
            <w:tcW w:w="480" w:type="dxa"/>
            <w:vAlign w:val="bottom"/>
            <w:gridSpan w:val="2"/>
            <w:shd w:val="clear" w:color="auto" w:fill="F0FF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5,266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Dealer offsets to customer derivative positions</w:t>
            </w: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Derivative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3,869</w:t>
            </w:r>
          </w:p>
        </w:tc>
        <w:tc>
          <w:tcPr>
            <w:tcW w:w="0" w:type="dxa"/>
            <w:vAlign w:val="bottom"/>
          </w:tcPr>
          <w:p>
            <w:pPr>
              <w:spacing w:after="0"/>
              <w:rPr>
                <w:sz w:val="1"/>
                <w:szCs w:val="1"/>
                <w:color w:val="auto"/>
              </w:rPr>
            </w:pPr>
          </w:p>
        </w:tc>
      </w:tr>
      <w:tr>
        <w:trPr>
          <w:trHeight w:val="216"/>
        </w:trPr>
        <w:tc>
          <w:tcPr>
            <w:tcW w:w="55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Mortgage banking - loan commitment</w:t>
            </w:r>
          </w:p>
        </w:tc>
        <w:tc>
          <w:tcPr>
            <w:tcW w:w="25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Derivative assets</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Mortgage banking - forward sales commitment</w:t>
            </w: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Derivative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55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Bifurcated embedded derivatives</w:t>
            </w:r>
          </w:p>
        </w:tc>
        <w:tc>
          <w:tcPr>
            <w:tcW w:w="25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Derivative assets</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10,734</w:t>
            </w: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10,225</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Offsetting positions for de-designated hedges</w:t>
            </w: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Derivative assets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55"/>
        </w:trPr>
        <w:tc>
          <w:tcPr>
            <w:tcW w:w="558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4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21,761</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360" w:type="dxa"/>
            <w:vAlign w:val="bottom"/>
            <w:tcBorders>
              <w:top w:val="single" w:sz="8" w:color="auto"/>
              <w:bottom w:val="single" w:sz="8" w:color="auto"/>
            </w:tcBorders>
            <w:shd w:val="clear" w:color="auto" w:fill="F0FF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F0FFFF"/>
            </w:tcBorders>
          </w:tcPr>
          <w:p>
            <w:pPr>
              <w:spacing w:after="0" w:line="20" w:lineRule="exact"/>
              <w:rPr>
                <w:sz w:val="1"/>
                <w:szCs w:val="1"/>
                <w:color w:val="auto"/>
              </w:rPr>
            </w:pPr>
          </w:p>
        </w:tc>
        <w:tc>
          <w:tcPr>
            <w:tcW w:w="2520" w:type="dxa"/>
            <w:vAlign w:val="bottom"/>
            <w:tcBorders>
              <w:top w:val="single" w:sz="8" w:color="F0FFFF"/>
            </w:tcBorders>
            <w:gridSpan w:val="2"/>
          </w:tcPr>
          <w:p>
            <w:pPr>
              <w:spacing w:after="0" w:line="20" w:lineRule="exact"/>
              <w:rPr>
                <w:sz w:val="1"/>
                <w:szCs w:val="1"/>
                <w:color w:val="auto"/>
              </w:rPr>
            </w:pPr>
          </w:p>
        </w:tc>
        <w:tc>
          <w:tcPr>
            <w:tcW w:w="260" w:type="dxa"/>
            <w:vAlign w:val="bottom"/>
            <w:tcBorders>
              <w:top w:val="single" w:sz="8" w:color="F0FFFF"/>
            </w:tcBorders>
            <w:gridSpan w:val="2"/>
          </w:tcPr>
          <w:p>
            <w:pPr>
              <w:spacing w:after="0" w:line="20" w:lineRule="exact"/>
              <w:rPr>
                <w:sz w:val="1"/>
                <w:szCs w:val="1"/>
                <w:color w:val="auto"/>
              </w:rPr>
            </w:pPr>
          </w:p>
        </w:tc>
        <w:tc>
          <w:tcPr>
            <w:tcW w:w="10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480" w:type="dxa"/>
            <w:vAlign w:val="bottom"/>
            <w:tcBorders>
              <w:top w:val="single" w:sz="8" w:color="F0FFFF"/>
            </w:tcBorders>
            <w:gridSpan w:val="2"/>
          </w:tcPr>
          <w:p>
            <w:pPr>
              <w:spacing w:after="0" w:line="20" w:lineRule="exact"/>
              <w:rPr>
                <w:sz w:val="1"/>
                <w:szCs w:val="1"/>
                <w:color w:val="auto"/>
              </w:rPr>
            </w:pPr>
          </w:p>
        </w:tc>
        <w:tc>
          <w:tcPr>
            <w:tcW w:w="940" w:type="dxa"/>
            <w:vAlign w:val="bottom"/>
            <w:tcBorders>
              <w:top w:val="single" w:sz="8" w:color="F0FF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Customer derivative positions</w:t>
            </w:r>
          </w:p>
        </w:tc>
        <w:tc>
          <w:tcPr>
            <w:tcW w:w="25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Derivative liabilities</w:t>
            </w:r>
          </w:p>
        </w:tc>
        <w:tc>
          <w:tcPr>
            <w:tcW w:w="2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100" w:type="dxa"/>
            <w:vAlign w:val="bottom"/>
            <w:shd w:val="clear" w:color="auto" w:fill="F0FFFF"/>
          </w:tcPr>
          <w:p>
            <w:pPr>
              <w:spacing w:after="0"/>
              <w:rPr>
                <w:sz w:val="18"/>
                <w:szCs w:val="18"/>
                <w:color w:val="auto"/>
              </w:rPr>
            </w:pPr>
          </w:p>
        </w:tc>
        <w:tc>
          <w:tcPr>
            <w:tcW w:w="480" w:type="dxa"/>
            <w:vAlign w:val="bottom"/>
            <w:gridSpan w:val="2"/>
            <w:shd w:val="clear" w:color="auto" w:fill="F0FF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3,897</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Dealer offsets to customer derivative positions</w:t>
            </w: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5,328</w:t>
            </w:r>
          </w:p>
        </w:tc>
        <w:tc>
          <w:tcPr>
            <w:tcW w:w="0" w:type="dxa"/>
            <w:vAlign w:val="bottom"/>
          </w:tcPr>
          <w:p>
            <w:pPr>
              <w:spacing w:after="0"/>
              <w:rPr>
                <w:sz w:val="1"/>
                <w:szCs w:val="1"/>
                <w:color w:val="auto"/>
              </w:rPr>
            </w:pPr>
          </w:p>
        </w:tc>
      </w:tr>
      <w:tr>
        <w:trPr>
          <w:trHeight w:val="216"/>
        </w:trPr>
        <w:tc>
          <w:tcPr>
            <w:tcW w:w="55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Risk participations</w:t>
            </w:r>
          </w:p>
        </w:tc>
        <w:tc>
          <w:tcPr>
            <w:tcW w:w="25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Mortgage banking - forward sales commitment</w:t>
            </w: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Dealer offsets to bifurcated embedded derivatives</w:t>
            </w:r>
          </w:p>
        </w:tc>
        <w:tc>
          <w:tcPr>
            <w:tcW w:w="25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14,622</w:t>
            </w: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14,341</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De-designated hedges</w:t>
            </w: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55"/>
        </w:trPr>
        <w:tc>
          <w:tcPr>
            <w:tcW w:w="558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4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24,489</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360" w:type="dxa"/>
            <w:vAlign w:val="bottom"/>
            <w:tcBorders>
              <w:top w:val="single" w:sz="8" w:color="auto"/>
              <w:bottom w:val="single" w:sz="8" w:color="auto"/>
            </w:tcBorders>
            <w:shd w:val="clear" w:color="auto" w:fill="F0FF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25,668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 derivative positions are between United and certain commercial loan customers with offsetting positions to dealers under a back-to-back swap/cap program. 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are marked to market through earnings. The fair value marks on the market linked swaps and the bifurcated embedded derivatives tend to move in opposite directions with changes in 90-day LIBOR and therefore provide an economic hedge.</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accommodate customers, United occasionally enters into credit risk participation agreements with counterparty banks to accept a portion of the credit risk related to interest rate swaps. This allows customers to execute an interest rate swap with one bank while allowing for the distribution of the credit risk among participating members. Credit risk participation agreements arise when United contracts with other financial institutions, as a guarantor, to share credit risk associated with certain interest rate swaps. These agreements provide for reimbursement of losses resulting from a third party default on the underlying swap. These transactions are typically executed in conjunction with a participation in a loan with the same customer. Collateral used to support the credit risk for the underlying lending relationship is also available to offset the risk of the credit risk participation.</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enters into forward sale agreements to mitigate risk and to protect the expected gain on the eventual loan sale. Most of this hedging activity is executed on a matched basis, with a loan sale commitment hedging a specific loan. The commitments to originate residential mortgage loans and forward loan sales commitments are freestanding derivative instruments. Beginning late in the third quarter of 2016 for newly originated mortgage loans, United began to account for the underlying loans at fair value pursuant to the fair value option, and these loans are not reflected in the table above. Fair value adjustments on these derivative instruments are recorded within mortgage loan and other related fee income in the consolidated statement of income.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 of Interest Rate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2017 and December 31, 2016 United did not have any active cash flow hedges. Changes in balance sheet composition and interest rate risk position made cash flow hedges no longer necessary as protection against rising interest rates. The loss remaining in other comprehensive income on the de-designated swaps is being amortized into earnings over the original term of the swaps as the forecasted transactions that the swaps were originally designated to hedge are still expected to occur. United expects that $625,000 will be reclassified as an increase to interest expense over the next twelve months related to these cash flow hedges.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table below presents the effect of cash flow hedges on the consolidated statement of income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20" w:type="dxa"/>
            <w:vAlign w:val="bottom"/>
            <w:gridSpan w:val="5"/>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20" w:type="dxa"/>
            <w:vAlign w:val="bottom"/>
            <w:gridSpan w:val="5"/>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Other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20" w:type="dxa"/>
            <w:vAlign w:val="bottom"/>
            <w:gridSpan w:val="6"/>
            <w:vMerge w:val="restart"/>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Gain (Loss) Reclassified from</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20" w:type="dxa"/>
            <w:vAlign w:val="bottom"/>
            <w:gridSpan w:val="5"/>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20" w:type="dxa"/>
            <w:vAlign w:val="bottom"/>
            <w:gridSpan w:val="6"/>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80" w:type="dxa"/>
            <w:vAlign w:val="bottom"/>
            <w:gridSpan w:val="8"/>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Gain (Loss) Recognized in Income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20" w:type="dxa"/>
            <w:vAlign w:val="bottom"/>
            <w:gridSpan w:val="5"/>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on Derivative (Effective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20" w:type="dxa"/>
            <w:vAlign w:val="bottom"/>
            <w:gridSpan w:val="6"/>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 Comprehensive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8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20" w:type="dxa"/>
            <w:vAlign w:val="bottom"/>
            <w:tcBorders>
              <w:bottom w:val="single" w:sz="8" w:color="auto"/>
            </w:tcBorders>
            <w:gridSpan w:val="6"/>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Income into Income (Effective Portion)</w:t>
            </w: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tcBorders>
              <w:bottom w:val="single" w:sz="8" w:color="auto"/>
            </w:tcBorders>
            <w:gridSpan w:val="6"/>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Derivative (Ineffective Portion)</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0" w:type="dxa"/>
            <w:vAlign w:val="bottom"/>
          </w:tcPr>
          <w:p>
            <w:pPr>
              <w:spacing w:after="0"/>
              <w:rPr>
                <w:sz w:val="14"/>
                <w:szCs w:val="14"/>
                <w:color w:val="auto"/>
              </w:rPr>
            </w:pP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0" w:type="dxa"/>
            <w:vAlign w:val="bottom"/>
          </w:tcPr>
          <w:p>
            <w:pPr>
              <w:spacing w:after="0"/>
              <w:rPr>
                <w:sz w:val="14"/>
                <w:szCs w:val="14"/>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60" w:type="dxa"/>
            <w:vAlign w:val="bottom"/>
            <w:gridSpan w:val="3"/>
            <w:shd w:val="clear" w:color="auto" w:fill="F0FF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3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0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1160" w:type="dxa"/>
            <w:vAlign w:val="bottom"/>
            <w:gridSpan w:val="2"/>
            <w:shd w:val="clear" w:color="auto" w:fill="F0FF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F0FFFF"/>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3"/>
            <w:shd w:val="clear" w:color="auto" w:fill="F0FFFF"/>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F0FF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F0FFFF"/>
          </w:tcPr>
          <w:p>
            <w:pPr>
              <w:jc w:val="right"/>
              <w:ind w:right="160"/>
              <w:spacing w:after="0" w:line="176" w:lineRule="exact"/>
              <w:rPr>
                <w:sz w:val="20"/>
                <w:szCs w:val="20"/>
                <w:color w:val="auto"/>
              </w:rPr>
            </w:pPr>
            <w:r>
              <w:rPr>
                <w:rFonts w:ascii="Times New Roman" w:cs="Times New Roman" w:eastAsia="Times New Roman" w:hAnsi="Times New Roman"/>
                <w:sz w:val="12"/>
                <w:szCs w:val="12"/>
                <w:color w:val="auto"/>
              </w:rPr>
              <w:t>(413</w:t>
            </w:r>
            <w:r>
              <w:rPr>
                <w:rFonts w:ascii="Times New Roman" w:cs="Times New Roman" w:eastAsia="Times New Roman" w:hAnsi="Times New Roman"/>
                <w:sz w:val="20"/>
                <w:szCs w:val="20"/>
                <w:color w:val="auto"/>
                <w:vertAlign w:val="superscript"/>
              </w:rPr>
              <w:t>)</w:t>
            </w:r>
          </w:p>
        </w:tc>
        <w:tc>
          <w:tcPr>
            <w:tcW w:w="620" w:type="dxa"/>
            <w:vAlign w:val="bottom"/>
            <w:shd w:val="clear" w:color="auto" w:fill="F0FFFF"/>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gridSpan w:val="5"/>
            <w:shd w:val="clear" w:color="auto" w:fill="F0FFFF"/>
          </w:tcPr>
          <w:p>
            <w:pPr>
              <w:ind w:left="20"/>
              <w:spacing w:after="0" w:line="176" w:lineRule="exact"/>
              <w:rPr>
                <w:sz w:val="20"/>
                <w:szCs w:val="20"/>
                <w:color w:val="auto"/>
              </w:rPr>
            </w:pPr>
            <w:r>
              <w:rPr>
                <w:rFonts w:ascii="Times New Roman" w:cs="Times New Roman" w:eastAsia="Times New Roman" w:hAnsi="Times New Roman"/>
                <w:sz w:val="20"/>
                <w:szCs w:val="20"/>
                <w:color w:val="auto"/>
                <w:vertAlign w:val="subscript"/>
              </w:rPr>
              <w:t>(500</w:t>
            </w:r>
            <w:r>
              <w:rPr>
                <w:rFonts w:ascii="Times New Roman" w:cs="Times New Roman" w:eastAsia="Times New Roman" w:hAnsi="Times New Roman"/>
                <w:sz w:val="12"/>
                <w:szCs w:val="12"/>
                <w:color w:val="auto"/>
              </w:rPr>
              <w:t>)   Interest expense</w:t>
            </w:r>
          </w:p>
        </w:tc>
        <w:tc>
          <w:tcPr>
            <w:tcW w:w="200" w:type="dxa"/>
            <w:vAlign w:val="bottom"/>
            <w:shd w:val="clear" w:color="auto" w:fill="F0FF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3"/>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F0FFFF"/>
            </w:tcBorders>
          </w:tcPr>
          <w:p>
            <w:pPr>
              <w:spacing w:after="0" w:line="20" w:lineRule="exact"/>
              <w:rPr>
                <w:sz w:val="1"/>
                <w:szCs w:val="1"/>
                <w:color w:val="auto"/>
              </w:rPr>
            </w:pPr>
          </w:p>
        </w:tc>
        <w:tc>
          <w:tcPr>
            <w:tcW w:w="440" w:type="dxa"/>
            <w:vAlign w:val="bottom"/>
            <w:tcBorders>
              <w:top w:val="single" w:sz="8" w:color="F0FF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3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Hedges of Interest Rate Risk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is exposed to changes in the fair value of certain of its fixed-rate obligations due to changes in interest rates. United uses interest rate swaps to manage its exposure to changes in fair value on these instruments attributable to changes in interest rates. Interest rate swaps designated as fair value hedges of brokered deposits involve the receipt of fixed-rate amounts from a counterparty in exchange for United making variable rate payments over the life of the agreements without the exchange of the underlying notional amount. Interest rate swaps designated as fair value hedges of fixed-rate investments involve the receipt of variable-rate payments from a counterparty in exchange for United making fixed-rate payments over the life of the instrument without the exchange of the underlying notional amount. At March 31, 2017, United had four interest rate swaps with a notional amount of $40.7 million that were designated as fair value hedges of interest rate risk and were pay-variable / receive-fixed swaps hedging the changes in the fair value of fixed-rate brokered time deposits resulting from changes in interest rates. Also at March 31, 2017, United had one interest rate swap with a notional value of $30 million that was designated as a pay-fixed / receive-variable fair value hedge of changes in the fair value of a fixed-rate corporate bond. At December 31, 2016, United had one interest rate swap with an aggregate notional amount of $12.8 million that was designated as a fair value hedge of interest rate risk and was pay-variable / receive-fixed, hedging the changes in the fair value of fixed-rate brokered time deposits resulting from changes in interest rates. Also at December 31, 2016, United had one interest rate swap with a notional value of $30 million that was designated as a pay-fixed / receive-variable fair value hedge of changes in the fair value of a fixed-rate corporate bond.</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three months ended March 31, 2017 and 2016, United recognized net losses of $125,000 and net gains of $638,000, respectively, related to ineffectiveness in the fair value hedging relationships. The ineffectiveness gains were almost entirely offset by the write-off of unamortized prepaid broker fees that were incurred as part of the original brokered certificates of deposit. The 2016 ineffectiveness gains mostly resulted from called hedging transactions where United was short the call option in the swap and long the call option on the hedged items (brokered certificates of deposit). Since the instruments were called at par, the difference between the carrying amount of the swap (fair value) and the carrying amount of the hedged item (fair value) on the call date created the ineffectiveness gains. United also recognized net reductions of interest expense of $32,000 and $790,000, respectively, for the three months ended March 31, 2017 and 2016 related to fair value hedges of brokered time deposits, which includes net settlements on the derivatives. United recognized reductions of interest revenue on securities during the three months ended March 31, 2017 and 2016 of $93,000 and $129,000, respectively, related to fair value hedges of corporate bonds.</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table below presents the effect of derivatives in fair value hedging relationships on the consolidated statement of income for the periods indicated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280" w:type="dxa"/>
            <w:vAlign w:val="bottom"/>
          </w:tcPr>
          <w:p>
            <w:pPr>
              <w:spacing w:after="0"/>
              <w:rPr>
                <w:sz w:val="18"/>
                <w:szCs w:val="18"/>
                <w:color w:val="auto"/>
              </w:rPr>
            </w:pPr>
          </w:p>
        </w:tc>
        <w:tc>
          <w:tcPr>
            <w:tcW w:w="26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Amount of Gain (Loss)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Amount of Gain (Loss)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(Loss) Recognized</w:t>
            </w:r>
          </w:p>
        </w:tc>
        <w:tc>
          <w:tcPr>
            <w:tcW w:w="280" w:type="dxa"/>
            <w:vAlign w:val="bottom"/>
          </w:tcPr>
          <w:p>
            <w:pPr>
              <w:spacing w:after="0"/>
              <w:rPr>
                <w:sz w:val="18"/>
                <w:szCs w:val="18"/>
                <w:color w:val="auto"/>
              </w:rPr>
            </w:pPr>
          </w:p>
        </w:tc>
        <w:tc>
          <w:tcPr>
            <w:tcW w:w="26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Recognized in Income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Recognized in Income</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Income on</w:t>
            </w:r>
          </w:p>
        </w:tc>
        <w:tc>
          <w:tcPr>
            <w:tcW w:w="280" w:type="dxa"/>
            <w:vAlign w:val="bottom"/>
          </w:tcPr>
          <w:p>
            <w:pPr>
              <w:spacing w:after="0"/>
              <w:rPr>
                <w:sz w:val="22"/>
                <w:szCs w:val="22"/>
                <w:color w:val="auto"/>
              </w:rPr>
            </w:pPr>
          </w:p>
        </w:tc>
        <w:tc>
          <w:tcPr>
            <w:tcW w:w="164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on Derivative</w:t>
            </w: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54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on Hedged Item</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hedges of brokered CDs</w:t>
            </w: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(274)</w:t>
            </w: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2,551</w:t>
            </w: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Fair value hedges of corporate bonds</w:t>
            </w:r>
          </w:p>
        </w:tc>
        <w:tc>
          <w:tcPr>
            <w:tcW w:w="154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Interest revenue</w:t>
            </w:r>
          </w:p>
        </w:tc>
        <w:tc>
          <w:tcPr>
            <w:tcW w:w="28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c>
          <w:tcPr>
            <w:tcW w:w="42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(1,614)</w:t>
            </w:r>
          </w:p>
        </w:tc>
        <w:tc>
          <w:tcPr>
            <w:tcW w:w="8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Borders>
              <w:top w:val="single" w:sz="8" w:color="F0FFFF"/>
            </w:tcBorders>
          </w:tcPr>
          <w:p>
            <w:pPr>
              <w:spacing w:after="0"/>
              <w:rPr>
                <w:sz w:val="18"/>
                <w:szCs w:val="18"/>
                <w:color w:val="auto"/>
              </w:rPr>
            </w:pPr>
          </w:p>
        </w:tc>
        <w:tc>
          <w:tcPr>
            <w:tcW w:w="14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Borders>
              <w:top w:val="single" w:sz="8" w:color="F0FF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top w:val="single" w:sz="8" w:color="F0FF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certain cases, the estate of deceased brokered certificate of deposit holders may put the certificate of deposit back to United at par upon the death of the holder. When these estate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estate puts and such gains and losses are included in the amount of reported ineffectiveness gains or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 under ASC 815</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presents the gains and losses recognized in income on derivatives not designated as hedging instruments under ASC 815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 of Gain (Loss)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(Loss) Recognized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Recognized in Income</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Income on</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on Derivative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60" w:type="dxa"/>
            <w:vAlign w:val="bottom"/>
            <w:shd w:val="clear" w:color="auto" w:fill="F0FFFF"/>
          </w:tcPr>
          <w:p>
            <w:pPr>
              <w:spacing w:after="0"/>
              <w:rPr>
                <w:sz w:val="18"/>
                <w:szCs w:val="18"/>
                <w:color w:val="auto"/>
              </w:rPr>
            </w:pPr>
          </w:p>
        </w:tc>
        <w:tc>
          <w:tcPr>
            <w:tcW w:w="16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Customer derivatives and dealer offsets</w:t>
            </w:r>
          </w:p>
        </w:tc>
        <w:tc>
          <w:tcPr>
            <w:tcW w:w="24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Other fee revenue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40" w:type="dxa"/>
            <w:vAlign w:val="bottom"/>
          </w:tcPr>
          <w:p>
            <w:pPr>
              <w:spacing w:after="0"/>
              <w:rPr>
                <w:sz w:val="18"/>
                <w:szCs w:val="18"/>
                <w:color w:val="auto"/>
              </w:rPr>
            </w:pP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Bifurcated embedded derivatives and dealer offsets</w:t>
            </w:r>
          </w:p>
        </w:tc>
        <w:tc>
          <w:tcPr>
            <w:tcW w:w="2440" w:type="dxa"/>
            <w:vAlign w:val="bottom"/>
            <w:gridSpan w:val="2"/>
            <w:shd w:val="clear" w:color="auto" w:fill="F0FFFF"/>
          </w:tcPr>
          <w:p>
            <w:pPr>
              <w:ind w:left="740"/>
              <w:spacing w:after="0"/>
              <w:rPr>
                <w:sz w:val="20"/>
                <w:szCs w:val="20"/>
                <w:color w:val="auto"/>
              </w:rPr>
            </w:pPr>
            <w:r>
              <w:rPr>
                <w:rFonts w:ascii="Times New Roman" w:cs="Times New Roman" w:eastAsia="Times New Roman" w:hAnsi="Times New Roman"/>
                <w:sz w:val="18"/>
                <w:szCs w:val="18"/>
                <w:color w:val="auto"/>
              </w:rPr>
              <w:t>Other fee revenue</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Mortgage banking derivatives</w:t>
            </w:r>
          </w:p>
        </w:tc>
        <w:tc>
          <w:tcPr>
            <w:tcW w:w="24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Mortgage loan revenue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Risk participations</w:t>
            </w:r>
          </w:p>
        </w:tc>
        <w:tc>
          <w:tcPr>
            <w:tcW w:w="2440" w:type="dxa"/>
            <w:vAlign w:val="bottom"/>
            <w:tcBorders>
              <w:bottom w:val="single" w:sz="8" w:color="F0FFFF"/>
            </w:tcBorders>
            <w:gridSpan w:val="2"/>
            <w:shd w:val="clear" w:color="auto" w:fill="F0FFFF"/>
          </w:tcPr>
          <w:p>
            <w:pPr>
              <w:ind w:left="740"/>
              <w:spacing w:after="0"/>
              <w:rPr>
                <w:sz w:val="20"/>
                <w:szCs w:val="20"/>
                <w:color w:val="auto"/>
              </w:rPr>
            </w:pPr>
            <w:r>
              <w:rPr>
                <w:rFonts w:ascii="Times New Roman" w:cs="Times New Roman" w:eastAsia="Times New Roman" w:hAnsi="Times New Roman"/>
                <w:sz w:val="18"/>
                <w:szCs w:val="18"/>
                <w:color w:val="auto"/>
              </w:rPr>
              <w:t>Other fee revenue</w:t>
            </w:r>
          </w:p>
        </w:tc>
        <w:tc>
          <w:tcPr>
            <w:tcW w:w="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spacing w:after="0"/>
              <w:rPr>
                <w:sz w:val="21"/>
                <w:szCs w:val="21"/>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F0FFFF"/>
            </w:tcBorders>
            <w:shd w:val="clear" w:color="auto" w:fill="F0FFFF"/>
          </w:tcPr>
          <w:p>
            <w:pPr>
              <w:spacing w:after="0"/>
              <w:rPr>
                <w:sz w:val="21"/>
                <w:szCs w:val="21"/>
                <w:color w:val="auto"/>
              </w:rPr>
            </w:pPr>
          </w:p>
        </w:tc>
        <w:tc>
          <w:tcPr>
            <w:tcW w:w="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spacing w:after="0"/>
              <w:rPr>
                <w:sz w:val="21"/>
                <w:szCs w:val="21"/>
                <w:color w:val="auto"/>
              </w:rPr>
            </w:pPr>
          </w:p>
        </w:tc>
        <w:tc>
          <w:tcPr>
            <w:tcW w:w="78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Credit-Risk-Related Contingent Features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As of March 31, 2017, collateral totaling $18.9 million was pledged toward derivatives in a liability position.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has an equity compensation plan that allows for grants of incentive stock options, nonqualified stock options, restricted stock and restricted stock unit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options, restricted stock and restricted stock unit awards provide for accelerated vesting if there is a change in control (as defined in the plan). Through March 31, 2017, incentive stock options, nonqualified stock options, restricted stock and restricted stock unit awards, base salary stock grants and performance share awards have been granted under the plan. As of March 31, 2017, 2.18 million additional awards remained available for grant under the plan.</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w w:val="99"/>
              </w:rPr>
              <w:t>The following table shows stock option activity for the first three months of 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Intrinisic</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45"/>
        </w:trPr>
        <w:tc>
          <w:tcPr>
            <w:tcW w:w="300" w:type="dxa"/>
            <w:vAlign w:val="bottom"/>
          </w:tcPr>
          <w:p>
            <w:pPr>
              <w:spacing w:after="0"/>
              <w:rPr>
                <w:sz w:val="21"/>
                <w:szCs w:val="21"/>
                <w:color w:val="auto"/>
              </w:rPr>
            </w:pPr>
          </w:p>
        </w:tc>
        <w:tc>
          <w:tcPr>
            <w:tcW w:w="512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4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51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1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72,665</w:t>
            </w:r>
          </w:p>
        </w:tc>
        <w:tc>
          <w:tcPr>
            <w:tcW w:w="120" w:type="dxa"/>
            <w:vAlign w:val="bottom"/>
            <w:shd w:val="clear" w:color="auto" w:fill="F0FFFF"/>
          </w:tcPr>
          <w:p>
            <w:pPr>
              <w:spacing w:after="0"/>
              <w:rPr>
                <w:sz w:val="18"/>
                <w:szCs w:val="18"/>
                <w:color w:val="auto"/>
              </w:rPr>
            </w:pPr>
          </w:p>
        </w:tc>
        <w:tc>
          <w:tcPr>
            <w:tcW w:w="22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22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Expired</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00" w:type="dxa"/>
            <w:vAlign w:val="bottom"/>
          </w:tcPr>
          <w:p>
            <w:pPr>
              <w:spacing w:after="0"/>
              <w:rPr>
                <w:sz w:val="21"/>
                <w:szCs w:val="21"/>
                <w:color w:val="auto"/>
              </w:rPr>
            </w:pPr>
          </w:p>
        </w:tc>
        <w:tc>
          <w:tcPr>
            <w:tcW w:w="5120" w:type="dxa"/>
            <w:vAlign w:val="bottom"/>
            <w:tcBorders>
              <w:top w:val="single" w:sz="8" w:color="F0FFFF"/>
              <w:bottom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Outstanding at March 31, 2017</w:t>
            </w: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64,942</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8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18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Borders>
              <w:top w:val="single" w:sz="8" w:color="F0FFFF"/>
              <w:bottom w:val="single" w:sz="8" w:color="F0FFFF"/>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9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1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1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0" w:type="dxa"/>
            <w:vAlign w:val="bottom"/>
            <w:vMerge w:val="restart"/>
          </w:tcPr>
          <w:p>
            <w:pPr>
              <w:spacing w:after="0"/>
              <w:rPr>
                <w:sz w:val="16"/>
                <w:szCs w:val="16"/>
                <w:color w:val="auto"/>
              </w:rPr>
            </w:pPr>
          </w:p>
        </w:tc>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00" w:type="dxa"/>
            <w:vAlign w:val="bottom"/>
            <w:vMerge w:val="continue"/>
          </w:tcPr>
          <w:p>
            <w:pPr>
              <w:spacing w:after="0"/>
              <w:rPr>
                <w:sz w:val="22"/>
                <w:szCs w:val="22"/>
                <w:color w:val="auto"/>
              </w:rPr>
            </w:pPr>
          </w:p>
        </w:tc>
        <w:tc>
          <w:tcPr>
            <w:tcW w:w="5120" w:type="dxa"/>
            <w:vAlign w:val="bottom"/>
            <w:tcBorders>
              <w:bottom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Exercisable at March 31, 2017</w:t>
            </w:r>
          </w:p>
        </w:tc>
        <w:tc>
          <w:tcPr>
            <w:tcW w:w="118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58,692</w:t>
            </w: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2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220" w:type="dxa"/>
            <w:vAlign w:val="bottom"/>
            <w:tcBorders>
              <w:bottom w:val="single" w:sz="8" w:color="F0FFFF"/>
            </w:tcBorders>
            <w:shd w:val="clear" w:color="auto" w:fill="F0FFFF"/>
          </w:tcPr>
          <w:p>
            <w:pPr>
              <w:spacing w:after="0"/>
              <w:rPr>
                <w:sz w:val="22"/>
                <w:szCs w:val="22"/>
                <w:color w:val="auto"/>
              </w:rPr>
            </w:pPr>
          </w:p>
        </w:tc>
        <w:tc>
          <w:tcPr>
            <w:tcW w:w="11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06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9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1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1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model. No stock options were granted during the three months ended March 31, 2017 and 2016.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United’s stock option exercise patterns were significantly impacted by the past economic downturn, which rendered most of United’s outstanding options worthless to the grantee. Therefore, historical exercise patterns do not provide a reasonable basis for determining the expected life of new option grants. United therefore uses the formula provided in ASC 718-10-S99 to determine the expected life of options.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recognized $7,000 in compensation expense related to stock options during each of the three months ended March 31, 2017 and 2016. The amount of compensation expense was determined based on the fair value of the options at the time of grant, multiplied by the number of options granted that were expected to vest, which was then amortized over the vesting period. No options were exercised during the first three months of 2017 or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table below presents restricted stock units activity for the first three months of 2017.</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7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245"/>
        </w:trPr>
        <w:tc>
          <w:tcPr>
            <w:tcW w:w="1720" w:type="dxa"/>
            <w:vAlign w:val="bottom"/>
          </w:tcPr>
          <w:p>
            <w:pPr>
              <w:spacing w:after="0"/>
              <w:rPr>
                <w:sz w:val="21"/>
                <w:szCs w:val="21"/>
                <w:color w:val="auto"/>
              </w:rPr>
            </w:pPr>
          </w:p>
        </w:tc>
        <w:tc>
          <w:tcPr>
            <w:tcW w:w="504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Restricted Stock Unit Awards</w:t>
            </w: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1"/>
                <w:szCs w:val="21"/>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4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04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4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690,970</w:t>
            </w:r>
          </w:p>
        </w:tc>
        <w:tc>
          <w:tcPr>
            <w:tcW w:w="240" w:type="dxa"/>
            <w:vAlign w:val="bottom"/>
            <w:gridSpan w:val="2"/>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4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(117,609)</w:t>
            </w: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Cancelled</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19.44</w:t>
            </w:r>
          </w:p>
        </w:tc>
        <w:tc>
          <w:tcPr>
            <w:tcW w:w="0" w:type="dxa"/>
            <w:vAlign w:val="bottom"/>
          </w:tcPr>
          <w:p>
            <w:pPr>
              <w:spacing w:after="0"/>
              <w:rPr>
                <w:sz w:val="1"/>
                <w:szCs w:val="1"/>
                <w:color w:val="auto"/>
              </w:rPr>
            </w:pPr>
          </w:p>
        </w:tc>
      </w:tr>
      <w:tr>
        <w:trPr>
          <w:trHeight w:val="255"/>
        </w:trPr>
        <w:tc>
          <w:tcPr>
            <w:tcW w:w="1720" w:type="dxa"/>
            <w:vAlign w:val="bottom"/>
          </w:tcPr>
          <w:p>
            <w:pPr>
              <w:spacing w:after="0"/>
              <w:rPr>
                <w:sz w:val="21"/>
                <w:szCs w:val="21"/>
                <w:color w:val="auto"/>
              </w:rPr>
            </w:pPr>
          </w:p>
        </w:tc>
        <w:tc>
          <w:tcPr>
            <w:tcW w:w="5040" w:type="dxa"/>
            <w:vAlign w:val="bottom"/>
            <w:tcBorders>
              <w:top w:val="single" w:sz="8" w:color="F0FFFF"/>
              <w:bottom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Outstanding at March 31, 2017</w:t>
            </w:r>
          </w:p>
        </w:tc>
        <w:tc>
          <w:tcPr>
            <w:tcW w:w="13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575,835</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1240" w:type="dxa"/>
            <w:vAlign w:val="bottom"/>
            <w:tcBorders>
              <w:top w:val="single" w:sz="8" w:color="F0FFFF"/>
              <w:bottom w:val="single" w:sz="8" w:color="F0FFFF"/>
            </w:tcBorders>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9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3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1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Compensation expense for restricted stock units is based on the fair value of restricted stock unit awards at the time of grant, which is equal to the value of United’s common stock on the date of grant. United recognizes the impact of forfeitures as they occur. The value of restricted stock unit awards is amortized into expense over the vesting period. For the three months ended March 31, 2017 and 2016, compensation expense of $1.26 million and $898,000, respectively, was recognized related to restricted stock unit awards. In addition, for the three months ended March 31, 2017 and 2016, $52,000 and $12,000, respectively, was recognized in other operating expense for restricted stock unit awards granted to members of United’s board of directors. The total intrinsic value of outstanding restricted stock unit awards was $15.9 million at March 31, 2017.</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2017, there was $8.59 million of unrecognized expense related to non-vested stock options and restricted stock unit awards granted under the plan. That cost is expected to be recognized over a weighted-average period of 2.65 years. The aggregate grant date fair value of options and restricted stock unit awards that vested during the three months ended March 31, 2017 was $3.39 million.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Common and Preferred Stock Issued / Common Stock Issuable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sponsors a Dividend Reinvestment and Share Purchase Plan (“DRIP”) that allows participants who already own United’s common stock to purchase additional shares directly from United. The DRIP also allows participants to automatically reinvest their quarterly dividends in additional shares of common stock without a commission. In the three months ended March 31, 2017 and 2016, 904 shares and 736 shares, respectively, were issued through the DRIP.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United has an Employee Stock Purchase Program (“ESPP”) that allows eligible employees to purchase shares of common stock at a 10% discount, with no commission charges. During the first three months of 2017 and 2016, United issued 3,335 shares and 4,418 shares, respectively, through the ESPP.</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 offers its common stock as an investment option in its deferred compensation plan. United also allows for the deferral of restricted stock unit awards. The common stock component of the deferred compensation plan is accounted for as an equity instrument and is reflected in the consolidated financial statements as common stock issuable. The deferred compensation plan does not allow for diversification once an election is made to invest in United’s common stock and settlement must be accomplished in shares at the time the deferral period is completed. At March 31, 2017 and December 31, 2016, 546,511 and 519,874 shares of common stock, respectively, were issuable under the deferred compensation plan.</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22, 2016, United announced that its Board of Directors had authorized a program to repurchase up to $50 million of United’s outstanding common stock through December 31, 2017. Under the program, the shares may be repurchased periodically in open market transactions at prevailing market prices, in privately negotiated transactions, or by other means in accordance with federal securities laws. The actual timing, number and value of shares repurchased under the program depends on a number of factors, including the market price of United’s common stock, general market and economic conditions, and applicable legal requirements. During the first three months of 2017, United did not repurchase any shares under the program. As of March 31, 2017, $36.3 million of United’s outstanding common stock may be repurchased under the program.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income tax provision for the three months ended March 31, 2017 and 2016 was $18.5 million and $13.6 million, respectively, which represents an effective tax rate of 44.0% and 37.9%, respectively, for each period. Upon reversal of United’s former full deferred tax valuation allowance in 2013, certain disproportionate tax effects were retained in accumulated other comprehensive income (loss). During the first quarter of 2017, with the maturity and termination of certain dedesignated cash flow hedges, the disproportionate tax effect associated with these hedges was reversed and recorded as a tax expense of $3.40 million, which was the primary reason for the increase in the effective tax rate compared to the first quarter of 2016.</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2017 and December 31, 2016, United maintained a valuation allowance on its net deferred tax asset of $3.99 million and $3.88 million, respectively.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evaluated the need for a valuation allowance at March 31, 2017. Based on the assessment of all the positive and negative evidence, management concluded that it is more likely than not that nearly all of its net deferred tax asset will be realized based upon future taxable income. The remaining valuation allowance of $3.99 million is related to specific state income tax credits that have short carryforward periods and are expected to expire unused.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valuation allowance could fluctuate in future periods based on the assessment of the positive and negative evidence. Management's conclusion at March 31, 2017 that it was more likely than not that the net deferred tax asset of $139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of its net deferred tax asset. Such an increase to the net deferred tax asset valuation allowance could have a material adverse effect on United’s financial condition and 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2013. Although it is not possible to know the ultimate outcome of future examinations, management believes that the liability recorded for uncertain tax positions is appropriate. At March 31, 2017 and December 31, 2016, unrecognized income tax benefits totaled $4.00 million and $3.89 million, respectively.</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Assets and Liabilities Measured at Fair Value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Hierarchy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 is based upon quoted prices (unadjusted) in active markets for identical assets or liabilities that United has the ability to access.</w:t>
      </w:r>
    </w:p>
    <w:p>
      <w:pPr>
        <w:spacing w:after="0" w:line="225"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Valuation is based upon quoted prices for similar assets and liabilities in active markets, as well as inputs that are observable for the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(other than quoted prices), such as interest rates, foreign exchange rates, and yield curves that are observable at commonly quoted intervals.</w:t>
      </w:r>
    </w:p>
    <w:p>
      <w:pPr>
        <w:spacing w:after="0" w:line="158"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Valuation is generated from model-based techniques that use at least one significant assumption based on unobservable inputs for the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liability, which are typically based on an entity’s own assumptions, as there is little, if any, related market activity.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valuation methodologies used for assets and liabilities recorded at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 Available-for-Sale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United States Department of Treasury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asset-backed securities in less liquid markets. Securities classified as Level 3 are valued based on estimates obtained from broker-dealers and are not directly observable.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Compensation Plan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Loans Held for Sale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in the third quarter of 2016, United elected the fair value option for newly originated mortgage loans held for sale. United elected the fair value option for its portfolio of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(Level 2).</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Those impaired loans not requiring an allowance represent loans for which the fair value of the expected repayments or collateral exceed the recorded investments in such loans. In accordance with ASC 820, </w:t>
      </w:r>
      <w:r>
        <w:rPr>
          <w:rFonts w:ascii="Times New Roman" w:cs="Times New Roman" w:eastAsia="Times New Roman" w:hAnsi="Times New Roman"/>
          <w:sz w:val="18"/>
          <w:szCs w:val="18"/>
          <w:i w:val="1"/>
          <w:iCs w:val="1"/>
          <w:color w:val="auto"/>
        </w:rPr>
        <w:t>Fair Value Measures and Disclosures</w:t>
      </w:r>
      <w:r>
        <w:rPr>
          <w:rFonts w:ascii="Times New Roman" w:cs="Times New Roman" w:eastAsia="Times New Roman" w:hAnsi="Times New Roman"/>
          <w:sz w:val="18"/>
          <w:szCs w:val="18"/>
          <w:color w:val="auto"/>
        </w:rPr>
        <w:t>,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Financial Instruments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uses interest rate swaps and interest rate floors to manage its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comply with the provisions of ASC 820,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management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March 31, 2017, management had assessed the significance of the effect of the credit valuation adjustments on the overall valuation of its derivative positions and has determined that the credit valuation adjustments are not significant to the overall valuation of its derivatives. Derivatives classified as Level 3 included structured derivatives for which broker quotes, used as a key valuation input, were not observable consistent with a Level 2 disclosure. The fair value of risk participations incorporates Level 3 inputs to evaluate the likelihood of customer default. The fair value of interest rate lock commitments, which is related to mortgage loan commitments, is categorized as Level 3 based on unobservable inputs for commitments that United does not expect to fund.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Servicing Rights for SBA/USDA Loans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recognizes servicing rights upon the sale of SBA/USDA loans sold with servicing retained. Management has elected to carry this asset at fair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the nature of the asset, the key valuation inputs are unobservable and management classifies this asset as Level 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Residential Mortgage Servicing Rights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recognizes servicing rights upon the sale of residential mortgage loans sold with servicing retained. Effective January 1, 2017, management has elected to carry this asset at fair value. Given the nature of the asset, the key valuation inputs are unobservable and management classifies this asset as Level</w:t>
      </w:r>
    </w:p>
    <w:p>
      <w:pPr>
        <w:ind w:right="3320" w:firstLine="8"/>
        <w:spacing w:after="0" w:line="490" w:lineRule="auto"/>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cumulative effect adjustment of this election to retained earnings, net of income tax effect, was $437,000. </w:t>
      </w:r>
      <w:r>
        <w:rPr>
          <w:rFonts w:ascii="Times New Roman" w:cs="Times New Roman" w:eastAsia="Times New Roman" w:hAnsi="Times New Roman"/>
          <w:sz w:val="18"/>
          <w:szCs w:val="18"/>
          <w:u w:val="single" w:color="auto"/>
          <w:color w:val="auto"/>
        </w:rPr>
        <w:t>Pension Plan Assets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information on the fair value of pension plan assets, see Note 18 in the Annual Report on Form 10-K for the year ended December 31, 2016.</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presents United’s assets and liabilities measured at fair value on a recurring basis as of the dates indicated, aggregated by the level in the fair value hierarchy within which those measurements fall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220" w:type="dxa"/>
            <w:vAlign w:val="bottom"/>
          </w:tcPr>
          <w:p>
            <w:pPr>
              <w:spacing w:after="0"/>
              <w:rPr>
                <w:sz w:val="21"/>
                <w:szCs w:val="21"/>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Pr>
          <w:p>
            <w:pPr>
              <w:spacing w:after="0"/>
              <w:rPr>
                <w:sz w:val="21"/>
                <w:szCs w:val="21"/>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shd w:val="clear" w:color="auto" w:fill="F0FF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169,927</w:t>
            </w:r>
          </w:p>
        </w:tc>
        <w:tc>
          <w:tcPr>
            <w:tcW w:w="4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169,927</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U.S. Agencies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83,724</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83,724</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1,380,360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305,856</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675</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306,531</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469,038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Servicing rights for government guaranteed loans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5,997</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Residential mortgage servicing rights</w:t>
            </w: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5,971</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12,649</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174,827</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2,291,316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25,292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2,491,435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Deferred compensation plan liability</w:t>
            </w:r>
          </w:p>
        </w:tc>
        <w:tc>
          <w:tcPr>
            <w:tcW w:w="220" w:type="dxa"/>
            <w:vAlign w:val="bottom"/>
            <w:shd w:val="clear" w:color="auto" w:fill="F0FF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4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16,580</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16,580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280" w:type="dxa"/>
            <w:vAlign w:val="bottom"/>
          </w:tcPr>
          <w:p>
            <w:pPr>
              <w:spacing w:after="0"/>
              <w:rPr>
                <w:sz w:val="21"/>
                <w:szCs w:val="21"/>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U.S. Treasuries</w:t>
            </w:r>
          </w:p>
        </w:tc>
        <w:tc>
          <w:tcPr>
            <w:tcW w:w="2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169,616</w:t>
            </w:r>
          </w:p>
        </w:tc>
        <w:tc>
          <w:tcPr>
            <w:tcW w:w="4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169,616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U.S. Agencies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74,177</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74,177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1,391,682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1,391,682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304,717</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305,392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469,569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Servicing rights for government guaranteed loans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80" w:type="dxa"/>
            <w:vAlign w:val="bottom"/>
            <w:shd w:val="clear" w:color="auto" w:fill="F0FFFF"/>
          </w:tcPr>
          <w:p>
            <w:pPr>
              <w:spacing w:after="0"/>
              <w:rPr>
                <w:sz w:val="20"/>
                <w:szCs w:val="20"/>
                <w:color w:val="auto"/>
              </w:rPr>
            </w:pP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1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11,911</w:t>
            </w: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11,777</w:t>
            </w:r>
          </w:p>
        </w:tc>
        <w:tc>
          <w:tcPr>
            <w:tcW w:w="10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23,688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gridSpan w:val="2"/>
            <w:shd w:val="clear" w:color="auto" w:fill="F0FF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173,777</w:t>
            </w:r>
          </w:p>
        </w:tc>
        <w:tc>
          <w:tcPr>
            <w:tcW w:w="4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2,301,949</w:t>
            </w:r>
          </w:p>
        </w:tc>
        <w:tc>
          <w:tcPr>
            <w:tcW w:w="3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18,204</w:t>
            </w:r>
          </w:p>
        </w:tc>
        <w:tc>
          <w:tcPr>
            <w:tcW w:w="3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2,493,930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Deferred compensation plan liability</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80" w:type="dxa"/>
            <w:vAlign w:val="bottom"/>
            <w:shd w:val="clear" w:color="auto" w:fill="F0FFFF"/>
          </w:tcPr>
          <w:p>
            <w:pPr>
              <w:spacing w:after="0"/>
              <w:rPr>
                <w:sz w:val="20"/>
                <w:szCs w:val="20"/>
                <w:color w:val="auto"/>
              </w:rPr>
            </w:pP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1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11,301</w:t>
            </w: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16,347</w:t>
            </w:r>
          </w:p>
        </w:tc>
        <w:tc>
          <w:tcPr>
            <w:tcW w:w="10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27,648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gridSpan w:val="2"/>
            <w:shd w:val="clear" w:color="auto" w:fill="F0FF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4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11,301</w:t>
            </w:r>
          </w:p>
        </w:tc>
        <w:tc>
          <w:tcPr>
            <w:tcW w:w="3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16,347</w:t>
            </w:r>
          </w:p>
        </w:tc>
        <w:tc>
          <w:tcPr>
            <w:tcW w:w="3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31,809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20" w:type="dxa"/>
            <w:vAlign w:val="bottom"/>
          </w:tcPr>
          <w:p>
            <w:pPr>
              <w:spacing w:after="0"/>
              <w:rPr>
                <w:sz w:val="24"/>
                <w:szCs w:val="24"/>
                <w:color w:val="auto"/>
              </w:rPr>
            </w:pPr>
          </w:p>
        </w:tc>
        <w:tc>
          <w:tcPr>
            <w:tcW w:w="54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98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9"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shows a reconciliation of the beginning and ending balances for the periods indicated for assets measured at fair value on a recurring basis using significant unobservable inputs that are classified as Level 3 values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Servicing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rights for</w:t>
            </w:r>
          </w:p>
        </w:tc>
        <w:tc>
          <w:tcPr>
            <w:tcW w:w="11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government</w:t>
            </w:r>
          </w:p>
        </w:tc>
        <w:tc>
          <w:tcPr>
            <w:tcW w:w="8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mortgage</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guaranteed</w:t>
            </w:r>
          </w:p>
        </w:tc>
        <w:tc>
          <w:tcPr>
            <w:tcW w:w="8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servicing</w:t>
            </w:r>
          </w:p>
        </w:tc>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Available-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100" w:type="dxa"/>
            <w:vAlign w:val="bottom"/>
          </w:tcPr>
          <w:p>
            <w:pPr>
              <w:spacing w:after="0"/>
              <w:rPr>
                <w:sz w:val="21"/>
                <w:szCs w:val="21"/>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loans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8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for-Sale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top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2017</w:t>
            </w:r>
          </w:p>
        </w:tc>
        <w:tc>
          <w:tcPr>
            <w:tcW w:w="160" w:type="dxa"/>
            <w:vAlign w:val="bottom"/>
            <w:tcBorders>
              <w:top w:val="single" w:sz="8" w:color="auto"/>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60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70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520" w:type="dxa"/>
            <w:vAlign w:val="bottom"/>
            <w:tcBorders>
              <w:top w:val="single" w:sz="8" w:color="auto"/>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11,777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16,347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5,752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Transfer from amortization method to fair value</w:t>
            </w:r>
          </w:p>
        </w:tc>
        <w:tc>
          <w:tcPr>
            <w:tcW w:w="16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5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w:t>
            </w:r>
          </w:p>
        </w:tc>
        <w:tc>
          <w:tcPr>
            <w:tcW w:w="2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Sales and settlements</w:t>
            </w:r>
          </w:p>
        </w:tc>
        <w:tc>
          <w:tcPr>
            <w:tcW w:w="16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(384)</w:t>
            </w:r>
          </w:p>
        </w:tc>
        <w:tc>
          <w:tcPr>
            <w:tcW w:w="2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F0FFFF"/>
          </w:tcPr>
          <w:p>
            <w:pPr>
              <w:spacing w:after="0"/>
              <w:rPr>
                <w:sz w:val="18"/>
                <w:szCs w:val="18"/>
                <w:color w:val="auto"/>
              </w:rPr>
            </w:pPr>
          </w:p>
        </w:tc>
        <w:tc>
          <w:tcPr>
            <w:tcW w:w="5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Amounts included in earnings - fair value adjustments</w:t>
            </w:r>
          </w:p>
        </w:tc>
        <w:tc>
          <w:tcPr>
            <w:tcW w:w="1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1,256</w:t>
            </w:r>
          </w:p>
        </w:tc>
        <w:tc>
          <w:tcPr>
            <w:tcW w:w="2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260" w:type="dxa"/>
            <w:vAlign w:val="bottom"/>
            <w:tcBorders>
              <w:top w:val="single" w:sz="8" w:color="F0FFFF"/>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12,649</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52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5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2016</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9,418</w:t>
            </w:r>
          </w:p>
        </w:tc>
        <w:tc>
          <w:tcPr>
            <w:tcW w:w="2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15,794</w:t>
            </w:r>
          </w:p>
        </w:tc>
        <w:tc>
          <w:tcPr>
            <w:tcW w:w="1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3,712</w:t>
            </w:r>
          </w:p>
        </w:tc>
        <w:tc>
          <w:tcPr>
            <w:tcW w:w="220" w:type="dxa"/>
            <w:vAlign w:val="bottom"/>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Sales and settlements</w:t>
            </w:r>
          </w:p>
        </w:tc>
        <w:tc>
          <w:tcPr>
            <w:tcW w:w="16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5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Amounts included in earnings - fair value adjustments</w:t>
            </w:r>
          </w:p>
        </w:tc>
        <w:tc>
          <w:tcPr>
            <w:tcW w:w="160" w:type="dxa"/>
            <w:vAlign w:val="bottom"/>
            <w:shd w:val="clear" w:color="auto" w:fill="F0FFFF"/>
          </w:tcPr>
          <w:p>
            <w:pPr>
              <w:spacing w:after="0"/>
              <w:rPr>
                <w:sz w:val="19"/>
                <w:szCs w:val="19"/>
                <w:color w:val="auto"/>
              </w:rPr>
            </w:pPr>
          </w:p>
        </w:tc>
        <w:tc>
          <w:tcPr>
            <w:tcW w:w="88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(5,503)</w:t>
            </w:r>
          </w:p>
        </w:tc>
        <w:tc>
          <w:tcPr>
            <w:tcW w:w="200" w:type="dxa"/>
            <w:vAlign w:val="bottom"/>
            <w:shd w:val="clear" w:color="auto" w:fill="F0FFFF"/>
          </w:tcPr>
          <w:p>
            <w:pPr>
              <w:spacing w:after="0"/>
              <w:rPr>
                <w:sz w:val="19"/>
                <w:szCs w:val="19"/>
                <w:color w:val="auto"/>
              </w:rPr>
            </w:pPr>
          </w:p>
        </w:tc>
        <w:tc>
          <w:tcPr>
            <w:tcW w:w="82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(5,643)</w:t>
            </w:r>
          </w:p>
        </w:tc>
        <w:tc>
          <w:tcPr>
            <w:tcW w:w="100" w:type="dxa"/>
            <w:vAlign w:val="bottom"/>
            <w:shd w:val="clear" w:color="auto" w:fill="F0FFFF"/>
          </w:tcPr>
          <w:p>
            <w:pPr>
              <w:spacing w:after="0"/>
              <w:rPr>
                <w:sz w:val="19"/>
                <w:szCs w:val="19"/>
                <w:color w:val="auto"/>
              </w:rPr>
            </w:pPr>
          </w:p>
        </w:tc>
        <w:tc>
          <w:tcPr>
            <w:tcW w:w="9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7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5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 presents quantitative information about Level 3 fair value measurements for fair value on a recurring basis as of the dates indicated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6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32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Level 3 Assets</w:t>
            </w:r>
          </w:p>
        </w:tc>
        <w:tc>
          <w:tcPr>
            <w:tcW w:w="80" w:type="dxa"/>
            <w:vAlign w:val="bottom"/>
          </w:tcPr>
          <w:p>
            <w:pPr>
              <w:spacing w:after="0"/>
              <w:rPr>
                <w:sz w:val="18"/>
                <w:szCs w:val="18"/>
                <w:color w:val="auto"/>
              </w:rPr>
            </w:pPr>
          </w:p>
        </w:tc>
        <w:tc>
          <w:tcPr>
            <w:tcW w:w="8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18"/>
                <w:szCs w:val="18"/>
                <w:color w:val="auto"/>
              </w:rPr>
            </w:pPr>
          </w:p>
        </w:tc>
        <w:tc>
          <w:tcPr>
            <w:tcW w:w="196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and Liabilities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1"/>
                <w:szCs w:val="21"/>
                <w:color w:val="auto"/>
              </w:rPr>
            </w:pPr>
          </w:p>
        </w:tc>
        <w:tc>
          <w:tcPr>
            <w:tcW w:w="1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Technique</w:t>
            </w:r>
          </w:p>
        </w:tc>
        <w:tc>
          <w:tcPr>
            <w:tcW w:w="120" w:type="dxa"/>
            <w:vAlign w:val="bottom"/>
          </w:tcPr>
          <w:p>
            <w:pPr>
              <w:spacing w:after="0"/>
              <w:rPr>
                <w:sz w:val="21"/>
                <w:szCs w:val="21"/>
                <w:color w:val="auto"/>
              </w:rPr>
            </w:pPr>
          </w:p>
        </w:tc>
        <w:tc>
          <w:tcPr>
            <w:tcW w:w="23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1"/>
                <w:szCs w:val="21"/>
                <w:color w:val="auto"/>
              </w:rPr>
            </w:pPr>
          </w:p>
        </w:tc>
        <w:tc>
          <w:tcPr>
            <w:tcW w:w="11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Borders>
              <w:top w:val="single" w:sz="8" w:color="auto"/>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6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96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30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Servicing rights for government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guaranteed loans</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5,997</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5,752</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Discount rate</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960" w:type="dxa"/>
            <w:vAlign w:val="bottom"/>
            <w:shd w:val="clear" w:color="auto" w:fill="F0FFFF"/>
          </w:tcPr>
          <w:p>
            <w:pPr>
              <w:spacing w:after="0"/>
              <w:rPr>
                <w:sz w:val="18"/>
                <w:szCs w:val="18"/>
                <w:color w:val="auto"/>
              </w:rPr>
            </w:pPr>
          </w:p>
        </w:tc>
        <w:tc>
          <w:tcPr>
            <w:tcW w:w="24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Prepayment rate</w:t>
            </w:r>
          </w:p>
        </w:tc>
        <w:tc>
          <w:tcPr>
            <w:tcW w:w="1100" w:type="dxa"/>
            <w:vAlign w:val="bottom"/>
            <w:gridSpan w:val="3"/>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7.43%</w:t>
            </w:r>
          </w:p>
        </w:tc>
        <w:tc>
          <w:tcPr>
            <w:tcW w:w="1280" w:type="dxa"/>
            <w:vAlign w:val="bottom"/>
            <w:gridSpan w:val="3"/>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320" w:type="dxa"/>
            <w:vAlign w:val="bottom"/>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Residential mortgage servicing</w:t>
            </w: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6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9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3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rights</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7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5,971</w:t>
            </w:r>
          </w:p>
        </w:tc>
        <w:tc>
          <w:tcPr>
            <w:tcW w:w="10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20"/>
                <w:szCs w:val="20"/>
                <w:color w:val="auto"/>
              </w:rPr>
            </w:pPr>
          </w:p>
        </w:tc>
        <w:tc>
          <w:tcPr>
            <w:tcW w:w="19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24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Discount rate</w:t>
            </w:r>
          </w:p>
        </w:tc>
        <w:tc>
          <w:tcPr>
            <w:tcW w:w="1100" w:type="dxa"/>
            <w:vAlign w:val="bottom"/>
            <w:gridSpan w:val="3"/>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Prepayment rate</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9.40%</w:t>
            </w:r>
          </w:p>
        </w:tc>
        <w:tc>
          <w:tcPr>
            <w:tcW w:w="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3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2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Multiple factors, including but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not limited to, current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operations, financial condition,</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flows, and recently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Indicative bid provided by</w:t>
            </w: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executed financing transactions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675</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a broker</w:t>
            </w: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related to the company</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3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assets - mortgage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1,552</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Internal model</w:t>
            </w: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Pull through rate</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3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assets - 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10,225</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Dealer priced</w:t>
            </w: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Dealer priced</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3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Derivative liabilities - risk</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participations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Internal model</w:t>
            </w: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Probable exposure rate</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0.35%</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960" w:type="dxa"/>
            <w:vAlign w:val="bottom"/>
            <w:shd w:val="clear" w:color="auto" w:fill="F0FFFF"/>
          </w:tcPr>
          <w:p>
            <w:pPr>
              <w:spacing w:after="0"/>
              <w:rPr>
                <w:sz w:val="18"/>
                <w:szCs w:val="18"/>
                <w:color w:val="auto"/>
              </w:rPr>
            </w:pPr>
          </w:p>
        </w:tc>
        <w:tc>
          <w:tcPr>
            <w:tcW w:w="24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Probability of default rate</w:t>
            </w:r>
          </w:p>
        </w:tc>
        <w:tc>
          <w:tcPr>
            <w:tcW w:w="1100" w:type="dxa"/>
            <w:vAlign w:val="bottom"/>
            <w:gridSpan w:val="3"/>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1280" w:type="dxa"/>
            <w:vAlign w:val="bottom"/>
            <w:gridSpan w:val="3"/>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Derivative liabilities - other</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16,558</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16,321</w:t>
            </w:r>
          </w:p>
        </w:tc>
        <w:tc>
          <w:tcPr>
            <w:tcW w:w="19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Dealer priced</w:t>
            </w:r>
          </w:p>
        </w:tc>
        <w:tc>
          <w:tcPr>
            <w:tcW w:w="24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Dealer priced</w:t>
            </w:r>
          </w:p>
        </w:tc>
        <w:tc>
          <w:tcPr>
            <w:tcW w:w="1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32"/>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Option</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2017, mortgage loans held for sale for which the fair value option was elected had an aggregate fair value and outstanding principal balance of $15.8 million and $15.3 million, respectively. At December 31, 2016, mortgage loans held for sale for which the fair value option was elected had an aggregate fair value and outstanding principal balance of $27.9 million and $27.6 million, respectively. Interest income on these loans is calculated based on the note rate of the loan and is recorded in interest revenue. During the first quarter of 2017, net gains resulting from changes in fair value of these loans of $252,000 were recorded in mortgage loan and other related fees. These changes in fair value were mostly offset by hedging activities. An immaterial portion of these amounts was attributable to changes in instrument-specific credit risk. During the first quarter of 2016, no such gains were recorded.</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Nonrecurring Basis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all assets that were still held as of March 31, 2017 and December 31, 2016, for which a nonrecurring fair value adjustment was recorded during the year-to-date periods presented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480" w:type="dxa"/>
            <w:vAlign w:val="bottom"/>
            <w:tcBorders>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7,179</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7,179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although only those specific reserves based on the fair value of collateral are considered nonrecurring fair value adjustments.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Not Measured at Fair Value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Off-balance sheet instruments (commitments to extend credit and standby letters of credit) for which draws can be reasonably predicted are generally short-term in maturity and are priced at variable rates. Therefore, the estimated fair value associated with these instruments is immaterial.</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carrying amount and fair values as of the dates indicated for other financial instruments that are not measured at fair value on a recurring basis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0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Fair Value Level</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26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held to maturity</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329,992</w:t>
            </w:r>
          </w:p>
        </w:tc>
        <w:tc>
          <w:tcPr>
            <w:tcW w:w="240" w:type="dxa"/>
            <w:vAlign w:val="bottom"/>
          </w:tcPr>
          <w:p>
            <w:pPr>
              <w:spacing w:after="0"/>
              <w:rPr>
                <w:sz w:val="18"/>
                <w:szCs w:val="18"/>
                <w:color w:val="auto"/>
              </w:rPr>
            </w:pPr>
          </w:p>
        </w:tc>
        <w:tc>
          <w:tcPr>
            <w:tcW w:w="1060" w:type="dxa"/>
            <w:vAlign w:val="bottom"/>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333,032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Loans, net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6,904,447</w:t>
            </w:r>
          </w:p>
        </w:tc>
        <w:tc>
          <w:tcPr>
            <w:tcW w:w="2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6,851,143</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6,851,143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646</w:t>
            </w:r>
          </w:p>
        </w:tc>
        <w:tc>
          <w:tcPr>
            <w:tcW w:w="10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8,752,092</w:t>
            </w:r>
          </w:p>
        </w:tc>
        <w:tc>
          <w:tcPr>
            <w:tcW w:w="2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8,752,884</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8,752,884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569,138</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569,054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175,238</w:t>
            </w:r>
          </w:p>
        </w:tc>
        <w:tc>
          <w:tcPr>
            <w:tcW w:w="2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175,786</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175,786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980" w:type="dxa"/>
            <w:vAlign w:val="bottom"/>
            <w:tcBorders>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12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108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spacing w:after="0"/>
              <w:rPr>
                <w:sz w:val="20"/>
                <w:szCs w:val="20"/>
                <w:color w:val="auto"/>
              </w:rPr>
            </w:pPr>
          </w:p>
        </w:tc>
        <w:tc>
          <w:tcPr>
            <w:tcW w:w="106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Securities held to maturity</w:t>
            </w:r>
          </w:p>
        </w:tc>
        <w:tc>
          <w:tcPr>
            <w:tcW w:w="3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329,843</w:t>
            </w:r>
          </w:p>
        </w:tc>
        <w:tc>
          <w:tcPr>
            <w:tcW w:w="24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333,170</w:t>
            </w:r>
          </w:p>
        </w:tc>
        <w:tc>
          <w:tcPr>
            <w:tcW w:w="3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333,170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6,859,214</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6,824,229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6,824,229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mortgage servicing rights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8,637,558</w:t>
            </w:r>
          </w:p>
        </w:tc>
        <w:tc>
          <w:tcPr>
            <w:tcW w:w="2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8,635,811</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8,635,811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709,209</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709,174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175,078</w:t>
            </w:r>
          </w:p>
        </w:tc>
        <w:tc>
          <w:tcPr>
            <w:tcW w:w="2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175,750</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175,750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the contractual amount of off-balance sheet instruments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6200" w:type="dxa"/>
            <w:vAlign w:val="bottom"/>
            <w:tcBorders>
              <w:bottom w:val="single" w:sz="8" w:color="F0FFFF"/>
            </w:tcBorders>
          </w:tcPr>
          <w:p>
            <w:pPr>
              <w:spacing w:after="0"/>
              <w:rPr>
                <w:sz w:val="21"/>
                <w:szCs w:val="21"/>
                <w:color w:val="auto"/>
              </w:rPr>
            </w:pPr>
          </w:p>
        </w:tc>
        <w:tc>
          <w:tcPr>
            <w:tcW w:w="1340" w:type="dxa"/>
            <w:vAlign w:val="bottom"/>
            <w:tcBorders>
              <w:bottom w:val="single" w:sz="8" w:color="F0FF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F0FFFF"/>
            </w:tcBorders>
          </w:tcPr>
          <w:p>
            <w:pPr>
              <w:spacing w:after="0"/>
              <w:rPr>
                <w:sz w:val="21"/>
                <w:szCs w:val="21"/>
                <w:color w:val="auto"/>
              </w:rPr>
            </w:pPr>
          </w:p>
        </w:tc>
      </w:tr>
      <w:tr>
        <w:trPr>
          <w:trHeight w:val="216"/>
        </w:trPr>
        <w:tc>
          <w:tcPr>
            <w:tcW w:w="62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Financial instruments whose contract amounts represent credit risk:</w:t>
            </w:r>
          </w:p>
        </w:tc>
        <w:tc>
          <w:tcPr>
            <w:tcW w:w="13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1,605,663</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1,542,186</w:t>
            </w:r>
          </w:p>
        </w:tc>
      </w:tr>
      <w:tr>
        <w:trPr>
          <w:trHeight w:val="216"/>
        </w:trPr>
        <w:tc>
          <w:tcPr>
            <w:tcW w:w="62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Letters of credit</w:t>
            </w:r>
          </w:p>
        </w:tc>
        <w:tc>
          <w:tcPr>
            <w:tcW w:w="13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28,499</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26,862</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United’s wholly-owned bank subsidiary, United Community Bank (the “Bank”), holds minor investments in certain limited partnerships for Community Reinvestment Act purposes. As of March 31, 2017, the Bank had invested $3.58 million in these limited partnerships and had committed to fund an additional $923,000 related to future capital calls.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20, 2017, United announced that it had reached a definitive merger agreement to acquire HCSB Financial Corporation (“HCSB”) and its wholly-owned bank subsidiary, Horry County State Bank. As of December 31, 2016, HCSB had total assets of $376 million, loans of $215 million and deposits of $313 million. Horry County State Bank, which currently operates eight branches in the Myrtle Beach-Conway-North Myrtle Beach area of South Carolina, will merge into and operate under the brand of United Community Bank, United’s wholly-owned bank subsidiary.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which has been unanimously approved by the Boards of Directors of both companies, HCSB shareholders will receive .0050 shares of United common stock for each share of HCSB common stock. Based on United’s closing price of $26.70 per share on April 19, 2017, the aggregate deal value is approximately $66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merger, which is subject to regulatory approval, the approval of the shareholders of HCSB, and other customary conditions, is expected to close in the third quarter of 2017.</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Form 10-Q contains forward-looking statements within the meaning of Section 27A of the Securities Act of 1933, as amended, and Section 21E of the Securities Exchange Act of 1934, as amended,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or events, and statements about the future performance, operations, products and services of United and its subsidiaries. We caution our shareholders and other readers not to place undue reliance on such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businesses and operations are and will be subject to a variety of risks, uncertainties and other factors. Consequently, actual results and experiences may differ materially from those contained in any forward-looking statements. Such risks, uncertainties and other factors that could cause actual results and experiences to differ from those projected include, but are not limited to, the risk factors set forth in our Annual Report on Form 10-K for the year ended December 31, 2016 as well as the following factors:</w:t>
      </w:r>
    </w:p>
    <w:p>
      <w:pPr>
        <w:spacing w:after="0" w:line="180"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the general business and economic environment;</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internal credit stress tests may not accurately predict the impact on our financial condition if the economy were to deteriorate;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profitability;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realize the balance of our net deferred tax asset, including net operating loss carryforwards;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lower federal income tax rates on the carrying amount of our deferred tax asset;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required to increase the valuation allowance on our net deferred tax asset in future periods;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the banking system and financial markets;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liquidity or access other sources of funding;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funding;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local economies in which we operate;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geographic diversification;</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concentrations of residential and commercial construction and development loans and commercial real estate loans are subject to unique risks that could adversely affect our earnings;</w:t>
      </w: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prevailing interest rates may negatively affect our net income and the value of our assets and other interest rate risks;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reporting policies;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allowance for loan losses is not sufficient to cover actual loan losses;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fraudulent and negligent conduct of our loan customers, third party service providers or employees;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communications and information systems, including risks with respect to cybersecurity breaches;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key components of our business infrastructure and services required to operate our business;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financial institutions and other financial service providers;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with respect to our ability to successfully expand and complete acquisitions and integrate businesses and operations that are acquired;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conditions in the stock market, the public debt market and other capital markets deteriorate;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Dodd-Frank Wall Street Reform and Consumer Protection Act of 2010 and related regulations;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or failures to comply with such laws and regulations;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capital and other requirements;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effects of litigation, examinations, investigations, or similar matters, or adverse facts and developments related thereto;</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judicial proceedings, board resolutions, informal memorandums of understanding or formal enforcement actions imposed by regulators that may occur;</w:t>
      </w: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and interpretations or challenges to our income tax provision;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over financial reporting and disclosure controls and procedures.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(the “SEC”). United cautions that the foregoing list of factors is not exclusive and not to place undue reliance on forward-looking statements. United does not intend to update any forward-looking statement, whether written or oral, relating to the matters discussed in this Form 10-Q. The financial statements and information contained herein have not been reviewed, or confirmed for accuracy or relevance, by the Federal Deposit Insurance Corporation.</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is intended to provide insight into the results of operations and financial condition of United Community Banks, Inc. (“United”) and its subsidiaries and should be read in conjunction with United’s consolidated financial statements and accompanying notes.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is a bank holding company registered with the Board of Governors of the Federal Reserve under the Bank Holding Company Act of 1956 that was incorporated under the laws of the State of Georgia in 1987 and commenced operations in 1988. At March 31, 2017, United had total consolidated assets of $10.7 billion, total loans of $6.96 billion, total deposits of $8.75 billion, and shareholders’ equity of $1.10 billion.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conducts substantially all of its operations through its wholly-owned Georgia bank subsidiary, United Community Bank (the “Bank”), which as of March 31, 2017, operated at 134 locations throughout the Atlanta-Sandy Springs-Roswell, Georgia, and Gainesville, Georgia metropolitan statistical areas, upstate and coastal South Carolina, north and coastal Georgia, western North Carolina, and east Tennessee. Also, United has a commercial loan office in Charlotte, North Carolina.</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 2016, United completed its previously announced acquisition of Tidelands Bancshares, Inc. (“Tidelands”) and its wholly-owned bank subsidiary, Tidelands Bank. Tidelands’ results are included in United’s consolidated results beginning on the acquisition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United reported net income of $23.5 million, or $.33 per diluted share, for the first quarter of 2017, compared to net income of $22.3 million, or $.31 per diluted share, for the first quarter of 2016.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revenue increased to $83.6 million for the first quarter of 2017, compared to $75.0 million for the first quarter of 2016, primarily due to higher loan volume, much of which resulted from United’s acquisition of Tidelands. Net interest margin increased to 3.45% for the three months ended March 31, 2017 from 3.41% for the same period in 2016 mostly due to the effect of rising interest rates on United’s floating rate loans and investment securities. Growth in the loan portfolio also led to a more favorable earning asset mix.</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United’s provision for credit losses was $800,000 for the first quarter of 2017, compared to a release of provision of $200,000 for the first quarter of 2016. Net charge-offs for the first quarter of 2017 were $1.68 million, compared to $2.14 million for the first quarter of 2016. Recoveries of previously charged-off amounts remained at elevated levels, with first quarter 2017 being the eighth consecutive quarter of recoveries greater than $1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2017, United’s allowance for loan losses was $60.5 million, or .87% of loans, compared to $61.4 million, or .89% of loans, at December 31, 2016 reflecting continued asset quality improvement. Nonperforming assets of $24.9 million were .23% of total assets at March 31, 2017, down from ..28% at December 31, 2016 primarily due to sales of foreclosed properties which United received through the Tidelands acquisition. During the first quarter of 2017, $3.17 million in loans were placed on nonaccrual compared with $4.77 million in the first quarter of 2016.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Fee revenue of $22.1 million for the first quarter of 2017 was up $3.47 million, or 19%, from the first quarter of 2016. Gains from the sales of SBA/USDA loans increased $722,000 in the first quarter of 2017 compared to the first quarter of 2016. Mortgage fees of $4.42 million for the first quarter of 2017 increased from $3.29 million in the first quarter of 2016. The increase was due to United’s emphasis on growing its mortgage business by recruiting lenders in metropolitan markets and continued strong refinancing activity.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first quarter of 2017, operating expenses of $62.8 million were up $4.94 million from the first quarter of 2016, primarily due to the addition of Tidelands operating expenses since acquisition. Salaries and benefits expense increased $3.63 million from a year ago mostly due to the acquisition of Tidelands and investment in additional staff and new teams to expand the specialized lending area as well as higher incentive compensation in connection with increased lending activities and improvement in earnings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20, 2017, United announced that it had reached a definitive merger agreement to acquire HCSB Financial Corporation (“HCSB”) and its wholly-owned bank subsidiary, Horry County State Bank. As of December 31, 2016, HCSB had total assets of $376 million, loans of $215 million and deposits of $313 million. Horry County State Bank, which currently operates eight branches in the Myrtle Beach-Conway-North Myrtle Beach area of South Carolina, will merge into and operate under the brand of United Community Bank, United’s wholly-owned bank subsidiary.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which has been unanimously approved by the Boards of Directors of both companies, HCSB shareholders will receive .0050 shares of United common stock for each share of HCSB common stock. Based on United’s closing price of $26.70 per share on April 19, 2017, the aggregate deal value is approximately $66 million.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The merger, which is subject to regulatory approval, the approval of the shareholders of HCSB, and other customary conditions, is expected to close in the third quarter of 2017.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accounting and reporting policies of United are in accordance with accounting principles generally accepted in the United States (“GAAP”) and conform to general practices within the banking industry. The more critical accounting and reporting policies include United’s accounting for the allowance for loan losses, fair value measurements, and income taxes which involve the use of estimates and require significant judgments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 for loan losses.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Reconciliation and Explanation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Form 10-Q contains financial information determined by methods other than in accordance with GAAP. Such non-GAAP financial information includes the following measures: “tangible book value per common share,” “average tangible equity to average assets,” “tangible equity to assets,” “average tangible common equity to average assets,” “tangible common equity to assets” and “tangible common equity to risk-weighted assets.” In addition, management presents non-GAAP operating performance measures, which exclude merger-related and other items that are not part of United’s ongoing business operations. Operating performance measures include “expenses – operating,” “net income – operating,” “net income available to common shareholders – operating,” “diluted net income per common share – operating,” “return on common equity – operating,” “return on tangible common equity – operating,” “return on assets – operating,” “dividend payout ratio – operating” and “efficiency ratio – operating.” Management has developed internal processes and procedures to accurately capture and account for merger-related and other charges and those charges are reviewed with the audit committee of United’s Board of Directors each quarter. Management uses these non-GAAP measures because it believes they may provide useful supplemental information for evaluating United’s operations and performance over periods of time, as well as in managing and evaluating United’s business and in discussions about United’s operations and performance. Management believes these non-GAAP measures may also provide users of United’s financial information with a meaningful measure for assessing United’s financial results and credit trends, as well as a comparison to financial results for prior periods. These non-GAAP measures should be viewed in addition to, and not as an alternative to or substitute for, measures determined in accordance with GAAP and are not necessarily comparable to other similarly titled measures used by other companies. To the extent applicable, reconciliations of these non-GAAP measures to the most directly comparable measures as reported in accordance with GAAP are included in the tables on page 41.</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United reported net income of $23.5 million for the first quarter of 2017. This compared to net income of $22.3 million for the same period in 2016. For the first quarter of 2017, diluted earnings per common share were $.33 compared to $.31 for the first quarter of 2016.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reported operating net income of $28.2 million and $23.9 million, respectively, for the first quarter of 2017 and 2016. For the first quarter of 2017, operating net income excludes merger-related charges and the release from accumulated other comprehensive income of the disproportionate tax effect related to cash flow hedges, which, net of tax, totaled $1.30 million and $3.40 million, respectively. For the first quarter of 2016, operating net income excludes merger-related charges, which, net of tax, totaled $1.65 million.</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1 - Financial Highlights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First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4"/>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First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Fourth</w:t>
            </w:r>
          </w:p>
        </w:tc>
        <w:tc>
          <w:tcPr>
            <w:tcW w:w="80" w:type="dxa"/>
            <w:vAlign w:val="bottom"/>
          </w:tcPr>
          <w:p>
            <w:pPr>
              <w:spacing w:after="0"/>
              <w:rPr>
                <w:sz w:val="11"/>
                <w:szCs w:val="11"/>
                <w:color w:val="auto"/>
              </w:rPr>
            </w:pPr>
          </w:p>
        </w:tc>
        <w:tc>
          <w:tcPr>
            <w:tcW w:w="780" w:type="dxa"/>
            <w:vAlign w:val="bottom"/>
            <w:gridSpan w:val="2"/>
          </w:tcPr>
          <w:p>
            <w:pPr>
              <w:jc w:val="right"/>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Third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Second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28"/>
              <w:spacing w:after="0" w:line="137" w:lineRule="exact"/>
              <w:rPr>
                <w:sz w:val="20"/>
                <w:szCs w:val="20"/>
                <w:color w:val="auto"/>
              </w:rPr>
            </w:pPr>
            <w:r>
              <w:rPr>
                <w:rFonts w:ascii="Times New Roman" w:cs="Times New Roman" w:eastAsia="Times New Roman" w:hAnsi="Times New Roman"/>
                <w:sz w:val="14"/>
                <w:szCs w:val="14"/>
                <w:b w:val="1"/>
                <w:bCs w:val="1"/>
                <w:color w:val="auto"/>
              </w:rPr>
              <w:t>First</w:t>
            </w:r>
          </w:p>
        </w:tc>
        <w:tc>
          <w:tcPr>
            <w:tcW w:w="220" w:type="dxa"/>
            <w:vAlign w:val="bottom"/>
          </w:tcPr>
          <w:p>
            <w:pPr>
              <w:spacing w:after="0"/>
              <w:rPr>
                <w:sz w:val="11"/>
                <w:szCs w:val="11"/>
                <w:color w:val="auto"/>
              </w:rPr>
            </w:pP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2017-2016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Quarter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7"/>
              </w:rPr>
              <w:t>Quarter</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Borders>
              <w:top w:val="single" w:sz="8" w:color="auto"/>
            </w:tcBorders>
            <w:shd w:val="clear" w:color="auto" w:fill="F0FF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INCOME SUMMARY</w:t>
            </w:r>
          </w:p>
        </w:tc>
        <w:tc>
          <w:tcPr>
            <w:tcW w:w="1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2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0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00" w:type="dxa"/>
            <w:vAlign w:val="bottom"/>
            <w:tcBorders>
              <w:top w:val="single" w:sz="8" w:color="auto"/>
            </w:tcBorders>
            <w:shd w:val="clear" w:color="auto" w:fill="F0FFFF"/>
          </w:tcPr>
          <w:p>
            <w:pPr>
              <w:spacing w:after="0"/>
              <w:rPr>
                <w:sz w:val="12"/>
                <w:szCs w:val="12"/>
                <w:color w:val="auto"/>
              </w:rPr>
            </w:pPr>
          </w:p>
        </w:tc>
        <w:tc>
          <w:tcPr>
            <w:tcW w:w="18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580" w:type="dxa"/>
            <w:vAlign w:val="bottom"/>
            <w:tcBorders>
              <w:top w:val="single" w:sz="8" w:color="auto"/>
            </w:tcBorders>
            <w:shd w:val="clear" w:color="auto" w:fill="F0FFFF"/>
          </w:tcPr>
          <w:p>
            <w:pPr>
              <w:spacing w:after="0"/>
              <w:rPr>
                <w:sz w:val="12"/>
                <w:szCs w:val="12"/>
                <w:color w:val="auto"/>
              </w:rPr>
            </w:pPr>
          </w:p>
        </w:tc>
        <w:tc>
          <w:tcPr>
            <w:tcW w:w="18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0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revenue</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90,958</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87,778</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85,439</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81,082</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80,721</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8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7,404</w:t>
            </w:r>
          </w:p>
        </w:tc>
        <w:tc>
          <w:tcPr>
            <w:tcW w:w="80" w:type="dxa"/>
            <w:vAlign w:val="bottom"/>
            <w:shd w:val="clear" w:color="auto" w:fill="F0FFFF"/>
          </w:tcPr>
          <w:p>
            <w:pPr>
              <w:spacing w:after="0"/>
              <w:rPr>
                <w:sz w:val="15"/>
                <w:szCs w:val="15"/>
                <w:color w:val="auto"/>
              </w:rPr>
            </w:pPr>
          </w:p>
        </w:tc>
        <w:tc>
          <w:tcPr>
            <w:tcW w:w="8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6,853</w:t>
            </w:r>
          </w:p>
        </w:tc>
        <w:tc>
          <w:tcPr>
            <w:tcW w:w="8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6,450</w:t>
            </w:r>
          </w:p>
        </w:tc>
        <w:tc>
          <w:tcPr>
            <w:tcW w:w="6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76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6,164</w:t>
            </w:r>
          </w:p>
        </w:tc>
        <w:tc>
          <w:tcPr>
            <w:tcW w:w="6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8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5,769</w:t>
            </w:r>
          </w:p>
        </w:tc>
        <w:tc>
          <w:tcPr>
            <w:tcW w:w="6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940" w:type="dxa"/>
            <w:vAlign w:val="bottom"/>
            <w:tcBorders>
              <w:top w:val="single" w:sz="8" w:color="F0FFFF"/>
            </w:tcBorders>
          </w:tcPr>
          <w:p>
            <w:pPr>
              <w:ind w:left="160"/>
              <w:spacing w:after="0" w:line="136" w:lineRule="exact"/>
              <w:rPr>
                <w:sz w:val="20"/>
                <w:szCs w:val="20"/>
                <w:color w:val="auto"/>
              </w:rPr>
            </w:pPr>
            <w:r>
              <w:rPr>
                <w:rFonts w:ascii="Times New Roman" w:cs="Times New Roman" w:eastAsia="Times New Roman" w:hAnsi="Times New Roman"/>
                <w:sz w:val="14"/>
                <w:szCs w:val="14"/>
                <w:color w:val="auto"/>
              </w:rPr>
              <w:t>Net interest revenue</w:t>
            </w:r>
          </w:p>
        </w:tc>
        <w:tc>
          <w:tcPr>
            <w:tcW w:w="12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83,554</w:t>
            </w:r>
          </w:p>
        </w:tc>
        <w:tc>
          <w:tcPr>
            <w:tcW w:w="22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80,925</w:t>
            </w:r>
          </w:p>
        </w:tc>
        <w:tc>
          <w:tcPr>
            <w:tcW w:w="22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78,989</w:t>
            </w:r>
          </w:p>
        </w:tc>
        <w:tc>
          <w:tcPr>
            <w:tcW w:w="180" w:type="dxa"/>
            <w:vAlign w:val="bottom"/>
            <w:tcBorders>
              <w:top w:val="single" w:sz="8" w:color="F0FFFF"/>
            </w:tcBorders>
          </w:tcPr>
          <w:p>
            <w:pPr>
              <w:spacing w:after="0"/>
              <w:rPr>
                <w:sz w:val="11"/>
                <w:szCs w:val="11"/>
                <w:color w:val="auto"/>
              </w:rPr>
            </w:pPr>
          </w:p>
        </w:tc>
        <w:tc>
          <w:tcPr>
            <w:tcW w:w="6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74,918</w:t>
            </w:r>
          </w:p>
        </w:tc>
        <w:tc>
          <w:tcPr>
            <w:tcW w:w="180" w:type="dxa"/>
            <w:vAlign w:val="bottom"/>
            <w:tcBorders>
              <w:top w:val="single" w:sz="8" w:color="F0FFFF"/>
            </w:tcBorders>
          </w:tcPr>
          <w:p>
            <w:pPr>
              <w:spacing w:after="0"/>
              <w:rPr>
                <w:sz w:val="11"/>
                <w:szCs w:val="11"/>
                <w:color w:val="auto"/>
              </w:rPr>
            </w:pPr>
          </w:p>
        </w:tc>
        <w:tc>
          <w:tcPr>
            <w:tcW w:w="6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74,952</w:t>
            </w:r>
          </w:p>
        </w:tc>
        <w:tc>
          <w:tcPr>
            <w:tcW w:w="220" w:type="dxa"/>
            <w:vAlign w:val="bottom"/>
            <w:tcBorders>
              <w:top w:val="single" w:sz="8" w:color="F0FFFF"/>
            </w:tcBorders>
          </w:tcPr>
          <w:p>
            <w:pPr>
              <w:spacing w:after="0"/>
              <w:rPr>
                <w:sz w:val="11"/>
                <w:szCs w:val="11"/>
                <w:color w:val="auto"/>
              </w:rPr>
            </w:pPr>
          </w:p>
        </w:tc>
        <w:tc>
          <w:tcPr>
            <w:tcW w:w="800" w:type="dxa"/>
            <w:vAlign w:val="bottom"/>
            <w:tcBorders>
              <w:top w:val="single" w:sz="8" w:color="F0FFFF"/>
            </w:tcBorders>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Fee revenue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22,074</w:t>
            </w: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25,233</w:t>
            </w:r>
          </w:p>
        </w:tc>
        <w:tc>
          <w:tcPr>
            <w:tcW w:w="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26,361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23,497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18,606</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Borders>
              <w:top w:val="single" w:sz="8" w:color="F0FFFF"/>
            </w:tcBorders>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Total revenue</w:t>
            </w:r>
          </w:p>
        </w:tc>
        <w:tc>
          <w:tcPr>
            <w:tcW w:w="1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2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104,828</w:t>
            </w:r>
          </w:p>
        </w:tc>
        <w:tc>
          <w:tcPr>
            <w:tcW w:w="2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106,158</w:t>
            </w:r>
          </w:p>
        </w:tc>
        <w:tc>
          <w:tcPr>
            <w:tcW w:w="2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105,650</w:t>
            </w:r>
          </w:p>
        </w:tc>
        <w:tc>
          <w:tcPr>
            <w:tcW w:w="18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5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98,715</w:t>
            </w:r>
          </w:p>
        </w:tc>
        <w:tc>
          <w:tcPr>
            <w:tcW w:w="18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93,758</w:t>
            </w:r>
          </w:p>
        </w:tc>
        <w:tc>
          <w:tcPr>
            <w:tcW w:w="220" w:type="dxa"/>
            <w:vAlign w:val="bottom"/>
            <w:tcBorders>
              <w:top w:val="single" w:sz="8" w:color="F0FFFF"/>
            </w:tcBorders>
            <w:shd w:val="clear" w:color="auto" w:fill="F0FFFF"/>
          </w:tcPr>
          <w:p>
            <w:pPr>
              <w:spacing w:after="0"/>
              <w:rPr>
                <w:sz w:val="12"/>
                <w:szCs w:val="12"/>
                <w:color w:val="auto"/>
              </w:rPr>
            </w:pPr>
          </w:p>
        </w:tc>
        <w:tc>
          <w:tcPr>
            <w:tcW w:w="680" w:type="dxa"/>
            <w:vAlign w:val="bottom"/>
            <w:tcBorders>
              <w:top w:val="single" w:sz="8" w:color="F0FFFF"/>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Expenses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62,826</w:t>
            </w: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61,321</w:t>
            </w:r>
          </w:p>
        </w:tc>
        <w:tc>
          <w:tcPr>
            <w:tcW w:w="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64,023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58,060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57,885</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Borders>
              <w:top w:val="single" w:sz="8" w:color="F0FFFF"/>
            </w:tcBorders>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Income before income tax expense</w:t>
            </w:r>
          </w:p>
        </w:tc>
        <w:tc>
          <w:tcPr>
            <w:tcW w:w="1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2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42,002</w:t>
            </w:r>
          </w:p>
        </w:tc>
        <w:tc>
          <w:tcPr>
            <w:tcW w:w="2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44,837</w:t>
            </w:r>
          </w:p>
        </w:tc>
        <w:tc>
          <w:tcPr>
            <w:tcW w:w="2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41,627</w:t>
            </w:r>
          </w:p>
        </w:tc>
        <w:tc>
          <w:tcPr>
            <w:tcW w:w="18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5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40,655</w:t>
            </w:r>
          </w:p>
        </w:tc>
        <w:tc>
          <w:tcPr>
            <w:tcW w:w="18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35,873</w:t>
            </w:r>
          </w:p>
        </w:tc>
        <w:tc>
          <w:tcPr>
            <w:tcW w:w="220" w:type="dxa"/>
            <w:vAlign w:val="bottom"/>
            <w:tcBorders>
              <w:top w:val="single" w:sz="8" w:color="F0FFFF"/>
            </w:tcBorders>
            <w:shd w:val="clear" w:color="auto" w:fill="F0FFFF"/>
          </w:tcPr>
          <w:p>
            <w:pPr>
              <w:spacing w:after="0"/>
              <w:rPr>
                <w:sz w:val="12"/>
                <w:szCs w:val="12"/>
                <w:color w:val="auto"/>
              </w:rPr>
            </w:pPr>
          </w:p>
        </w:tc>
        <w:tc>
          <w:tcPr>
            <w:tcW w:w="680" w:type="dxa"/>
            <w:vAlign w:val="bottom"/>
            <w:tcBorders>
              <w:top w:val="single" w:sz="8" w:color="F0FFFF"/>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18,478</w:t>
            </w: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17,616</w:t>
            </w:r>
          </w:p>
        </w:tc>
        <w:tc>
          <w:tcPr>
            <w:tcW w:w="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15,753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15,389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13,578</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Borders>
              <w:top w:val="single" w:sz="8" w:color="F0FFFF"/>
            </w:tcBorders>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2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23,524</w:t>
            </w:r>
          </w:p>
        </w:tc>
        <w:tc>
          <w:tcPr>
            <w:tcW w:w="2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27,221</w:t>
            </w:r>
          </w:p>
        </w:tc>
        <w:tc>
          <w:tcPr>
            <w:tcW w:w="2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25,874</w:t>
            </w:r>
          </w:p>
        </w:tc>
        <w:tc>
          <w:tcPr>
            <w:tcW w:w="18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5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25,266</w:t>
            </w:r>
          </w:p>
        </w:tc>
        <w:tc>
          <w:tcPr>
            <w:tcW w:w="18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22,295</w:t>
            </w:r>
          </w:p>
        </w:tc>
        <w:tc>
          <w:tcPr>
            <w:tcW w:w="220" w:type="dxa"/>
            <w:vAlign w:val="bottom"/>
            <w:tcBorders>
              <w:top w:val="single" w:sz="8" w:color="F0FFFF"/>
            </w:tcBorders>
            <w:shd w:val="clear" w:color="auto" w:fill="F0FFFF"/>
          </w:tcPr>
          <w:p>
            <w:pPr>
              <w:spacing w:after="0"/>
              <w:rPr>
                <w:sz w:val="12"/>
                <w:szCs w:val="12"/>
                <w:color w:val="auto"/>
              </w:rPr>
            </w:pPr>
          </w:p>
        </w:tc>
        <w:tc>
          <w:tcPr>
            <w:tcW w:w="680" w:type="dxa"/>
            <w:vAlign w:val="bottom"/>
            <w:tcBorders>
              <w:top w:val="single" w:sz="8" w:color="F0FFFF"/>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Preferred dividends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Borders>
              <w:top w:val="single" w:sz="8" w:color="F0FFFF"/>
            </w:tcBorders>
            <w:shd w:val="clear" w:color="auto" w:fill="F0FF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 available to common shareholders</w:t>
            </w:r>
          </w:p>
        </w:tc>
        <w:tc>
          <w:tcPr>
            <w:tcW w:w="1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23,524</w:t>
            </w:r>
          </w:p>
        </w:tc>
        <w:tc>
          <w:tcPr>
            <w:tcW w:w="2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27,221</w:t>
            </w:r>
          </w:p>
        </w:tc>
        <w:tc>
          <w:tcPr>
            <w:tcW w:w="2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25,874</w:t>
            </w:r>
          </w:p>
        </w:tc>
        <w:tc>
          <w:tcPr>
            <w:tcW w:w="18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25,266</w:t>
            </w:r>
          </w:p>
        </w:tc>
        <w:tc>
          <w:tcPr>
            <w:tcW w:w="18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22,274</w:t>
            </w:r>
          </w:p>
        </w:tc>
        <w:tc>
          <w:tcPr>
            <w:tcW w:w="220" w:type="dxa"/>
            <w:vAlign w:val="bottom"/>
            <w:tcBorders>
              <w:top w:val="single" w:sz="8" w:color="F0FFFF"/>
            </w:tcBorders>
            <w:shd w:val="clear" w:color="auto" w:fill="F0FFFF"/>
          </w:tcPr>
          <w:p>
            <w:pPr>
              <w:spacing w:after="0"/>
              <w:rPr>
                <w:sz w:val="12"/>
                <w:szCs w:val="12"/>
                <w:color w:val="auto"/>
              </w:rPr>
            </w:pPr>
          </w:p>
        </w:tc>
        <w:tc>
          <w:tcPr>
            <w:tcW w:w="680" w:type="dxa"/>
            <w:vAlign w:val="bottom"/>
            <w:tcBorders>
              <w:top w:val="single" w:sz="8" w:color="F0FFFF"/>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w:t>
            </w:r>
          </w:p>
        </w:tc>
        <w:tc>
          <w:tcPr>
            <w:tcW w:w="12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Merger-related and other charges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2,054</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1,141</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3,152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1,176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2,653</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Income tax benefit of merger-related and other charges</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(758)</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(1,193)</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(1,004)</w:t>
            </w: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Impairment of deferred tax asset on canceled non-qualified stock options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Release of disproportionate tax effects lodged in OCI</w:t>
            </w: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6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3,400</w:t>
            </w:r>
          </w:p>
        </w:tc>
        <w:tc>
          <w:tcPr>
            <w:tcW w:w="2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6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6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6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F0FFFF"/>
            </w:tcBorders>
            <w:vMerge w:val="restart"/>
          </w:tcPr>
          <w:p>
            <w:pPr>
              <w:spacing w:after="0" w:line="210" w:lineRule="exact"/>
              <w:rPr>
                <w:sz w:val="20"/>
                <w:szCs w:val="20"/>
                <w:color w:val="auto"/>
              </w:rPr>
            </w:pPr>
            <w:r>
              <w:rPr>
                <w:rFonts w:ascii="Times New Roman" w:cs="Times New Roman" w:eastAsia="Times New Roman" w:hAnsi="Times New Roman"/>
                <w:sz w:val="14"/>
                <w:szCs w:val="14"/>
                <w:b w:val="1"/>
                <w:bCs w:val="1"/>
                <w:color w:val="auto"/>
              </w:rPr>
              <w:t xml:space="preserve">Net income available to common shareholders - operating </w:t>
            </w:r>
            <w:r>
              <w:rPr>
                <w:rFonts w:ascii="Times New Roman" w:cs="Times New Roman" w:eastAsia="Times New Roman" w:hAnsi="Times New Roman"/>
                <w:sz w:val="23"/>
                <w:szCs w:val="23"/>
                <w:b w:val="1"/>
                <w:bCs w:val="1"/>
                <w:color w:val="auto"/>
                <w:vertAlign w:val="superscript"/>
              </w:rPr>
              <w:t>(1)</w:t>
            </w: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vMerge w:val="continue"/>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28,220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28,906</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27,833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25,997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23,923</w:t>
            </w: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6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9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 MEASURES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Per common share:</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Diluted net income - GAAP</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F0FFFF"/>
          </w:tcPr>
          <w:p>
            <w:pPr>
              <w:ind w:left="320"/>
              <w:spacing w:after="0" w:line="189" w:lineRule="exact"/>
              <w:rPr>
                <w:sz w:val="20"/>
                <w:szCs w:val="20"/>
                <w:color w:val="auto"/>
              </w:rPr>
            </w:pPr>
            <w:r>
              <w:rPr>
                <w:rFonts w:ascii="Times New Roman" w:cs="Times New Roman" w:eastAsia="Times New Roman" w:hAnsi="Times New Roman"/>
                <w:sz w:val="13"/>
                <w:szCs w:val="13"/>
                <w:color w:val="auto"/>
              </w:rPr>
              <w:t xml:space="preserve">Diluted net income - operating </w:t>
            </w:r>
            <w:r>
              <w:rPr>
                <w:rFonts w:ascii="Times New Roman" w:cs="Times New Roman" w:eastAsia="Times New Roman" w:hAnsi="Times New Roman"/>
                <w:sz w:val="21"/>
                <w:szCs w:val="21"/>
                <w:color w:val="auto"/>
                <w:vertAlign w:val="superscript"/>
              </w:rPr>
              <w:t>(1)</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F0FFFF"/>
          </w:tcPr>
          <w:p>
            <w:pPr>
              <w:spacing w:after="0"/>
              <w:rPr>
                <w:sz w:val="16"/>
                <w:szCs w:val="16"/>
                <w:color w:val="auto"/>
              </w:rPr>
            </w:pPr>
          </w:p>
        </w:tc>
        <w:tc>
          <w:tcPr>
            <w:tcW w:w="78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.39</w:t>
            </w: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.36</w:t>
            </w: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.33</w:t>
            </w:r>
          </w:p>
        </w:tc>
        <w:tc>
          <w:tcPr>
            <w:tcW w:w="6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Cash dividends declared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F0FFFF"/>
          </w:tcPr>
          <w:p>
            <w:pPr>
              <w:ind w:left="320"/>
              <w:spacing w:after="0" w:line="149" w:lineRule="exact"/>
              <w:rPr>
                <w:sz w:val="20"/>
                <w:szCs w:val="20"/>
                <w:color w:val="auto"/>
              </w:rPr>
            </w:pPr>
            <w:r>
              <w:rPr>
                <w:rFonts w:ascii="Times New Roman" w:cs="Times New Roman" w:eastAsia="Times New Roman" w:hAnsi="Times New Roman"/>
                <w:sz w:val="14"/>
                <w:szCs w:val="14"/>
                <w:color w:val="auto"/>
              </w:rPr>
              <w:t>Book value</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15.40</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15.06</w:t>
            </w: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15.12</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14.80</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14.35</w:t>
            </w:r>
          </w:p>
        </w:tc>
        <w:tc>
          <w:tcPr>
            <w:tcW w:w="6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320"/>
              <w:spacing w:after="0" w:line="189" w:lineRule="exact"/>
              <w:rPr>
                <w:sz w:val="20"/>
                <w:szCs w:val="20"/>
                <w:color w:val="auto"/>
              </w:rPr>
            </w:pPr>
            <w:r>
              <w:rPr>
                <w:rFonts w:ascii="Times New Roman" w:cs="Times New Roman" w:eastAsia="Times New Roman" w:hAnsi="Times New Roman"/>
                <w:sz w:val="13"/>
                <w:szCs w:val="13"/>
                <w:color w:val="auto"/>
              </w:rPr>
              <w:t xml:space="preserve">Tangible book value </w:t>
            </w:r>
            <w:r>
              <w:rPr>
                <w:rFonts w:ascii="Times New Roman" w:cs="Times New Roman" w:eastAsia="Times New Roman" w:hAnsi="Times New Roman"/>
                <w:sz w:val="21"/>
                <w:szCs w:val="21"/>
                <w:color w:val="auto"/>
                <w:vertAlign w:val="superscript"/>
              </w:rPr>
              <w:t>(3)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13.30</w:t>
            </w:r>
          </w:p>
        </w:tc>
        <w:tc>
          <w:tcPr>
            <w:tcW w:w="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12.95</w:t>
            </w:r>
          </w:p>
        </w:tc>
        <w:tc>
          <w:tcPr>
            <w:tcW w:w="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12.84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12.40</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Key performance ratios: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F0FFFF"/>
          </w:tcPr>
          <w:p>
            <w:pPr>
              <w:ind w:left="320"/>
              <w:spacing w:after="0" w:line="189" w:lineRule="exact"/>
              <w:rPr>
                <w:sz w:val="20"/>
                <w:szCs w:val="20"/>
                <w:color w:val="auto"/>
              </w:rPr>
            </w:pPr>
            <w:r>
              <w:rPr>
                <w:rFonts w:ascii="Times New Roman" w:cs="Times New Roman" w:eastAsia="Times New Roman" w:hAnsi="Times New Roman"/>
                <w:sz w:val="13"/>
                <w:szCs w:val="13"/>
                <w:color w:val="auto"/>
              </w:rPr>
              <w:t xml:space="preserve">Return on common equity - GAAP </w:t>
            </w:r>
            <w:r>
              <w:rPr>
                <w:rFonts w:ascii="Times New Roman" w:cs="Times New Roman" w:eastAsia="Times New Roman" w:hAnsi="Times New Roman"/>
                <w:sz w:val="21"/>
                <w:szCs w:val="21"/>
                <w:color w:val="auto"/>
                <w:vertAlign w:val="superscript"/>
              </w:rPr>
              <w:t>(2)(4)</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8.54%</w:t>
            </w:r>
          </w:p>
        </w:tc>
        <w:tc>
          <w:tcPr>
            <w:tcW w:w="8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9.89%</w:t>
            </w:r>
          </w:p>
        </w:tc>
        <w:tc>
          <w:tcPr>
            <w:tcW w:w="80" w:type="dxa"/>
            <w:vAlign w:val="bottom"/>
            <w:shd w:val="clear" w:color="auto" w:fill="F0FFFF"/>
          </w:tcPr>
          <w:p>
            <w:pPr>
              <w:spacing w:after="0"/>
              <w:rPr>
                <w:sz w:val="16"/>
                <w:szCs w:val="16"/>
                <w:color w:val="auto"/>
              </w:rPr>
            </w:pPr>
          </w:p>
        </w:tc>
        <w:tc>
          <w:tcPr>
            <w:tcW w:w="78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4"/>
                <w:szCs w:val="14"/>
                <w:color w:val="auto"/>
              </w:rPr>
              <w:t>9.61%</w:t>
            </w: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4"/>
                <w:szCs w:val="14"/>
                <w:color w:val="auto"/>
              </w:rPr>
              <w:t>9.54%</w:t>
            </w: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8.57%</w:t>
            </w:r>
          </w:p>
        </w:tc>
        <w:tc>
          <w:tcPr>
            <w:tcW w:w="6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320"/>
              <w:spacing w:after="0" w:line="189" w:lineRule="exact"/>
              <w:rPr>
                <w:sz w:val="20"/>
                <w:szCs w:val="20"/>
                <w:color w:val="auto"/>
              </w:rPr>
            </w:pPr>
            <w:r>
              <w:rPr>
                <w:rFonts w:ascii="Times New Roman" w:cs="Times New Roman" w:eastAsia="Times New Roman" w:hAnsi="Times New Roman"/>
                <w:sz w:val="13"/>
                <w:szCs w:val="13"/>
                <w:color w:val="auto"/>
              </w:rPr>
              <w:t xml:space="preserve">Return on common equity - operating </w:t>
            </w:r>
            <w:r>
              <w:rPr>
                <w:rFonts w:ascii="Times New Roman" w:cs="Times New Roman" w:eastAsia="Times New Roman" w:hAnsi="Times New Roman"/>
                <w:sz w:val="21"/>
                <w:szCs w:val="21"/>
                <w:color w:val="auto"/>
                <w:vertAlign w:val="superscript"/>
              </w:rPr>
              <w:t>(1)(2)(4)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10.25</w:t>
            </w:r>
          </w:p>
        </w:tc>
        <w:tc>
          <w:tcPr>
            <w:tcW w:w="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10.51</w:t>
            </w:r>
          </w:p>
        </w:tc>
        <w:tc>
          <w:tcPr>
            <w:tcW w:w="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10.34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9.81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9.20</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F0FFFF"/>
          </w:tcPr>
          <w:p>
            <w:pPr>
              <w:ind w:left="320"/>
              <w:spacing w:after="0" w:line="189" w:lineRule="exact"/>
              <w:rPr>
                <w:sz w:val="20"/>
                <w:szCs w:val="20"/>
                <w:color w:val="auto"/>
              </w:rPr>
            </w:pPr>
            <w:r>
              <w:rPr>
                <w:rFonts w:ascii="Times New Roman" w:cs="Times New Roman" w:eastAsia="Times New Roman" w:hAnsi="Times New Roman"/>
                <w:sz w:val="13"/>
                <w:szCs w:val="13"/>
                <w:color w:val="auto"/>
              </w:rPr>
              <w:t xml:space="preserve">Return on tangible common equity - operating </w:t>
            </w:r>
            <w:r>
              <w:rPr>
                <w:rFonts w:ascii="Times New Roman" w:cs="Times New Roman" w:eastAsia="Times New Roman" w:hAnsi="Times New Roman"/>
                <w:sz w:val="21"/>
                <w:szCs w:val="21"/>
                <w:color w:val="auto"/>
                <w:vertAlign w:val="superscript"/>
              </w:rPr>
              <w:t>(1)(2)(3)(4)</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12.10</w:t>
            </w:r>
          </w:p>
        </w:tc>
        <w:tc>
          <w:tcPr>
            <w:tcW w:w="8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12.47</w:t>
            </w:r>
          </w:p>
        </w:tc>
        <w:tc>
          <w:tcPr>
            <w:tcW w:w="80" w:type="dxa"/>
            <w:vAlign w:val="bottom"/>
            <w:shd w:val="clear" w:color="auto" w:fill="F0FFFF"/>
          </w:tcPr>
          <w:p>
            <w:pPr>
              <w:spacing w:after="0"/>
              <w:rPr>
                <w:sz w:val="16"/>
                <w:szCs w:val="16"/>
                <w:color w:val="auto"/>
              </w:rPr>
            </w:pPr>
          </w:p>
        </w:tc>
        <w:tc>
          <w:tcPr>
            <w:tcW w:w="78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12.45</w:t>
            </w: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11.56</w:t>
            </w: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10.91</w:t>
            </w:r>
          </w:p>
        </w:tc>
        <w:tc>
          <w:tcPr>
            <w:tcW w:w="6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320"/>
              <w:spacing w:after="0" w:line="189" w:lineRule="exact"/>
              <w:rPr>
                <w:sz w:val="20"/>
                <w:szCs w:val="20"/>
                <w:color w:val="auto"/>
              </w:rPr>
            </w:pPr>
            <w:r>
              <w:rPr>
                <w:rFonts w:ascii="Times New Roman" w:cs="Times New Roman" w:eastAsia="Times New Roman" w:hAnsi="Times New Roman"/>
                <w:sz w:val="13"/>
                <w:szCs w:val="13"/>
                <w:color w:val="auto"/>
              </w:rPr>
              <w:t xml:space="preserve">Return on assets - GAAP </w:t>
            </w:r>
            <w:r>
              <w:rPr>
                <w:rFonts w:ascii="Times New Roman" w:cs="Times New Roman" w:eastAsia="Times New Roman" w:hAnsi="Times New Roman"/>
                <w:sz w:val="21"/>
                <w:szCs w:val="21"/>
                <w:color w:val="auto"/>
                <w:vertAlign w:val="superscript"/>
              </w:rPr>
              <w:t>(4)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.93</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F0FFFF"/>
          </w:tcPr>
          <w:p>
            <w:pPr>
              <w:ind w:left="320"/>
              <w:spacing w:after="0" w:line="189" w:lineRule="exact"/>
              <w:rPr>
                <w:sz w:val="20"/>
                <w:szCs w:val="20"/>
                <w:color w:val="auto"/>
              </w:rPr>
            </w:pPr>
            <w:r>
              <w:rPr>
                <w:rFonts w:ascii="Times New Roman" w:cs="Times New Roman" w:eastAsia="Times New Roman" w:hAnsi="Times New Roman"/>
                <w:sz w:val="13"/>
                <w:szCs w:val="13"/>
                <w:color w:val="auto"/>
              </w:rPr>
              <w:t xml:space="preserve">Return on assets - operating </w:t>
            </w:r>
            <w:r>
              <w:rPr>
                <w:rFonts w:ascii="Times New Roman" w:cs="Times New Roman" w:eastAsia="Times New Roman" w:hAnsi="Times New Roman"/>
                <w:sz w:val="21"/>
                <w:szCs w:val="21"/>
                <w:color w:val="auto"/>
                <w:vertAlign w:val="superscript"/>
              </w:rPr>
              <w:t>(1)(4)</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shd w:val="clear" w:color="auto" w:fill="F0FFFF"/>
          </w:tcPr>
          <w:p>
            <w:pPr>
              <w:spacing w:after="0"/>
              <w:rPr>
                <w:sz w:val="16"/>
                <w:szCs w:val="16"/>
                <w:color w:val="auto"/>
              </w:rPr>
            </w:pPr>
          </w:p>
        </w:tc>
        <w:tc>
          <w:tcPr>
            <w:tcW w:w="78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1.08</w:t>
            </w: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1.07</w:t>
            </w: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1.00</w:t>
            </w:r>
          </w:p>
        </w:tc>
        <w:tc>
          <w:tcPr>
            <w:tcW w:w="6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Dividend payout ratio - GAAP</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27.27</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21.05</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22.22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22.58</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F0FFFF"/>
          </w:tcPr>
          <w:p>
            <w:pPr>
              <w:ind w:left="320"/>
              <w:spacing w:after="0" w:line="189" w:lineRule="exact"/>
              <w:rPr>
                <w:sz w:val="20"/>
                <w:szCs w:val="20"/>
                <w:color w:val="auto"/>
              </w:rPr>
            </w:pPr>
            <w:r>
              <w:rPr>
                <w:rFonts w:ascii="Times New Roman" w:cs="Times New Roman" w:eastAsia="Times New Roman" w:hAnsi="Times New Roman"/>
                <w:sz w:val="13"/>
                <w:szCs w:val="13"/>
                <w:color w:val="auto"/>
              </w:rPr>
              <w:t xml:space="preserve">Dividend payout ratio - operating </w:t>
            </w:r>
            <w:r>
              <w:rPr>
                <w:rFonts w:ascii="Times New Roman" w:cs="Times New Roman" w:eastAsia="Times New Roman" w:hAnsi="Times New Roman"/>
                <w:sz w:val="21"/>
                <w:szCs w:val="21"/>
                <w:color w:val="auto"/>
                <w:vertAlign w:val="superscript"/>
              </w:rPr>
              <w:t>(1)</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23.08</w:t>
            </w:r>
          </w:p>
        </w:tc>
        <w:tc>
          <w:tcPr>
            <w:tcW w:w="8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shd w:val="clear" w:color="auto" w:fill="F0FFFF"/>
          </w:tcPr>
          <w:p>
            <w:pPr>
              <w:spacing w:after="0"/>
              <w:rPr>
                <w:sz w:val="16"/>
                <w:szCs w:val="16"/>
                <w:color w:val="auto"/>
              </w:rPr>
            </w:pPr>
          </w:p>
        </w:tc>
        <w:tc>
          <w:tcPr>
            <w:tcW w:w="78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20.51</w:t>
            </w: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19.44</w:t>
            </w: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21.21</w:t>
            </w:r>
          </w:p>
        </w:tc>
        <w:tc>
          <w:tcPr>
            <w:tcW w:w="6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320"/>
              <w:spacing w:after="0" w:line="189" w:lineRule="exact"/>
              <w:rPr>
                <w:sz w:val="20"/>
                <w:szCs w:val="20"/>
                <w:color w:val="auto"/>
              </w:rPr>
            </w:pPr>
            <w:r>
              <w:rPr>
                <w:rFonts w:ascii="Times New Roman" w:cs="Times New Roman" w:eastAsia="Times New Roman" w:hAnsi="Times New Roman"/>
                <w:sz w:val="13"/>
                <w:szCs w:val="13"/>
                <w:color w:val="auto"/>
              </w:rPr>
              <w:t xml:space="preserve">Net interest margin (fully taxable equivalent) </w:t>
            </w:r>
            <w:r>
              <w:rPr>
                <w:rFonts w:ascii="Times New Roman" w:cs="Times New Roman" w:eastAsia="Times New Roman" w:hAnsi="Times New Roman"/>
                <w:sz w:val="21"/>
                <w:szCs w:val="21"/>
                <w:color w:val="auto"/>
                <w:vertAlign w:val="superscript"/>
              </w:rPr>
              <w:t>(4)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3.34</w:t>
            </w:r>
          </w:p>
        </w:tc>
        <w:tc>
          <w:tcPr>
            <w:tcW w:w="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3.41</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F0FFFF"/>
          </w:tcPr>
          <w:p>
            <w:pPr>
              <w:ind w:left="320"/>
              <w:spacing w:after="0" w:line="149" w:lineRule="exact"/>
              <w:rPr>
                <w:sz w:val="20"/>
                <w:szCs w:val="20"/>
                <w:color w:val="auto"/>
              </w:rPr>
            </w:pPr>
            <w:r>
              <w:rPr>
                <w:rFonts w:ascii="Times New Roman" w:cs="Times New Roman" w:eastAsia="Times New Roman" w:hAnsi="Times New Roman"/>
                <w:sz w:val="14"/>
                <w:szCs w:val="14"/>
                <w:color w:val="auto"/>
              </w:rPr>
              <w:t>Efficiency ratio - GAAP</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59.29</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57.65</w:t>
            </w: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60.78</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59.02</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61.94</w:t>
            </w: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320"/>
              <w:spacing w:after="0" w:line="189" w:lineRule="exact"/>
              <w:rPr>
                <w:sz w:val="20"/>
                <w:szCs w:val="20"/>
                <w:color w:val="auto"/>
              </w:rPr>
            </w:pPr>
            <w:r>
              <w:rPr>
                <w:rFonts w:ascii="Times New Roman" w:cs="Times New Roman" w:eastAsia="Times New Roman" w:hAnsi="Times New Roman"/>
                <w:sz w:val="13"/>
                <w:szCs w:val="13"/>
                <w:color w:val="auto"/>
              </w:rPr>
              <w:t xml:space="preserve">Efficiency ratio - operating </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57.35</w:t>
            </w:r>
          </w:p>
        </w:tc>
        <w:tc>
          <w:tcPr>
            <w:tcW w:w="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56.58</w:t>
            </w:r>
          </w:p>
        </w:tc>
        <w:tc>
          <w:tcPr>
            <w:tcW w:w="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57.79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57.82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59.10</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F0FFFF"/>
          </w:tcPr>
          <w:p>
            <w:pPr>
              <w:ind w:left="320"/>
              <w:spacing w:after="0" w:line="149" w:lineRule="exact"/>
              <w:rPr>
                <w:sz w:val="20"/>
                <w:szCs w:val="20"/>
                <w:color w:val="auto"/>
              </w:rPr>
            </w:pPr>
            <w:r>
              <w:rPr>
                <w:rFonts w:ascii="Times New Roman" w:cs="Times New Roman" w:eastAsia="Times New Roman" w:hAnsi="Times New Roman"/>
                <w:sz w:val="14"/>
                <w:szCs w:val="14"/>
                <w:color w:val="auto"/>
              </w:rPr>
              <w:t>Average equity to average assets</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10.24</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10.35</w:t>
            </w: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10.38</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10.72</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10.72</w:t>
            </w: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320"/>
              <w:spacing w:after="0" w:line="189" w:lineRule="exact"/>
              <w:rPr>
                <w:sz w:val="20"/>
                <w:szCs w:val="20"/>
                <w:color w:val="auto"/>
              </w:rPr>
            </w:pPr>
            <w:r>
              <w:rPr>
                <w:rFonts w:ascii="Times New Roman" w:cs="Times New Roman" w:eastAsia="Times New Roman" w:hAnsi="Times New Roman"/>
                <w:sz w:val="13"/>
                <w:szCs w:val="13"/>
                <w:color w:val="auto"/>
              </w:rPr>
              <w:t xml:space="preserve">Average tangible equity to average assets </w:t>
            </w:r>
            <w:r>
              <w:rPr>
                <w:rFonts w:ascii="Times New Roman" w:cs="Times New Roman" w:eastAsia="Times New Roman" w:hAnsi="Times New Roman"/>
                <w:sz w:val="21"/>
                <w:szCs w:val="21"/>
                <w:color w:val="auto"/>
                <w:vertAlign w:val="superscript"/>
              </w:rPr>
              <w:t>(3)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8.96</w:t>
            </w:r>
          </w:p>
        </w:tc>
        <w:tc>
          <w:tcPr>
            <w:tcW w:w="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9.04</w:t>
            </w:r>
          </w:p>
        </w:tc>
        <w:tc>
          <w:tcPr>
            <w:tcW w:w="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8.98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9.43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9.41</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F0FFFF"/>
          </w:tcPr>
          <w:p>
            <w:pPr>
              <w:ind w:left="320"/>
              <w:spacing w:after="0" w:line="189" w:lineRule="exact"/>
              <w:rPr>
                <w:sz w:val="20"/>
                <w:szCs w:val="20"/>
                <w:color w:val="auto"/>
              </w:rPr>
            </w:pPr>
            <w:r>
              <w:rPr>
                <w:rFonts w:ascii="Times New Roman" w:cs="Times New Roman" w:eastAsia="Times New Roman" w:hAnsi="Times New Roman"/>
                <w:sz w:val="13"/>
                <w:szCs w:val="13"/>
                <w:color w:val="auto"/>
              </w:rPr>
              <w:t xml:space="preserve">Average tangible common equity to average assets </w:t>
            </w:r>
            <w:r>
              <w:rPr>
                <w:rFonts w:ascii="Times New Roman" w:cs="Times New Roman" w:eastAsia="Times New Roman" w:hAnsi="Times New Roman"/>
                <w:sz w:val="21"/>
                <w:szCs w:val="21"/>
                <w:color w:val="auto"/>
                <w:vertAlign w:val="superscript"/>
              </w:rPr>
              <w:t>(3)</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8.96</w:t>
            </w:r>
          </w:p>
        </w:tc>
        <w:tc>
          <w:tcPr>
            <w:tcW w:w="8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9.04</w:t>
            </w:r>
          </w:p>
        </w:tc>
        <w:tc>
          <w:tcPr>
            <w:tcW w:w="80" w:type="dxa"/>
            <w:vAlign w:val="bottom"/>
            <w:shd w:val="clear" w:color="auto" w:fill="F0FFFF"/>
          </w:tcPr>
          <w:p>
            <w:pPr>
              <w:spacing w:after="0"/>
              <w:rPr>
                <w:sz w:val="16"/>
                <w:szCs w:val="16"/>
                <w:color w:val="auto"/>
              </w:rPr>
            </w:pPr>
          </w:p>
        </w:tc>
        <w:tc>
          <w:tcPr>
            <w:tcW w:w="78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8.98</w:t>
            </w: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9.43</w:t>
            </w: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9.32</w:t>
            </w:r>
          </w:p>
        </w:tc>
        <w:tc>
          <w:tcPr>
            <w:tcW w:w="6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320"/>
              <w:spacing w:after="0" w:line="189" w:lineRule="exact"/>
              <w:rPr>
                <w:sz w:val="20"/>
                <w:szCs w:val="20"/>
                <w:color w:val="auto"/>
              </w:rPr>
            </w:pPr>
            <w:r>
              <w:rPr>
                <w:rFonts w:ascii="Times New Roman" w:cs="Times New Roman" w:eastAsia="Times New Roman" w:hAnsi="Times New Roman"/>
                <w:sz w:val="13"/>
                <w:szCs w:val="13"/>
                <w:color w:val="auto"/>
              </w:rPr>
              <w:t xml:space="preserve">Tangible common equity to risk-weighted assets </w:t>
            </w:r>
            <w:r>
              <w:rPr>
                <w:rFonts w:ascii="Times New Roman" w:cs="Times New Roman" w:eastAsia="Times New Roman" w:hAnsi="Times New Roman"/>
                <w:sz w:val="21"/>
                <w:szCs w:val="21"/>
                <w:color w:val="auto"/>
                <w:vertAlign w:val="superscript"/>
              </w:rPr>
              <w:t>(3)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12.07</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12.87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12.77</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9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 QUALITY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Nonperforming loans</w:t>
            </w:r>
          </w:p>
        </w:tc>
        <w:tc>
          <w:tcPr>
            <w:tcW w:w="20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19,812</w:t>
            </w:r>
          </w:p>
        </w:tc>
        <w:tc>
          <w:tcPr>
            <w:tcW w:w="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21,539</w:t>
            </w:r>
          </w:p>
        </w:tc>
        <w:tc>
          <w:tcPr>
            <w:tcW w:w="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21,572</w:t>
            </w:r>
          </w:p>
        </w:tc>
        <w:tc>
          <w:tcPr>
            <w:tcW w:w="14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21,348</w:t>
            </w:r>
          </w:p>
        </w:tc>
        <w:tc>
          <w:tcPr>
            <w:tcW w:w="14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22,419</w:t>
            </w:r>
          </w:p>
        </w:tc>
        <w:tc>
          <w:tcPr>
            <w:tcW w:w="800" w:type="dxa"/>
            <w:vAlign w:val="bottom"/>
            <w:gridSpan w:val="2"/>
            <w:shd w:val="clear" w:color="auto" w:fill="F0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Foreclosed properties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5,060</w:t>
            </w: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7,949</w:t>
            </w:r>
          </w:p>
        </w:tc>
        <w:tc>
          <w:tcPr>
            <w:tcW w:w="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9,187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6,176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5,163</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Borders>
              <w:top w:val="single" w:sz="8" w:color="F0FFFF"/>
            </w:tcBorders>
            <w:shd w:val="clear" w:color="auto" w:fill="F0FFFF"/>
          </w:tcPr>
          <w:p>
            <w:pPr>
              <w:ind w:left="320"/>
              <w:spacing w:after="0" w:line="149" w:lineRule="exact"/>
              <w:rPr>
                <w:sz w:val="20"/>
                <w:szCs w:val="20"/>
                <w:color w:val="auto"/>
              </w:rPr>
            </w:pPr>
            <w:r>
              <w:rPr>
                <w:rFonts w:ascii="Times New Roman" w:cs="Times New Roman" w:eastAsia="Times New Roman" w:hAnsi="Times New Roman"/>
                <w:sz w:val="14"/>
                <w:szCs w:val="14"/>
                <w:color w:val="auto"/>
              </w:rPr>
              <w:t>Total nonperforming assets (NPAs)</w:t>
            </w:r>
          </w:p>
        </w:tc>
        <w:tc>
          <w:tcPr>
            <w:tcW w:w="1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2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24,872</w:t>
            </w:r>
          </w:p>
        </w:tc>
        <w:tc>
          <w:tcPr>
            <w:tcW w:w="2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29,488</w:t>
            </w:r>
          </w:p>
        </w:tc>
        <w:tc>
          <w:tcPr>
            <w:tcW w:w="2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30,759</w:t>
            </w:r>
          </w:p>
        </w:tc>
        <w:tc>
          <w:tcPr>
            <w:tcW w:w="18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5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27,524</w:t>
            </w:r>
          </w:p>
        </w:tc>
        <w:tc>
          <w:tcPr>
            <w:tcW w:w="18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27,582</w:t>
            </w:r>
          </w:p>
        </w:tc>
        <w:tc>
          <w:tcPr>
            <w:tcW w:w="220" w:type="dxa"/>
            <w:vAlign w:val="bottom"/>
            <w:tcBorders>
              <w:top w:val="single" w:sz="8" w:color="F0FFFF"/>
            </w:tcBorders>
            <w:shd w:val="clear" w:color="auto" w:fill="F0FFFF"/>
          </w:tcPr>
          <w:p>
            <w:pPr>
              <w:spacing w:after="0"/>
              <w:rPr>
                <w:sz w:val="12"/>
                <w:szCs w:val="12"/>
                <w:color w:val="auto"/>
              </w:rPr>
            </w:pPr>
          </w:p>
        </w:tc>
        <w:tc>
          <w:tcPr>
            <w:tcW w:w="800" w:type="dxa"/>
            <w:vAlign w:val="bottom"/>
            <w:tcBorders>
              <w:top w:val="single" w:sz="8" w:color="F0FFFF"/>
            </w:tcBorders>
            <w:gridSpan w:val="2"/>
            <w:shd w:val="clear" w:color="auto" w:fill="F0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Allowance for loan losses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60,543</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61,422</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62,961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64,253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66,310</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charge-offs</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1,679</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1,539</w:t>
            </w: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1,359</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1,730</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2,138</w:t>
            </w:r>
          </w:p>
        </w:tc>
        <w:tc>
          <w:tcPr>
            <w:tcW w:w="800" w:type="dxa"/>
            <w:vAlign w:val="bottom"/>
            <w:gridSpan w:val="2"/>
            <w:shd w:val="clear" w:color="auto" w:fill="F0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Allowance for loan losses to loans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F0FFFF"/>
          </w:tcPr>
          <w:p>
            <w:pPr>
              <w:ind w:left="160"/>
              <w:spacing w:after="0" w:line="189" w:lineRule="exact"/>
              <w:rPr>
                <w:sz w:val="20"/>
                <w:szCs w:val="20"/>
                <w:color w:val="auto"/>
              </w:rPr>
            </w:pPr>
            <w:r>
              <w:rPr>
                <w:rFonts w:ascii="Times New Roman" w:cs="Times New Roman" w:eastAsia="Times New Roman" w:hAnsi="Times New Roman"/>
                <w:sz w:val="13"/>
                <w:szCs w:val="13"/>
                <w:color w:val="auto"/>
              </w:rPr>
              <w:t xml:space="preserve">Net charge-offs to average loans </w:t>
            </w:r>
            <w:r>
              <w:rPr>
                <w:rFonts w:ascii="Times New Roman" w:cs="Times New Roman" w:eastAsia="Times New Roman" w:hAnsi="Times New Roman"/>
                <w:sz w:val="21"/>
                <w:szCs w:val="21"/>
                <w:color w:val="auto"/>
                <w:vertAlign w:val="superscript"/>
              </w:rPr>
              <w:t>(4)</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shd w:val="clear" w:color="auto" w:fill="F0FFFF"/>
          </w:tcPr>
          <w:p>
            <w:pPr>
              <w:spacing w:after="0"/>
              <w:rPr>
                <w:sz w:val="16"/>
                <w:szCs w:val="16"/>
                <w:color w:val="auto"/>
              </w:rPr>
            </w:pPr>
          </w:p>
        </w:tc>
        <w:tc>
          <w:tcPr>
            <w:tcW w:w="78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.08</w:t>
            </w: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.14</w:t>
            </w:r>
          </w:p>
        </w:tc>
        <w:tc>
          <w:tcPr>
            <w:tcW w:w="6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NPAs to loans and foreclosed properties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NPAs to total assets</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AVERAGE BALANCES </w:t>
            </w:r>
            <w:r>
              <w:rPr>
                <w:rFonts w:ascii="Times New Roman" w:cs="Times New Roman" w:eastAsia="Times New Roman" w:hAnsi="Times New Roman"/>
                <w:sz w:val="14"/>
                <w:szCs w:val="14"/>
                <w:b w:val="1"/>
                <w:bCs w:val="1"/>
                <w:i w:val="1"/>
                <w:iCs w:val="1"/>
                <w:color w:val="auto"/>
              </w:rPr>
              <w:t>($ in millions)</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6,904</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6,814</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6,675</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6,151</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6,004</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Investment securities</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2,822</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2,690</w:t>
            </w: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2,610</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2,747</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2,718</w:t>
            </w:r>
          </w:p>
        </w:tc>
        <w:tc>
          <w:tcPr>
            <w:tcW w:w="6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Earning assets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9,872</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9,665</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9,443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9,037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8,876</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10,677</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10,484</w:t>
            </w: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10,281</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9,809</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9,634</w:t>
            </w:r>
          </w:p>
        </w:tc>
        <w:tc>
          <w:tcPr>
            <w:tcW w:w="80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Deposits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8,592</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8,552</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8,307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7,897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7,947</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Shareholders’ equity</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1,093</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1,085</w:t>
            </w: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1,067</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1,051</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1,033</w:t>
            </w:r>
          </w:p>
        </w:tc>
        <w:tc>
          <w:tcPr>
            <w:tcW w:w="6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 xml:space="preserve">Common shares - basic </w:t>
            </w:r>
            <w:r>
              <w:rPr>
                <w:rFonts w:ascii="Times New Roman" w:cs="Times New Roman" w:eastAsia="Times New Roman" w:hAnsi="Times New Roman"/>
                <w:sz w:val="14"/>
                <w:szCs w:val="14"/>
                <w:i w:val="1"/>
                <w:iCs w:val="1"/>
                <w:color w:val="auto"/>
              </w:rPr>
              <w:t>(thousands)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71,700</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71,641</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71,556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72,202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72,162</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 xml:space="preserve">Common shares - diluted </w:t>
            </w:r>
            <w:r>
              <w:rPr>
                <w:rFonts w:ascii="Times New Roman" w:cs="Times New Roman" w:eastAsia="Times New Roman" w:hAnsi="Times New Roman"/>
                <w:sz w:val="14"/>
                <w:szCs w:val="14"/>
                <w:i w:val="1"/>
                <w:iCs w:val="1"/>
                <w:color w:val="auto"/>
              </w:rPr>
              <w:t>(thousands)</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71,708</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71,648</w:t>
            </w: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71,561</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72,207</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72,166</w:t>
            </w:r>
          </w:p>
        </w:tc>
        <w:tc>
          <w:tcPr>
            <w:tcW w:w="800" w:type="dxa"/>
            <w:vAlign w:val="bottom"/>
            <w:gridSpan w:val="2"/>
            <w:shd w:val="clear" w:color="auto" w:fill="F0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AT PERIOD END </w:t>
            </w:r>
            <w:r>
              <w:rPr>
                <w:rFonts w:ascii="Times New Roman" w:cs="Times New Roman" w:eastAsia="Times New Roman" w:hAnsi="Times New Roman"/>
                <w:sz w:val="14"/>
                <w:szCs w:val="14"/>
                <w:b w:val="1"/>
                <w:bCs w:val="1"/>
                <w:i w:val="1"/>
                <w:iCs w:val="1"/>
                <w:color w:val="auto"/>
              </w:rPr>
              <w:t>($ in millions)</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6,965</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6,921</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6,725</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6,287</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6,106</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Investment securities</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2,767</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2,762</w:t>
            </w: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2,560</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2,677</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2,757</w:t>
            </w:r>
          </w:p>
        </w:tc>
        <w:tc>
          <w:tcPr>
            <w:tcW w:w="6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10,732</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10,709</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10,298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9,928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9,781</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Deposits</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8,752</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8,638</w:t>
            </w: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8,442</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7,857</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7,960</w:t>
            </w:r>
          </w:p>
        </w:tc>
        <w:tc>
          <w:tcPr>
            <w:tcW w:w="6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Shareholders’ equity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1,102</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1,076</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1,060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1,034</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 xml:space="preserve">Common shares outstanding </w:t>
            </w:r>
            <w:r>
              <w:rPr>
                <w:rFonts w:ascii="Times New Roman" w:cs="Times New Roman" w:eastAsia="Times New Roman" w:hAnsi="Times New Roman"/>
                <w:sz w:val="14"/>
                <w:szCs w:val="14"/>
                <w:i w:val="1"/>
                <w:iCs w:val="1"/>
                <w:color w:val="auto"/>
              </w:rPr>
              <w:t>(thousands)</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70,973</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70,899</w:t>
            </w: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70,861</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71,122</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71,544</w:t>
            </w:r>
          </w:p>
        </w:tc>
        <w:tc>
          <w:tcPr>
            <w:tcW w:w="800" w:type="dxa"/>
            <w:vAlign w:val="bottom"/>
            <w:gridSpan w:val="2"/>
            <w:shd w:val="clear" w:color="auto" w:fill="F0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00" w:right="220" w:hanging="8"/>
        <w:spacing w:after="0" w:line="207" w:lineRule="auto"/>
        <w:tabs>
          <w:tab w:leader="none" w:pos="312" w:val="left"/>
        </w:tabs>
        <w:numPr>
          <w:ilvl w:val="0"/>
          <w:numId w:val="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 xml:space="preserve">Excludes merger-related charges, a first quarter 2017 release of disproportionate tax effects lodged in OCI and a fourth quarter 2016 deferred tax asset impairment charge related to cancelled non-qualified stock options. </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Net income available to common shareholders, which is net of preferred stock dividends, divided by average realized common equity, which excludes accumulated other comprehensive income (loss). </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 xml:space="preserve"> Excludes effect of acquisition related intangibles and associated amortization. </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17"/>
          <w:szCs w:val="17"/>
          <w:color w:val="auto"/>
        </w:rPr>
        <w:t xml:space="preserve"> Annualized.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907"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Table 1 (Continued) Non-GAAP Performance Measures Reconciliation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0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35673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56735" cy="1714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Expense reconciliation</w:t>
      </w:r>
    </w:p>
    <w:p>
      <w:pPr>
        <w:spacing w:after="0" w:line="229" w:lineRule="auto"/>
        <w:rPr>
          <w:sz w:val="20"/>
          <w:szCs w:val="20"/>
          <w:color w:val="auto"/>
        </w:rPr>
      </w:pPr>
      <w:r>
        <w:rPr>
          <w:rFonts w:ascii="Times New Roman" w:cs="Times New Roman" w:eastAsia="Times New Roman" w:hAnsi="Times New Roman"/>
          <w:sz w:val="14"/>
          <w:szCs w:val="14"/>
          <w:color w:val="auto"/>
        </w:rPr>
        <w:t>Expenses (GAAP)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Merger-related and other charges</w:t>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Expenses - operating</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7"/>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First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Fourth</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Third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Second</w:t>
            </w:r>
          </w:p>
        </w:tc>
        <w:tc>
          <w:tcPr>
            <w:tcW w:w="80" w:type="dxa"/>
            <w:vAlign w:val="bottom"/>
          </w:tcPr>
          <w:p>
            <w:pPr>
              <w:spacing w:after="0"/>
              <w:rPr>
                <w:sz w:val="11"/>
                <w:szCs w:val="11"/>
                <w:color w:val="auto"/>
              </w:rPr>
            </w:pPr>
          </w:p>
        </w:tc>
        <w:tc>
          <w:tcPr>
            <w:tcW w:w="600" w:type="dxa"/>
            <w:vAlign w:val="bottom"/>
          </w:tcPr>
          <w:p>
            <w:pPr>
              <w:jc w:val="right"/>
              <w:ind w:right="128"/>
              <w:spacing w:after="0" w:line="137" w:lineRule="exact"/>
              <w:rPr>
                <w:sz w:val="20"/>
                <w:szCs w:val="20"/>
                <w:color w:val="auto"/>
              </w:rPr>
            </w:pPr>
            <w:r>
              <w:rPr>
                <w:rFonts w:ascii="Times New Roman" w:cs="Times New Roman" w:eastAsia="Times New Roman" w:hAnsi="Times New Roman"/>
                <w:sz w:val="14"/>
                <w:szCs w:val="14"/>
                <w:b w:val="1"/>
                <w:bCs w:val="1"/>
                <w:color w:val="auto"/>
              </w:rPr>
              <w:t>First</w:t>
            </w:r>
          </w:p>
        </w:tc>
        <w:tc>
          <w:tcPr>
            <w:tcW w:w="40" w:type="dxa"/>
            <w:vAlign w:val="bottom"/>
            <w:gridSpan w:val="2"/>
          </w:tcPr>
          <w:p>
            <w:pPr>
              <w:spacing w:after="0"/>
              <w:rPr>
                <w:sz w:val="11"/>
                <w:szCs w:val="11"/>
                <w:color w:val="auto"/>
              </w:rPr>
            </w:pPr>
          </w:p>
        </w:tc>
      </w:tr>
      <w:tr>
        <w:trPr>
          <w:trHeight w:val="180"/>
        </w:trPr>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7"/>
              </w:rPr>
              <w:t>Quarter</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40" w:type="dxa"/>
            <w:vAlign w:val="bottom"/>
            <w:gridSpan w:val="2"/>
          </w:tcPr>
          <w:p>
            <w:pPr>
              <w:spacing w:after="0"/>
              <w:rPr>
                <w:sz w:val="15"/>
                <w:szCs w:val="15"/>
                <w:color w:val="auto"/>
              </w:rPr>
            </w:pPr>
          </w:p>
        </w:tc>
      </w:tr>
      <w:tr>
        <w:trPr>
          <w:trHeight w:val="423"/>
        </w:trPr>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62,826</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61,321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64,023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58,060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57,885</w:t>
            </w:r>
          </w:p>
        </w:tc>
        <w:tc>
          <w:tcPr>
            <w:tcW w:w="20" w:type="dxa"/>
            <w:vAlign w:val="bottom"/>
          </w:tcPr>
          <w:p>
            <w:pPr>
              <w:spacing w:after="0"/>
              <w:rPr>
                <w:sz w:val="24"/>
                <w:szCs w:val="24"/>
                <w:color w:val="auto"/>
              </w:rPr>
            </w:pPr>
          </w:p>
        </w:tc>
      </w:tr>
      <w:tr>
        <w:trPr>
          <w:trHeight w:val="192"/>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(2,054)</w:t>
            </w:r>
          </w:p>
        </w:tc>
        <w:tc>
          <w:tcPr>
            <w:tcW w:w="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(1,141)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(3,152)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(1,176)</w:t>
            </w:r>
          </w:p>
        </w:tc>
        <w:tc>
          <w:tcPr>
            <w:tcW w:w="8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(2,653)</w:t>
            </w:r>
          </w:p>
        </w:tc>
      </w:tr>
      <w:tr>
        <w:trPr>
          <w:trHeight w:val="162"/>
        </w:trPr>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60,772</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60,180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60,871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56,884</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55,232</w:t>
            </w:r>
          </w:p>
        </w:tc>
        <w:tc>
          <w:tcPr>
            <w:tcW w:w="2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-445135</wp:posOffset>
            </wp:positionV>
            <wp:extent cx="7246620" cy="946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-256540</wp:posOffset>
            </wp:positionV>
            <wp:extent cx="7246620" cy="1117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280" w:space="720"/>
            <w:col w:w="4420"/>
          </w:cols>
          <w:pgMar w:left="240" w:top="576" w:right="239" w:bottom="1076"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vMerge w:val="restart"/>
          </w:tcPr>
          <w:p>
            <w:pPr>
              <w:spacing w:after="0"/>
              <w:rPr>
                <w:sz w:val="11"/>
                <w:szCs w:val="11"/>
                <w:color w:val="auto"/>
              </w:rPr>
            </w:pPr>
          </w:p>
        </w:tc>
        <w:tc>
          <w:tcPr>
            <w:tcW w:w="5580" w:type="dxa"/>
            <w:vAlign w:val="bottom"/>
            <w:shd w:val="clear" w:color="auto" w:fill="F0FFFF"/>
          </w:tcPr>
          <w:p>
            <w:pPr>
              <w:spacing w:after="0"/>
              <w:rPr>
                <w:sz w:val="11"/>
                <w:szCs w:val="11"/>
                <w:color w:val="auto"/>
              </w:rPr>
            </w:pPr>
          </w:p>
        </w:tc>
        <w:tc>
          <w:tcPr>
            <w:tcW w:w="14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5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 reconciliation</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Net income (GAAP)</w:t>
            </w:r>
          </w:p>
        </w:tc>
        <w:tc>
          <w:tcPr>
            <w:tcW w:w="1580" w:type="dxa"/>
            <w:vAlign w:val="bottom"/>
            <w:gridSpan w:val="2"/>
            <w:shd w:val="clear" w:color="auto" w:fill="F0FF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F0FF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23,524</w:t>
            </w:r>
          </w:p>
        </w:tc>
        <w:tc>
          <w:tcPr>
            <w:tcW w:w="180" w:type="dxa"/>
            <w:vAlign w:val="bottom"/>
            <w:shd w:val="clear" w:color="auto" w:fill="F0F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27,221</w:t>
            </w:r>
          </w:p>
        </w:tc>
        <w:tc>
          <w:tcPr>
            <w:tcW w:w="220" w:type="dxa"/>
            <w:vAlign w:val="bottom"/>
            <w:gridSpan w:val="2"/>
            <w:shd w:val="clear" w:color="auto" w:fill="F0FF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25,874</w:t>
            </w:r>
          </w:p>
        </w:tc>
        <w:tc>
          <w:tcPr>
            <w:tcW w:w="240" w:type="dxa"/>
            <w:vAlign w:val="bottom"/>
            <w:gridSpan w:val="2"/>
            <w:shd w:val="clear" w:color="auto" w:fill="F0F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F0FF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25,266</w:t>
            </w:r>
          </w:p>
        </w:tc>
        <w:tc>
          <w:tcPr>
            <w:tcW w:w="180" w:type="dxa"/>
            <w:vAlign w:val="bottom"/>
            <w:shd w:val="clear" w:color="auto" w:fill="F0F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F0F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22,295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Merger-related and other charges</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2,054</w:t>
            </w:r>
          </w:p>
        </w:tc>
        <w:tc>
          <w:tcPr>
            <w:tcW w:w="180" w:type="dxa"/>
            <w:vAlign w:val="bottom"/>
          </w:tcPr>
          <w:p>
            <w:pPr>
              <w:spacing w:after="0"/>
              <w:rPr>
                <w:sz w:val="12"/>
                <w:szCs w:val="12"/>
                <w:color w:val="auto"/>
              </w:rPr>
            </w:pPr>
          </w:p>
        </w:tc>
        <w:tc>
          <w:tcPr>
            <w:tcW w:w="68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1,141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3,152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1,176</w:t>
            </w:r>
          </w:p>
        </w:tc>
        <w:tc>
          <w:tcPr>
            <w:tcW w:w="180" w:type="dxa"/>
            <w:vAlign w:val="bottom"/>
          </w:tcPr>
          <w:p>
            <w:pPr>
              <w:spacing w:after="0"/>
              <w:rPr>
                <w:sz w:val="12"/>
                <w:szCs w:val="12"/>
                <w:color w:val="auto"/>
              </w:rPr>
            </w:pPr>
          </w:p>
        </w:tc>
        <w:tc>
          <w:tcPr>
            <w:tcW w:w="6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Income tax benefit of merger-related and other charges</w:t>
            </w:r>
          </w:p>
        </w:tc>
        <w:tc>
          <w:tcPr>
            <w:tcW w:w="14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(758)</w:t>
            </w:r>
          </w:p>
        </w:tc>
        <w:tc>
          <w:tcPr>
            <w:tcW w:w="18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(1,193)</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180" w:type="dxa"/>
            <w:vAlign w:val="bottom"/>
            <w:shd w:val="clear" w:color="auto" w:fill="F0FFFF"/>
          </w:tcPr>
          <w:p>
            <w:pPr>
              <w:spacing w:after="0"/>
              <w:rPr>
                <w:sz w:val="12"/>
                <w:szCs w:val="12"/>
                <w:color w:val="auto"/>
              </w:rPr>
            </w:pPr>
          </w:p>
        </w:tc>
        <w:tc>
          <w:tcPr>
            <w:tcW w:w="620" w:type="dxa"/>
            <w:vAlign w:val="bottom"/>
            <w:gridSpan w:val="2"/>
            <w:shd w:val="clear" w:color="auto" w:fill="F0FF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Impairment of deferred tax asset on canceled non-qualified stock options</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58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Release of disproportionate tax effects lodged in OCI</w:t>
            </w:r>
          </w:p>
        </w:tc>
        <w:tc>
          <w:tcPr>
            <w:tcW w:w="140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720" w:type="dxa"/>
            <w:vAlign w:val="bottom"/>
            <w:gridSpan w:val="2"/>
            <w:shd w:val="clear" w:color="auto" w:fill="F0FFFF"/>
          </w:tcPr>
          <w:p>
            <w:pPr>
              <w:jc w:val="right"/>
              <w:ind w:right="148"/>
              <w:spacing w:after="0"/>
              <w:rPr>
                <w:sz w:val="20"/>
                <w:szCs w:val="20"/>
                <w:color w:val="auto"/>
              </w:rPr>
            </w:pPr>
            <w:r>
              <w:rPr>
                <w:rFonts w:ascii="Times New Roman" w:cs="Times New Roman" w:eastAsia="Times New Roman" w:hAnsi="Times New Roman"/>
                <w:sz w:val="14"/>
                <w:szCs w:val="14"/>
                <w:color w:val="auto"/>
              </w:rPr>
              <w:t>3,400</w:t>
            </w:r>
          </w:p>
        </w:tc>
        <w:tc>
          <w:tcPr>
            <w:tcW w:w="180" w:type="dxa"/>
            <w:vAlign w:val="bottom"/>
            <w:shd w:val="clear" w:color="auto" w:fill="F0FFFF"/>
          </w:tcPr>
          <w:p>
            <w:pPr>
              <w:spacing w:after="0"/>
              <w:rPr>
                <w:sz w:val="15"/>
                <w:szCs w:val="15"/>
                <w:color w:val="auto"/>
              </w:rPr>
            </w:pPr>
          </w:p>
        </w:tc>
        <w:tc>
          <w:tcPr>
            <w:tcW w:w="5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680" w:type="dxa"/>
            <w:vAlign w:val="bottom"/>
            <w:gridSpan w:val="2"/>
            <w:shd w:val="clear" w:color="auto" w:fill="F0FF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720" w:type="dxa"/>
            <w:vAlign w:val="bottom"/>
            <w:gridSpan w:val="2"/>
            <w:shd w:val="clear" w:color="auto" w:fill="F0FF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F0FFFF"/>
          </w:tcPr>
          <w:p>
            <w:pPr>
              <w:spacing w:after="0"/>
              <w:rPr>
                <w:sz w:val="15"/>
                <w:szCs w:val="15"/>
                <w:color w:val="auto"/>
              </w:rPr>
            </w:pPr>
          </w:p>
        </w:tc>
        <w:tc>
          <w:tcPr>
            <w:tcW w:w="5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Borders>
              <w:top w:val="single" w:sz="8" w:color="F0FFFF"/>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income - operating</w:t>
            </w:r>
          </w:p>
        </w:tc>
        <w:tc>
          <w:tcPr>
            <w:tcW w:w="140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28,220</w:t>
            </w:r>
          </w:p>
        </w:tc>
        <w:tc>
          <w:tcPr>
            <w:tcW w:w="22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28,906</w:t>
            </w:r>
          </w:p>
        </w:tc>
        <w:tc>
          <w:tcPr>
            <w:tcW w:w="180" w:type="dxa"/>
            <w:vAlign w:val="bottom"/>
            <w:tcBorders>
              <w:top w:val="single" w:sz="8" w:color="F0FFFF"/>
            </w:tcBorders>
          </w:tcPr>
          <w:p>
            <w:pPr>
              <w:spacing w:after="0"/>
              <w:rPr>
                <w:sz w:val="12"/>
                <w:szCs w:val="12"/>
                <w:color w:val="auto"/>
              </w:rPr>
            </w:pPr>
          </w:p>
        </w:tc>
        <w:tc>
          <w:tcPr>
            <w:tcW w:w="60" w:type="dxa"/>
            <w:vAlign w:val="bottom"/>
            <w:tcBorders>
              <w:top w:val="single" w:sz="8" w:color="F0FF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27,833</w:t>
            </w:r>
          </w:p>
        </w:tc>
        <w:tc>
          <w:tcPr>
            <w:tcW w:w="180" w:type="dxa"/>
            <w:vAlign w:val="bottom"/>
            <w:tcBorders>
              <w:top w:val="single" w:sz="8" w:color="F0FFFF"/>
            </w:tcBorders>
          </w:tcPr>
          <w:p>
            <w:pPr>
              <w:spacing w:after="0"/>
              <w:rPr>
                <w:sz w:val="12"/>
                <w:szCs w:val="12"/>
                <w:color w:val="auto"/>
              </w:rPr>
            </w:pPr>
          </w:p>
        </w:tc>
        <w:tc>
          <w:tcPr>
            <w:tcW w:w="6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25,997</w:t>
            </w:r>
          </w:p>
        </w:tc>
        <w:tc>
          <w:tcPr>
            <w:tcW w:w="22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23,944</w:t>
            </w:r>
          </w:p>
        </w:tc>
        <w:tc>
          <w:tcPr>
            <w:tcW w:w="12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bottom w:val="single" w:sz="8" w:color="F0FFFF"/>
            </w:tcBorders>
          </w:tcPr>
          <w:p>
            <w:pPr>
              <w:spacing w:after="0" w:line="20" w:lineRule="exact"/>
              <w:rPr>
                <w:sz w:val="1"/>
                <w:szCs w:val="1"/>
                <w:color w:val="auto"/>
              </w:rPr>
            </w:pPr>
          </w:p>
        </w:tc>
        <w:tc>
          <w:tcPr>
            <w:tcW w:w="140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580" w:type="dxa"/>
            <w:vAlign w:val="bottom"/>
            <w:shd w:val="clear" w:color="auto" w:fill="F0FFFF"/>
          </w:tcPr>
          <w:p>
            <w:pPr>
              <w:spacing w:after="0"/>
              <w:rPr>
                <w:sz w:val="12"/>
                <w:szCs w:val="12"/>
                <w:color w:val="auto"/>
              </w:rPr>
            </w:pPr>
          </w:p>
        </w:tc>
        <w:tc>
          <w:tcPr>
            <w:tcW w:w="14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 available to common shareholders reconciliation</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Net income available to common shareholders (GAAP)</w:t>
            </w:r>
          </w:p>
        </w:tc>
        <w:tc>
          <w:tcPr>
            <w:tcW w:w="1580" w:type="dxa"/>
            <w:vAlign w:val="bottom"/>
            <w:gridSpan w:val="2"/>
            <w:shd w:val="clear" w:color="auto" w:fill="F0FF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F0FF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23,524</w:t>
            </w:r>
          </w:p>
        </w:tc>
        <w:tc>
          <w:tcPr>
            <w:tcW w:w="180" w:type="dxa"/>
            <w:vAlign w:val="bottom"/>
            <w:shd w:val="clear" w:color="auto" w:fill="F0F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27,221</w:t>
            </w:r>
          </w:p>
        </w:tc>
        <w:tc>
          <w:tcPr>
            <w:tcW w:w="220" w:type="dxa"/>
            <w:vAlign w:val="bottom"/>
            <w:gridSpan w:val="2"/>
            <w:shd w:val="clear" w:color="auto" w:fill="F0FF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25,874</w:t>
            </w:r>
          </w:p>
        </w:tc>
        <w:tc>
          <w:tcPr>
            <w:tcW w:w="240" w:type="dxa"/>
            <w:vAlign w:val="bottom"/>
            <w:gridSpan w:val="2"/>
            <w:shd w:val="clear" w:color="auto" w:fill="F0F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F0FF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25,266</w:t>
            </w:r>
          </w:p>
        </w:tc>
        <w:tc>
          <w:tcPr>
            <w:tcW w:w="180" w:type="dxa"/>
            <w:vAlign w:val="bottom"/>
            <w:shd w:val="clear" w:color="auto" w:fill="F0F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F0F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22,274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Merger-related and other charges</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2,054</w:t>
            </w:r>
          </w:p>
        </w:tc>
        <w:tc>
          <w:tcPr>
            <w:tcW w:w="180" w:type="dxa"/>
            <w:vAlign w:val="bottom"/>
          </w:tcPr>
          <w:p>
            <w:pPr>
              <w:spacing w:after="0"/>
              <w:rPr>
                <w:sz w:val="12"/>
                <w:szCs w:val="12"/>
                <w:color w:val="auto"/>
              </w:rPr>
            </w:pPr>
          </w:p>
        </w:tc>
        <w:tc>
          <w:tcPr>
            <w:tcW w:w="68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1,141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3,152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1,176</w:t>
            </w:r>
          </w:p>
        </w:tc>
        <w:tc>
          <w:tcPr>
            <w:tcW w:w="180" w:type="dxa"/>
            <w:vAlign w:val="bottom"/>
          </w:tcPr>
          <w:p>
            <w:pPr>
              <w:spacing w:after="0"/>
              <w:rPr>
                <w:sz w:val="12"/>
                <w:szCs w:val="12"/>
                <w:color w:val="auto"/>
              </w:rPr>
            </w:pPr>
          </w:p>
        </w:tc>
        <w:tc>
          <w:tcPr>
            <w:tcW w:w="6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Income tax benefit of merger-related and other charges</w:t>
            </w:r>
          </w:p>
        </w:tc>
        <w:tc>
          <w:tcPr>
            <w:tcW w:w="14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(758)</w:t>
            </w:r>
          </w:p>
        </w:tc>
        <w:tc>
          <w:tcPr>
            <w:tcW w:w="18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(1,193)</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180" w:type="dxa"/>
            <w:vAlign w:val="bottom"/>
            <w:shd w:val="clear" w:color="auto" w:fill="F0FFFF"/>
          </w:tcPr>
          <w:p>
            <w:pPr>
              <w:spacing w:after="0"/>
              <w:rPr>
                <w:sz w:val="12"/>
                <w:szCs w:val="12"/>
                <w:color w:val="auto"/>
              </w:rPr>
            </w:pPr>
          </w:p>
        </w:tc>
        <w:tc>
          <w:tcPr>
            <w:tcW w:w="620" w:type="dxa"/>
            <w:vAlign w:val="bottom"/>
            <w:gridSpan w:val="2"/>
            <w:shd w:val="clear" w:color="auto" w:fill="F0FF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Impairment of deferred tax asset on canceled non-qualified stock options</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58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Release of disproportionate tax effects lodged in OCI</w:t>
            </w:r>
          </w:p>
        </w:tc>
        <w:tc>
          <w:tcPr>
            <w:tcW w:w="140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720" w:type="dxa"/>
            <w:vAlign w:val="bottom"/>
            <w:gridSpan w:val="2"/>
            <w:shd w:val="clear" w:color="auto" w:fill="F0FFFF"/>
          </w:tcPr>
          <w:p>
            <w:pPr>
              <w:jc w:val="right"/>
              <w:ind w:right="148"/>
              <w:spacing w:after="0"/>
              <w:rPr>
                <w:sz w:val="20"/>
                <w:szCs w:val="20"/>
                <w:color w:val="auto"/>
              </w:rPr>
            </w:pPr>
            <w:r>
              <w:rPr>
                <w:rFonts w:ascii="Times New Roman" w:cs="Times New Roman" w:eastAsia="Times New Roman" w:hAnsi="Times New Roman"/>
                <w:sz w:val="14"/>
                <w:szCs w:val="14"/>
                <w:color w:val="auto"/>
              </w:rPr>
              <w:t>3,400</w:t>
            </w:r>
          </w:p>
        </w:tc>
        <w:tc>
          <w:tcPr>
            <w:tcW w:w="180" w:type="dxa"/>
            <w:vAlign w:val="bottom"/>
            <w:shd w:val="clear" w:color="auto" w:fill="F0FFFF"/>
          </w:tcPr>
          <w:p>
            <w:pPr>
              <w:spacing w:after="0"/>
              <w:rPr>
                <w:sz w:val="15"/>
                <w:szCs w:val="15"/>
                <w:color w:val="auto"/>
              </w:rPr>
            </w:pPr>
          </w:p>
        </w:tc>
        <w:tc>
          <w:tcPr>
            <w:tcW w:w="5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680" w:type="dxa"/>
            <w:vAlign w:val="bottom"/>
            <w:gridSpan w:val="2"/>
            <w:shd w:val="clear" w:color="auto" w:fill="F0FF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720" w:type="dxa"/>
            <w:vAlign w:val="bottom"/>
            <w:gridSpan w:val="2"/>
            <w:shd w:val="clear" w:color="auto" w:fill="F0FF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F0FFFF"/>
          </w:tcPr>
          <w:p>
            <w:pPr>
              <w:spacing w:after="0"/>
              <w:rPr>
                <w:sz w:val="15"/>
                <w:szCs w:val="15"/>
                <w:color w:val="auto"/>
              </w:rPr>
            </w:pPr>
          </w:p>
        </w:tc>
        <w:tc>
          <w:tcPr>
            <w:tcW w:w="5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Borders>
              <w:top w:val="single" w:sz="8" w:color="F0FFFF"/>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income available to common shareholders - operating</w:t>
            </w:r>
          </w:p>
        </w:tc>
        <w:tc>
          <w:tcPr>
            <w:tcW w:w="140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28,220</w:t>
            </w:r>
          </w:p>
        </w:tc>
        <w:tc>
          <w:tcPr>
            <w:tcW w:w="22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28,906</w:t>
            </w:r>
          </w:p>
        </w:tc>
        <w:tc>
          <w:tcPr>
            <w:tcW w:w="180" w:type="dxa"/>
            <w:vAlign w:val="bottom"/>
            <w:tcBorders>
              <w:top w:val="single" w:sz="8" w:color="F0FFFF"/>
            </w:tcBorders>
          </w:tcPr>
          <w:p>
            <w:pPr>
              <w:spacing w:after="0"/>
              <w:rPr>
                <w:sz w:val="12"/>
                <w:szCs w:val="12"/>
                <w:color w:val="auto"/>
              </w:rPr>
            </w:pPr>
          </w:p>
        </w:tc>
        <w:tc>
          <w:tcPr>
            <w:tcW w:w="60" w:type="dxa"/>
            <w:vAlign w:val="bottom"/>
            <w:tcBorders>
              <w:top w:val="single" w:sz="8" w:color="F0FF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27,833</w:t>
            </w:r>
          </w:p>
        </w:tc>
        <w:tc>
          <w:tcPr>
            <w:tcW w:w="180" w:type="dxa"/>
            <w:vAlign w:val="bottom"/>
            <w:tcBorders>
              <w:top w:val="single" w:sz="8" w:color="F0FFFF"/>
            </w:tcBorders>
          </w:tcPr>
          <w:p>
            <w:pPr>
              <w:spacing w:after="0"/>
              <w:rPr>
                <w:sz w:val="12"/>
                <w:szCs w:val="12"/>
                <w:color w:val="auto"/>
              </w:rPr>
            </w:pPr>
          </w:p>
        </w:tc>
        <w:tc>
          <w:tcPr>
            <w:tcW w:w="6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25,997</w:t>
            </w:r>
          </w:p>
        </w:tc>
        <w:tc>
          <w:tcPr>
            <w:tcW w:w="22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23,923</w:t>
            </w:r>
          </w:p>
        </w:tc>
        <w:tc>
          <w:tcPr>
            <w:tcW w:w="12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bottom w:val="single" w:sz="8" w:color="F0FFFF"/>
            </w:tcBorders>
          </w:tcPr>
          <w:p>
            <w:pPr>
              <w:spacing w:after="0" w:line="20" w:lineRule="exact"/>
              <w:rPr>
                <w:sz w:val="1"/>
                <w:szCs w:val="1"/>
                <w:color w:val="auto"/>
              </w:rPr>
            </w:pPr>
          </w:p>
        </w:tc>
        <w:tc>
          <w:tcPr>
            <w:tcW w:w="140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580" w:type="dxa"/>
            <w:vAlign w:val="bottom"/>
            <w:shd w:val="clear" w:color="auto" w:fill="F0FFFF"/>
          </w:tcPr>
          <w:p>
            <w:pPr>
              <w:spacing w:after="0"/>
              <w:rPr>
                <w:sz w:val="12"/>
                <w:szCs w:val="12"/>
                <w:color w:val="auto"/>
              </w:rPr>
            </w:pPr>
          </w:p>
        </w:tc>
        <w:tc>
          <w:tcPr>
            <w:tcW w:w="14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Diluted income per common share reconciliation</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Diluted income per common share (GAAP)</w:t>
            </w:r>
          </w:p>
        </w:tc>
        <w:tc>
          <w:tcPr>
            <w:tcW w:w="1580" w:type="dxa"/>
            <w:vAlign w:val="bottom"/>
            <w:gridSpan w:val="2"/>
            <w:shd w:val="clear" w:color="auto" w:fill="F0FF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F0FF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80" w:type="dxa"/>
            <w:vAlign w:val="bottom"/>
            <w:shd w:val="clear" w:color="auto" w:fill="F0F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20" w:type="dxa"/>
            <w:vAlign w:val="bottom"/>
            <w:gridSpan w:val="2"/>
            <w:shd w:val="clear" w:color="auto" w:fill="F0FF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240" w:type="dxa"/>
            <w:vAlign w:val="bottom"/>
            <w:gridSpan w:val="2"/>
            <w:shd w:val="clear" w:color="auto" w:fill="F0F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F0FF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80" w:type="dxa"/>
            <w:vAlign w:val="bottom"/>
            <w:shd w:val="clear" w:color="auto" w:fill="F0F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F0F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Merger-related and other charges</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80" w:type="dxa"/>
            <w:vAlign w:val="bottom"/>
          </w:tcPr>
          <w:p>
            <w:pPr>
              <w:spacing w:after="0"/>
              <w:rPr>
                <w:sz w:val="12"/>
                <w:szCs w:val="12"/>
                <w:color w:val="auto"/>
              </w:rPr>
            </w:pPr>
          </w:p>
        </w:tc>
        <w:tc>
          <w:tcPr>
            <w:tcW w:w="68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80" w:type="dxa"/>
            <w:vAlign w:val="bottom"/>
          </w:tcPr>
          <w:p>
            <w:pPr>
              <w:spacing w:after="0"/>
              <w:rPr>
                <w:sz w:val="12"/>
                <w:szCs w:val="12"/>
                <w:color w:val="auto"/>
              </w:rPr>
            </w:pPr>
          </w:p>
        </w:tc>
        <w:tc>
          <w:tcPr>
            <w:tcW w:w="6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Impairment of deferred tax asset on canceled non-qualified stock options</w:t>
            </w:r>
          </w:p>
        </w:tc>
        <w:tc>
          <w:tcPr>
            <w:tcW w:w="14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F0FFFF"/>
          </w:tcPr>
          <w:p>
            <w:pPr>
              <w:spacing w:after="0"/>
              <w:rPr>
                <w:sz w:val="12"/>
                <w:szCs w:val="12"/>
                <w:color w:val="auto"/>
              </w:rPr>
            </w:pPr>
          </w:p>
        </w:tc>
        <w:tc>
          <w:tcPr>
            <w:tcW w:w="5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Release of disproportionate tax effects lodged in OCI</w:t>
            </w: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.05</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558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4"/>
                <w:szCs w:val="14"/>
                <w:color w:val="auto"/>
              </w:rPr>
              <w:t>Diluted income per common share - operating</w:t>
            </w:r>
          </w:p>
        </w:tc>
        <w:tc>
          <w:tcPr>
            <w:tcW w:w="1400" w:type="dxa"/>
            <w:vAlign w:val="bottom"/>
            <w:tcBorders>
              <w:top w:val="single" w:sz="8" w:color="F0FFFF"/>
              <w:bottom w:val="single" w:sz="8" w:color="F0FFFF"/>
            </w:tcBorders>
            <w:shd w:val="clear" w:color="auto" w:fill="F0FFFF"/>
          </w:tcPr>
          <w:p>
            <w:pPr>
              <w:spacing w:after="0"/>
              <w:rPr>
                <w:sz w:val="15"/>
                <w:szCs w:val="15"/>
                <w:color w:val="auto"/>
              </w:rPr>
            </w:pPr>
          </w:p>
        </w:tc>
        <w:tc>
          <w:tcPr>
            <w:tcW w:w="180" w:type="dxa"/>
            <w:vAlign w:val="bottom"/>
            <w:tcBorders>
              <w:top w:val="single" w:sz="8" w:color="auto"/>
              <w:bottom w:val="single" w:sz="8" w:color="auto"/>
            </w:tcBorders>
            <w:shd w:val="clear" w:color="auto" w:fill="F0FF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18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80" w:type="dxa"/>
            <w:vAlign w:val="bottom"/>
            <w:tcBorders>
              <w:top w:val="single" w:sz="8" w:color="F0FFFF"/>
              <w:bottom w:val="single" w:sz="8" w:color="F0FFFF"/>
            </w:tcBorders>
            <w:shd w:val="clear" w:color="auto" w:fill="F0FFFF"/>
          </w:tcPr>
          <w:p>
            <w:pPr>
              <w:spacing w:after="0"/>
              <w:rPr>
                <w:sz w:val="15"/>
                <w:szCs w:val="15"/>
                <w:color w:val="auto"/>
              </w:rPr>
            </w:pPr>
          </w:p>
        </w:tc>
        <w:tc>
          <w:tcPr>
            <w:tcW w:w="60" w:type="dxa"/>
            <w:vAlign w:val="bottom"/>
            <w:tcBorders>
              <w:top w:val="single" w:sz="8" w:color="F0FFFF"/>
              <w:bottom w:val="single" w:sz="8" w:color="F0FFFF"/>
            </w:tcBorders>
            <w:shd w:val="clear" w:color="auto" w:fill="F0FFFF"/>
          </w:tcPr>
          <w:p>
            <w:pPr>
              <w:spacing w:after="0"/>
              <w:rPr>
                <w:sz w:val="15"/>
                <w:szCs w:val="15"/>
                <w:color w:val="auto"/>
              </w:rPr>
            </w:pPr>
          </w:p>
        </w:tc>
        <w:tc>
          <w:tcPr>
            <w:tcW w:w="160" w:type="dxa"/>
            <w:vAlign w:val="bottom"/>
            <w:tcBorders>
              <w:top w:val="single" w:sz="8" w:color="auto"/>
              <w:bottom w:val="single" w:sz="8" w:color="auto"/>
            </w:tcBorders>
            <w:shd w:val="clear" w:color="auto" w:fill="F0FF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80" w:type="dxa"/>
            <w:vAlign w:val="bottom"/>
            <w:tcBorders>
              <w:top w:val="single" w:sz="8" w:color="F0FFFF"/>
              <w:bottom w:val="single" w:sz="8" w:color="F0FFFF"/>
            </w:tcBorders>
            <w:shd w:val="clear" w:color="auto" w:fill="F0FFFF"/>
          </w:tcPr>
          <w:p>
            <w:pPr>
              <w:spacing w:after="0"/>
              <w:rPr>
                <w:sz w:val="15"/>
                <w:szCs w:val="15"/>
                <w:color w:val="auto"/>
              </w:rPr>
            </w:pPr>
          </w:p>
        </w:tc>
        <w:tc>
          <w:tcPr>
            <w:tcW w:w="60" w:type="dxa"/>
            <w:vAlign w:val="bottom"/>
            <w:tcBorders>
              <w:top w:val="single" w:sz="8" w:color="F0FFFF"/>
              <w:bottom w:val="single" w:sz="8" w:color="F0FFFF"/>
            </w:tcBorders>
            <w:shd w:val="clear" w:color="auto" w:fill="F0FFFF"/>
          </w:tcPr>
          <w:p>
            <w:pPr>
              <w:spacing w:after="0"/>
              <w:rPr>
                <w:sz w:val="15"/>
                <w:szCs w:val="15"/>
                <w:color w:val="auto"/>
              </w:rPr>
            </w:pPr>
          </w:p>
        </w:tc>
        <w:tc>
          <w:tcPr>
            <w:tcW w:w="18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18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F0FFFF"/>
            </w:tcBorders>
          </w:tcPr>
          <w:p>
            <w:pPr>
              <w:spacing w:after="0" w:line="20" w:lineRule="exact"/>
              <w:rPr>
                <w:sz w:val="1"/>
                <w:szCs w:val="1"/>
                <w:color w:val="auto"/>
              </w:rPr>
            </w:pPr>
          </w:p>
        </w:tc>
        <w:tc>
          <w:tcPr>
            <w:tcW w:w="14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5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50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50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5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5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55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8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Book value per common share reconciliation</w:t>
            </w:r>
          </w:p>
        </w:tc>
        <w:tc>
          <w:tcPr>
            <w:tcW w:w="14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Book value per common share (GAAP)</w:t>
            </w:r>
          </w:p>
        </w:tc>
        <w:tc>
          <w:tcPr>
            <w:tcW w:w="158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15.40</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15.06</w:t>
            </w:r>
          </w:p>
        </w:tc>
        <w:tc>
          <w:tcPr>
            <w:tcW w:w="22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15.12</w:t>
            </w:r>
          </w:p>
        </w:tc>
        <w:tc>
          <w:tcPr>
            <w:tcW w:w="2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14.80</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14.35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58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Effect of goodwill and other intangibles</w:t>
            </w:r>
          </w:p>
        </w:tc>
        <w:tc>
          <w:tcPr>
            <w:tcW w:w="140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720" w:type="dxa"/>
            <w:vAlign w:val="bottom"/>
            <w:gridSpan w:val="2"/>
            <w:shd w:val="clear" w:color="auto" w:fill="F0FFFF"/>
          </w:tcPr>
          <w:p>
            <w:pPr>
              <w:jc w:val="right"/>
              <w:ind w:right="108"/>
              <w:spacing w:after="0"/>
              <w:rPr>
                <w:sz w:val="20"/>
                <w:szCs w:val="20"/>
                <w:color w:val="auto"/>
              </w:rPr>
            </w:pPr>
            <w:r>
              <w:rPr>
                <w:rFonts w:ascii="Times New Roman" w:cs="Times New Roman" w:eastAsia="Times New Roman" w:hAnsi="Times New Roman"/>
                <w:sz w:val="14"/>
                <w:szCs w:val="14"/>
                <w:color w:val="auto"/>
              </w:rPr>
              <w:t>(2.10)</w:t>
            </w:r>
          </w:p>
        </w:tc>
        <w:tc>
          <w:tcPr>
            <w:tcW w:w="180" w:type="dxa"/>
            <w:vAlign w:val="bottom"/>
            <w:shd w:val="clear" w:color="auto" w:fill="F0FFFF"/>
          </w:tcPr>
          <w:p>
            <w:pPr>
              <w:spacing w:after="0"/>
              <w:rPr>
                <w:sz w:val="15"/>
                <w:szCs w:val="15"/>
                <w:color w:val="auto"/>
              </w:rPr>
            </w:pPr>
          </w:p>
        </w:tc>
        <w:tc>
          <w:tcPr>
            <w:tcW w:w="680" w:type="dxa"/>
            <w:vAlign w:val="bottom"/>
            <w:gridSpan w:val="2"/>
            <w:shd w:val="clear" w:color="auto" w:fill="F0FFFF"/>
          </w:tcPr>
          <w:p>
            <w:pPr>
              <w:jc w:val="right"/>
              <w:ind w:right="48"/>
              <w:spacing w:after="0"/>
              <w:rPr>
                <w:sz w:val="20"/>
                <w:szCs w:val="20"/>
                <w:color w:val="auto"/>
              </w:rPr>
            </w:pPr>
            <w:r>
              <w:rPr>
                <w:rFonts w:ascii="Times New Roman" w:cs="Times New Roman" w:eastAsia="Times New Roman" w:hAnsi="Times New Roman"/>
                <w:sz w:val="14"/>
                <w:szCs w:val="14"/>
                <w:color w:val="auto"/>
              </w:rPr>
              <w:t>(2.11)</w:t>
            </w:r>
          </w:p>
        </w:tc>
        <w:tc>
          <w:tcPr>
            <w:tcW w:w="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680" w:type="dxa"/>
            <w:vAlign w:val="bottom"/>
            <w:gridSpan w:val="2"/>
            <w:shd w:val="clear" w:color="auto" w:fill="F0FFFF"/>
          </w:tcPr>
          <w:p>
            <w:pPr>
              <w:jc w:val="right"/>
              <w:ind w:right="48"/>
              <w:spacing w:after="0"/>
              <w:rPr>
                <w:sz w:val="20"/>
                <w:szCs w:val="20"/>
                <w:color w:val="auto"/>
              </w:rPr>
            </w:pPr>
            <w:r>
              <w:rPr>
                <w:rFonts w:ascii="Times New Roman" w:cs="Times New Roman" w:eastAsia="Times New Roman" w:hAnsi="Times New Roman"/>
                <w:sz w:val="14"/>
                <w:szCs w:val="14"/>
                <w:color w:val="auto"/>
              </w:rPr>
              <w:t>(2.12)</w:t>
            </w:r>
          </w:p>
        </w:tc>
        <w:tc>
          <w:tcPr>
            <w:tcW w:w="6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720" w:type="dxa"/>
            <w:vAlign w:val="bottom"/>
            <w:gridSpan w:val="2"/>
            <w:shd w:val="clear" w:color="auto" w:fill="F0FFFF"/>
          </w:tcPr>
          <w:p>
            <w:pPr>
              <w:jc w:val="right"/>
              <w:ind w:right="108"/>
              <w:spacing w:after="0"/>
              <w:rPr>
                <w:sz w:val="20"/>
                <w:szCs w:val="20"/>
                <w:color w:val="auto"/>
              </w:rPr>
            </w:pPr>
            <w:r>
              <w:rPr>
                <w:rFonts w:ascii="Times New Roman" w:cs="Times New Roman" w:eastAsia="Times New Roman" w:hAnsi="Times New Roman"/>
                <w:sz w:val="14"/>
                <w:szCs w:val="14"/>
                <w:color w:val="auto"/>
              </w:rPr>
              <w:t>(1.96)</w:t>
            </w:r>
          </w:p>
        </w:tc>
        <w:tc>
          <w:tcPr>
            <w:tcW w:w="180" w:type="dxa"/>
            <w:vAlign w:val="bottom"/>
            <w:shd w:val="clear" w:color="auto" w:fill="F0FFFF"/>
          </w:tcPr>
          <w:p>
            <w:pPr>
              <w:spacing w:after="0"/>
              <w:rPr>
                <w:sz w:val="15"/>
                <w:szCs w:val="15"/>
                <w:color w:val="auto"/>
              </w:rPr>
            </w:pPr>
          </w:p>
        </w:tc>
        <w:tc>
          <w:tcPr>
            <w:tcW w:w="620" w:type="dxa"/>
            <w:vAlign w:val="bottom"/>
            <w:gridSpan w:val="2"/>
            <w:shd w:val="clear" w:color="auto" w:fill="F0FFFF"/>
          </w:tcPr>
          <w:p>
            <w:pPr>
              <w:jc w:val="right"/>
              <w:ind w:right="8"/>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Borders>
              <w:top w:val="single" w:sz="8" w:color="F0FFFF"/>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Tangible book value per common share</w:t>
            </w:r>
          </w:p>
        </w:tc>
        <w:tc>
          <w:tcPr>
            <w:tcW w:w="140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13.30</w:t>
            </w:r>
          </w:p>
        </w:tc>
        <w:tc>
          <w:tcPr>
            <w:tcW w:w="22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12.95</w:t>
            </w:r>
          </w:p>
        </w:tc>
        <w:tc>
          <w:tcPr>
            <w:tcW w:w="180" w:type="dxa"/>
            <w:vAlign w:val="bottom"/>
            <w:tcBorders>
              <w:top w:val="single" w:sz="8" w:color="F0FFFF"/>
            </w:tcBorders>
          </w:tcPr>
          <w:p>
            <w:pPr>
              <w:spacing w:after="0"/>
              <w:rPr>
                <w:sz w:val="12"/>
                <w:szCs w:val="12"/>
                <w:color w:val="auto"/>
              </w:rPr>
            </w:pPr>
          </w:p>
        </w:tc>
        <w:tc>
          <w:tcPr>
            <w:tcW w:w="60" w:type="dxa"/>
            <w:vAlign w:val="bottom"/>
            <w:tcBorders>
              <w:top w:val="single" w:sz="8" w:color="F0FF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w:t>
            </w:r>
          </w:p>
        </w:tc>
        <w:tc>
          <w:tcPr>
            <w:tcW w:w="180" w:type="dxa"/>
            <w:vAlign w:val="bottom"/>
            <w:tcBorders>
              <w:top w:val="single" w:sz="8" w:color="F0FFFF"/>
            </w:tcBorders>
          </w:tcPr>
          <w:p>
            <w:pPr>
              <w:spacing w:after="0"/>
              <w:rPr>
                <w:sz w:val="12"/>
                <w:szCs w:val="12"/>
                <w:color w:val="auto"/>
              </w:rPr>
            </w:pPr>
          </w:p>
        </w:tc>
        <w:tc>
          <w:tcPr>
            <w:tcW w:w="6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12.84</w:t>
            </w:r>
          </w:p>
        </w:tc>
        <w:tc>
          <w:tcPr>
            <w:tcW w:w="22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12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bottom w:val="single" w:sz="8" w:color="F0FFFF"/>
            </w:tcBorders>
          </w:tcPr>
          <w:p>
            <w:pPr>
              <w:spacing w:after="0" w:line="20" w:lineRule="exact"/>
              <w:rPr>
                <w:sz w:val="1"/>
                <w:szCs w:val="1"/>
                <w:color w:val="auto"/>
              </w:rPr>
            </w:pPr>
          </w:p>
        </w:tc>
        <w:tc>
          <w:tcPr>
            <w:tcW w:w="140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580" w:type="dxa"/>
            <w:vAlign w:val="bottom"/>
            <w:shd w:val="clear" w:color="auto" w:fill="F0FFFF"/>
          </w:tcPr>
          <w:p>
            <w:pPr>
              <w:spacing w:after="0"/>
              <w:rPr>
                <w:sz w:val="12"/>
                <w:szCs w:val="12"/>
                <w:color w:val="auto"/>
              </w:rPr>
            </w:pPr>
          </w:p>
        </w:tc>
        <w:tc>
          <w:tcPr>
            <w:tcW w:w="14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Return on tangible common equity reconciliation</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Return on common equity (GAAP)</w:t>
            </w:r>
          </w:p>
        </w:tc>
        <w:tc>
          <w:tcPr>
            <w:tcW w:w="14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8.54%</w:t>
            </w:r>
          </w:p>
        </w:tc>
        <w:tc>
          <w:tcPr>
            <w:tcW w:w="18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9.89%</w:t>
            </w:r>
          </w:p>
        </w:tc>
        <w:tc>
          <w:tcPr>
            <w:tcW w:w="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9.61%</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9.54%</w:t>
            </w:r>
          </w:p>
        </w:tc>
        <w:tc>
          <w:tcPr>
            <w:tcW w:w="180" w:type="dxa"/>
            <w:vAlign w:val="bottom"/>
            <w:shd w:val="clear" w:color="auto" w:fill="F0FFFF"/>
          </w:tcPr>
          <w:p>
            <w:pPr>
              <w:spacing w:after="0"/>
              <w:rPr>
                <w:sz w:val="12"/>
                <w:szCs w:val="12"/>
                <w:color w:val="auto"/>
              </w:rPr>
            </w:pPr>
          </w:p>
        </w:tc>
        <w:tc>
          <w:tcPr>
            <w:tcW w:w="62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Merger-related and other charges</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80" w:type="dxa"/>
            <w:vAlign w:val="bottom"/>
          </w:tcPr>
          <w:p>
            <w:pPr>
              <w:spacing w:after="0"/>
              <w:rPr>
                <w:sz w:val="12"/>
                <w:szCs w:val="12"/>
                <w:color w:val="auto"/>
              </w:rPr>
            </w:pPr>
          </w:p>
        </w:tc>
        <w:tc>
          <w:tcPr>
            <w:tcW w:w="68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80" w:type="dxa"/>
            <w:vAlign w:val="bottom"/>
          </w:tcPr>
          <w:p>
            <w:pPr>
              <w:spacing w:after="0"/>
              <w:rPr>
                <w:sz w:val="12"/>
                <w:szCs w:val="12"/>
                <w:color w:val="auto"/>
              </w:rPr>
            </w:pPr>
          </w:p>
        </w:tc>
        <w:tc>
          <w:tcPr>
            <w:tcW w:w="6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Impairment of deferred tax asset on canceled non-qualified stock options</w:t>
            </w:r>
          </w:p>
        </w:tc>
        <w:tc>
          <w:tcPr>
            <w:tcW w:w="14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F0FFFF"/>
          </w:tcPr>
          <w:p>
            <w:pPr>
              <w:spacing w:after="0"/>
              <w:rPr>
                <w:sz w:val="12"/>
                <w:szCs w:val="12"/>
                <w:color w:val="auto"/>
              </w:rPr>
            </w:pPr>
          </w:p>
        </w:tc>
        <w:tc>
          <w:tcPr>
            <w:tcW w:w="5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Release of disproportionate tax effects lodged in OCI</w:t>
            </w: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1.24</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Borders>
              <w:top w:val="single" w:sz="8" w:color="F0FFFF"/>
            </w:tcBorders>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Return on common equity - operating</w:t>
            </w:r>
          </w:p>
        </w:tc>
        <w:tc>
          <w:tcPr>
            <w:tcW w:w="140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rPr>
                <w:sz w:val="12"/>
                <w:szCs w:val="12"/>
                <w:color w:val="auto"/>
              </w:rPr>
            </w:pPr>
          </w:p>
        </w:tc>
        <w:tc>
          <w:tcPr>
            <w:tcW w:w="5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w:t>
            </w:r>
          </w:p>
        </w:tc>
        <w:tc>
          <w:tcPr>
            <w:tcW w:w="22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rPr>
                <w:sz w:val="12"/>
                <w:szCs w:val="12"/>
                <w:color w:val="auto"/>
              </w:rPr>
            </w:pPr>
          </w:p>
        </w:tc>
        <w:tc>
          <w:tcPr>
            <w:tcW w:w="5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10.51</w:t>
            </w:r>
          </w:p>
        </w:tc>
        <w:tc>
          <w:tcPr>
            <w:tcW w:w="18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5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w:t>
            </w:r>
          </w:p>
        </w:tc>
        <w:tc>
          <w:tcPr>
            <w:tcW w:w="18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rPr>
                <w:sz w:val="12"/>
                <w:szCs w:val="12"/>
                <w:color w:val="auto"/>
              </w:rPr>
            </w:pPr>
          </w:p>
        </w:tc>
        <w:tc>
          <w:tcPr>
            <w:tcW w:w="5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9.81</w:t>
            </w:r>
          </w:p>
        </w:tc>
        <w:tc>
          <w:tcPr>
            <w:tcW w:w="22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rPr>
                <w:sz w:val="12"/>
                <w:szCs w:val="12"/>
                <w:color w:val="auto"/>
              </w:rPr>
            </w:pPr>
          </w:p>
        </w:tc>
        <w:tc>
          <w:tcPr>
            <w:tcW w:w="5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12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Effect of goodwill and other intangibles</w:t>
            </w: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1.85</w:t>
            </w:r>
          </w:p>
        </w:tc>
        <w:tc>
          <w:tcPr>
            <w:tcW w:w="180" w:type="dxa"/>
            <w:vAlign w:val="bottom"/>
          </w:tcPr>
          <w:p>
            <w:pPr>
              <w:spacing w:after="0"/>
              <w:rPr>
                <w:sz w:val="14"/>
                <w:szCs w:val="14"/>
                <w:color w:val="auto"/>
              </w:rPr>
            </w:pPr>
          </w:p>
        </w:tc>
        <w:tc>
          <w:tcPr>
            <w:tcW w:w="6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1.96</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2.11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1.75</w:t>
            </w:r>
          </w:p>
        </w:tc>
        <w:tc>
          <w:tcPr>
            <w:tcW w:w="180" w:type="dxa"/>
            <w:vAlign w:val="bottom"/>
          </w:tcPr>
          <w:p>
            <w:pPr>
              <w:spacing w:after="0"/>
              <w:rPr>
                <w:sz w:val="14"/>
                <w:szCs w:val="14"/>
                <w:color w:val="auto"/>
              </w:rPr>
            </w:pP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558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4"/>
                <w:szCs w:val="14"/>
                <w:color w:val="auto"/>
              </w:rPr>
              <w:t>Return on tangible common equity - operating</w:t>
            </w:r>
          </w:p>
        </w:tc>
        <w:tc>
          <w:tcPr>
            <w:tcW w:w="1400" w:type="dxa"/>
            <w:vAlign w:val="bottom"/>
            <w:tcBorders>
              <w:top w:val="single" w:sz="8" w:color="F0FFFF"/>
              <w:bottom w:val="single" w:sz="8" w:color="F0FFFF"/>
            </w:tcBorders>
            <w:shd w:val="clear" w:color="auto" w:fill="F0FFFF"/>
          </w:tcPr>
          <w:p>
            <w:pPr>
              <w:spacing w:after="0"/>
              <w:rPr>
                <w:sz w:val="15"/>
                <w:szCs w:val="15"/>
                <w:color w:val="auto"/>
              </w:rPr>
            </w:pPr>
          </w:p>
        </w:tc>
        <w:tc>
          <w:tcPr>
            <w:tcW w:w="180" w:type="dxa"/>
            <w:vAlign w:val="bottom"/>
            <w:tcBorders>
              <w:top w:val="single" w:sz="8" w:color="auto"/>
              <w:bottom w:val="single" w:sz="8" w:color="auto"/>
            </w:tcBorders>
            <w:shd w:val="clear" w:color="auto" w:fill="F0FFFF"/>
          </w:tcPr>
          <w:p>
            <w:pPr>
              <w:spacing w:after="0"/>
              <w:rPr>
                <w:sz w:val="15"/>
                <w:szCs w:val="15"/>
                <w:color w:val="auto"/>
              </w:rPr>
            </w:pPr>
          </w:p>
        </w:tc>
        <w:tc>
          <w:tcPr>
            <w:tcW w:w="5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220" w:type="dxa"/>
            <w:vAlign w:val="bottom"/>
            <w:tcBorders>
              <w:top w:val="single" w:sz="8" w:color="F0FFFF"/>
              <w:bottom w:val="single" w:sz="8" w:color="F0FFFF"/>
            </w:tcBorders>
            <w:shd w:val="clear" w:color="auto" w:fill="F0FF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bottom w:val="single" w:sz="8" w:color="auto"/>
            </w:tcBorders>
            <w:shd w:val="clear" w:color="auto" w:fill="F0FFFF"/>
          </w:tcPr>
          <w:p>
            <w:pPr>
              <w:spacing w:after="0"/>
              <w:rPr>
                <w:sz w:val="15"/>
                <w:szCs w:val="15"/>
                <w:color w:val="auto"/>
              </w:rPr>
            </w:pPr>
          </w:p>
        </w:tc>
        <w:tc>
          <w:tcPr>
            <w:tcW w:w="5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18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F0FFFF"/>
              <w:bottom w:val="single" w:sz="8" w:color="F0FFFF"/>
            </w:tcBorders>
            <w:shd w:val="clear" w:color="auto" w:fill="F0FFFF"/>
          </w:tcPr>
          <w:p>
            <w:pPr>
              <w:spacing w:after="0"/>
              <w:rPr>
                <w:sz w:val="15"/>
                <w:szCs w:val="15"/>
                <w:color w:val="auto"/>
              </w:rPr>
            </w:pPr>
          </w:p>
        </w:tc>
        <w:tc>
          <w:tcPr>
            <w:tcW w:w="160" w:type="dxa"/>
            <w:vAlign w:val="bottom"/>
            <w:tcBorders>
              <w:top w:val="single" w:sz="8" w:color="auto"/>
              <w:bottom w:val="single" w:sz="8" w:color="auto"/>
            </w:tcBorders>
            <w:shd w:val="clear" w:color="auto" w:fill="F0FFFF"/>
          </w:tcPr>
          <w:p>
            <w:pPr>
              <w:spacing w:after="0"/>
              <w:rPr>
                <w:sz w:val="15"/>
                <w:szCs w:val="15"/>
                <w:color w:val="auto"/>
              </w:rPr>
            </w:pPr>
          </w:p>
        </w:tc>
        <w:tc>
          <w:tcPr>
            <w:tcW w:w="5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18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F0FFFF"/>
              <w:bottom w:val="single" w:sz="8" w:color="F0FFFF"/>
            </w:tcBorders>
            <w:shd w:val="clear" w:color="auto" w:fill="F0FFFF"/>
          </w:tcPr>
          <w:p>
            <w:pPr>
              <w:spacing w:after="0"/>
              <w:rPr>
                <w:sz w:val="15"/>
                <w:szCs w:val="15"/>
                <w:color w:val="auto"/>
              </w:rPr>
            </w:pPr>
          </w:p>
        </w:tc>
        <w:tc>
          <w:tcPr>
            <w:tcW w:w="180" w:type="dxa"/>
            <w:vAlign w:val="bottom"/>
            <w:tcBorders>
              <w:top w:val="single" w:sz="8" w:color="auto"/>
              <w:bottom w:val="single" w:sz="8" w:color="auto"/>
            </w:tcBorders>
            <w:shd w:val="clear" w:color="auto" w:fill="F0FFFF"/>
          </w:tcPr>
          <w:p>
            <w:pPr>
              <w:spacing w:after="0"/>
              <w:rPr>
                <w:sz w:val="15"/>
                <w:szCs w:val="15"/>
                <w:color w:val="auto"/>
              </w:rPr>
            </w:pPr>
          </w:p>
        </w:tc>
        <w:tc>
          <w:tcPr>
            <w:tcW w:w="5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220" w:type="dxa"/>
            <w:vAlign w:val="bottom"/>
            <w:tcBorders>
              <w:top w:val="single" w:sz="8" w:color="F0FFFF"/>
              <w:bottom w:val="single" w:sz="8" w:color="F0FFFF"/>
            </w:tcBorders>
            <w:shd w:val="clear" w:color="auto" w:fill="F0FF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bottom w:val="single" w:sz="8" w:color="auto"/>
            </w:tcBorders>
            <w:shd w:val="clear" w:color="auto" w:fill="F0FFFF"/>
          </w:tcPr>
          <w:p>
            <w:pPr>
              <w:spacing w:after="0"/>
              <w:rPr>
                <w:sz w:val="15"/>
                <w:szCs w:val="15"/>
                <w:color w:val="auto"/>
              </w:rPr>
            </w:pPr>
          </w:p>
        </w:tc>
        <w:tc>
          <w:tcPr>
            <w:tcW w:w="5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F0FFFF"/>
            </w:tcBorders>
          </w:tcPr>
          <w:p>
            <w:pPr>
              <w:spacing w:after="0" w:line="20" w:lineRule="exact"/>
              <w:rPr>
                <w:sz w:val="1"/>
                <w:szCs w:val="1"/>
                <w:color w:val="auto"/>
              </w:rPr>
            </w:pPr>
          </w:p>
        </w:tc>
        <w:tc>
          <w:tcPr>
            <w:tcW w:w="14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5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50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50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5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5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sectPr>
          <w:pgSz w:w="11900" w:h="16838" w:orient="portrait"/>
          <w:cols w:equalWidth="0" w:num="1">
            <w:col w:w="11420"/>
          </w:cols>
          <w:pgMar w:left="240" w:top="576" w:right="239" w:bottom="1076"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Return on assets reconciliation</w:t>
      </w:r>
    </w:p>
    <w:p>
      <w:pPr>
        <w:spacing w:after="0" w:line="229" w:lineRule="auto"/>
        <w:rPr>
          <w:sz w:val="20"/>
          <w:szCs w:val="20"/>
          <w:color w:val="auto"/>
        </w:rPr>
      </w:pPr>
      <w:r>
        <w:rPr>
          <w:rFonts w:ascii="Times New Roman" w:cs="Times New Roman" w:eastAsia="Times New Roman" w:hAnsi="Times New Roman"/>
          <w:sz w:val="14"/>
          <w:szCs w:val="14"/>
          <w:color w:val="auto"/>
        </w:rPr>
        <w:t>Return on assets (GAAP)</w:t>
      </w:r>
    </w:p>
    <w:p>
      <w:pPr>
        <w:spacing w:after="0" w:line="222" w:lineRule="auto"/>
        <w:rPr>
          <w:sz w:val="20"/>
          <w:szCs w:val="20"/>
          <w:color w:val="auto"/>
        </w:rPr>
      </w:pPr>
      <w:r>
        <w:rPr>
          <w:rFonts w:ascii="Times New Roman" w:cs="Times New Roman" w:eastAsia="Times New Roman" w:hAnsi="Times New Roman"/>
          <w:sz w:val="14"/>
          <w:szCs w:val="14"/>
          <w:color w:val="auto"/>
        </w:rPr>
        <w:t>Merger-related and other charges</w:t>
      </w:r>
    </w:p>
    <w:p>
      <w:pPr>
        <w:ind w:right="2080"/>
        <w:spacing w:after="0" w:line="239" w:lineRule="auto"/>
        <w:rPr>
          <w:sz w:val="20"/>
          <w:szCs w:val="20"/>
          <w:color w:val="auto"/>
        </w:rPr>
      </w:pPr>
      <w:r>
        <w:rPr>
          <w:rFonts w:ascii="Times New Roman" w:cs="Times New Roman" w:eastAsia="Times New Roman" w:hAnsi="Times New Roman"/>
          <w:sz w:val="14"/>
          <w:szCs w:val="14"/>
          <w:color w:val="auto"/>
        </w:rPr>
        <w:t>Impairment of deferred tax asset on canceled non-qualified stock options Release of disproportionate tax effects lodged in OCI</w:t>
      </w:r>
    </w:p>
    <w:p>
      <w:pPr>
        <w:ind w:left="180"/>
        <w:spacing w:after="0"/>
        <w:rPr>
          <w:sz w:val="20"/>
          <w:szCs w:val="20"/>
          <w:color w:val="auto"/>
        </w:rPr>
      </w:pPr>
      <w:r>
        <w:rPr>
          <w:rFonts w:ascii="Times New Roman" w:cs="Times New Roman" w:eastAsia="Times New Roman" w:hAnsi="Times New Roman"/>
          <w:sz w:val="14"/>
          <w:szCs w:val="14"/>
          <w:color w:val="auto"/>
        </w:rPr>
        <w:t>Return on assets - operating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payout ratio reconciliation</w:t>
      </w:r>
    </w:p>
    <w:p>
      <w:pPr>
        <w:spacing w:after="0" w:line="229" w:lineRule="auto"/>
        <w:rPr>
          <w:sz w:val="20"/>
          <w:szCs w:val="20"/>
          <w:color w:val="auto"/>
        </w:rPr>
      </w:pPr>
      <w:r>
        <w:rPr>
          <w:rFonts w:ascii="Times New Roman" w:cs="Times New Roman" w:eastAsia="Times New Roman" w:hAnsi="Times New Roman"/>
          <w:sz w:val="14"/>
          <w:szCs w:val="14"/>
          <w:color w:val="auto"/>
        </w:rPr>
        <w:t>Dividend payout ratio (GAAP)</w:t>
      </w:r>
    </w:p>
    <w:p>
      <w:pPr>
        <w:spacing w:after="0" w:line="222" w:lineRule="auto"/>
        <w:rPr>
          <w:sz w:val="20"/>
          <w:szCs w:val="20"/>
          <w:color w:val="auto"/>
        </w:rPr>
      </w:pPr>
      <w:r>
        <w:rPr>
          <w:rFonts w:ascii="Times New Roman" w:cs="Times New Roman" w:eastAsia="Times New Roman" w:hAnsi="Times New Roman"/>
          <w:sz w:val="14"/>
          <w:szCs w:val="14"/>
          <w:color w:val="auto"/>
        </w:rPr>
        <w:t>Merger-related and other charges</w:t>
      </w:r>
    </w:p>
    <w:p>
      <w:pPr>
        <w:ind w:right="2080"/>
        <w:spacing w:after="0" w:line="239" w:lineRule="auto"/>
        <w:rPr>
          <w:sz w:val="20"/>
          <w:szCs w:val="20"/>
          <w:color w:val="auto"/>
        </w:rPr>
      </w:pPr>
      <w:r>
        <w:rPr>
          <w:rFonts w:ascii="Times New Roman" w:cs="Times New Roman" w:eastAsia="Times New Roman" w:hAnsi="Times New Roman"/>
          <w:sz w:val="14"/>
          <w:szCs w:val="14"/>
          <w:color w:val="auto"/>
        </w:rPr>
        <w:t>Impairment of deferred tax asset on canceled non-qualified stock options Release of disproportionate tax effects lodged in OCI</w:t>
      </w:r>
    </w:p>
    <w:p>
      <w:pPr>
        <w:ind w:left="180"/>
        <w:spacing w:after="0"/>
        <w:rPr>
          <w:sz w:val="20"/>
          <w:szCs w:val="20"/>
          <w:color w:val="auto"/>
        </w:rPr>
      </w:pPr>
      <w:r>
        <w:rPr>
          <w:rFonts w:ascii="Times New Roman" w:cs="Times New Roman" w:eastAsia="Times New Roman" w:hAnsi="Times New Roman"/>
          <w:sz w:val="14"/>
          <w:szCs w:val="14"/>
          <w:color w:val="auto"/>
        </w:rPr>
        <w:t>Dividend payout ratio - operating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Efficiency ratio reconciliation</w:t>
      </w:r>
    </w:p>
    <w:p>
      <w:pPr>
        <w:spacing w:after="0" w:line="229" w:lineRule="auto"/>
        <w:rPr>
          <w:sz w:val="20"/>
          <w:szCs w:val="20"/>
          <w:color w:val="auto"/>
        </w:rPr>
      </w:pPr>
      <w:r>
        <w:rPr>
          <w:rFonts w:ascii="Times New Roman" w:cs="Times New Roman" w:eastAsia="Times New Roman" w:hAnsi="Times New Roman"/>
          <w:sz w:val="14"/>
          <w:szCs w:val="14"/>
          <w:color w:val="auto"/>
        </w:rPr>
        <w:t>Efficiency ratio (GAAP)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Merger-related and other charges</w:t>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Efficiency ratio - operating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Average equity to assets reconciliation</w:t>
      </w:r>
    </w:p>
    <w:p>
      <w:pPr>
        <w:spacing w:after="0" w:line="229" w:lineRule="auto"/>
        <w:rPr>
          <w:sz w:val="20"/>
          <w:szCs w:val="20"/>
          <w:color w:val="auto"/>
        </w:rPr>
      </w:pPr>
      <w:r>
        <w:rPr>
          <w:rFonts w:ascii="Times New Roman" w:cs="Times New Roman" w:eastAsia="Times New Roman" w:hAnsi="Times New Roman"/>
          <w:sz w:val="14"/>
          <w:szCs w:val="14"/>
          <w:color w:val="auto"/>
        </w:rPr>
        <w:t>Equity to assets (GAAP)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 of goodwill and other intangibles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.89%</w:t>
            </w: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1.03%</w:t>
            </w: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9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1.04%</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149"/>
        </w:trPr>
        <w:tc>
          <w:tcPr>
            <w:tcW w:w="9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9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9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9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2"/>
                <w:szCs w:val="12"/>
                <w:color w:val="auto"/>
              </w:rPr>
            </w:pPr>
          </w:p>
        </w:tc>
      </w:tr>
      <w:tr>
        <w:trPr>
          <w:trHeight w:val="162"/>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.04</w:t>
            </w:r>
          </w:p>
        </w:tc>
        <w:tc>
          <w:tcPr>
            <w:tcW w:w="9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21"/>
        </w:trPr>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6"/>
        </w:trPr>
        <w:tc>
          <w:tcPr>
            <w:tcW w:w="9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27.27%</w:t>
            </w: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21.05%</w:t>
            </w: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22.22%</w:t>
            </w:r>
          </w:p>
        </w:tc>
        <w:tc>
          <w:tcPr>
            <w:tcW w:w="9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20.00%</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22.58%</w:t>
            </w:r>
          </w:p>
        </w:tc>
      </w:tr>
      <w:tr>
        <w:trPr>
          <w:trHeight w:val="149"/>
        </w:trPr>
        <w:tc>
          <w:tcPr>
            <w:tcW w:w="9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92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9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9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800" w:type="dxa"/>
            <w:vAlign w:val="bottom"/>
            <w:gridSpan w:val="3"/>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(1.37)</w:t>
            </w:r>
          </w:p>
        </w:tc>
      </w:tr>
      <w:tr>
        <w:trPr>
          <w:trHeight w:val="149"/>
        </w:trPr>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9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2"/>
        </w:trPr>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(3.21)</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23.08</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20.51</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19.44</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21"/>
        </w:trPr>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6"/>
        </w:trPr>
        <w:tc>
          <w:tcPr>
            <w:tcW w:w="9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59.29%</w:t>
            </w: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57.65%</w:t>
            </w: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60.78%</w:t>
            </w:r>
          </w:p>
        </w:tc>
        <w:tc>
          <w:tcPr>
            <w:tcW w:w="9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59.02%</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61.94%</w:t>
            </w:r>
          </w:p>
        </w:tc>
      </w:tr>
      <w:tr>
        <w:trPr>
          <w:trHeight w:val="192"/>
        </w:trPr>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(1.94)</w:t>
            </w:r>
          </w:p>
        </w:tc>
        <w:tc>
          <w:tcPr>
            <w:tcW w:w="9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(1.07)</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(2.99)</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(1.20)</w:t>
            </w:r>
          </w:p>
        </w:tc>
        <w:tc>
          <w:tcPr>
            <w:tcW w:w="80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color w:val="auto"/>
              </w:rPr>
              <w:t>(2.84)</w:t>
            </w:r>
          </w:p>
        </w:tc>
      </w:tr>
      <w:tr>
        <w:trPr>
          <w:trHeight w:val="162"/>
        </w:trPr>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57.35</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56.58</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57.79</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57.82</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59.10</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r>
      <w:tr>
        <w:trPr>
          <w:trHeight w:val="21"/>
        </w:trPr>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6"/>
        </w:trPr>
        <w:tc>
          <w:tcPr>
            <w:tcW w:w="9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10.24%</w:t>
            </w: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10.35%</w:t>
            </w: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10.38%</w:t>
            </w:r>
          </w:p>
        </w:tc>
        <w:tc>
          <w:tcPr>
            <w:tcW w:w="9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10.72%</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10.72%</w:t>
            </w:r>
          </w:p>
        </w:tc>
      </w:tr>
      <w:tr>
        <w:trPr>
          <w:trHeight w:val="185"/>
        </w:trPr>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(1.28)</w:t>
            </w:r>
          </w:p>
        </w:tc>
        <w:tc>
          <w:tcPr>
            <w:tcW w:w="9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(1.31)</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(1.40)</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(1.29)</w:t>
            </w:r>
          </w:p>
        </w:tc>
        <w:tc>
          <w:tcPr>
            <w:tcW w:w="80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color w:val="auto"/>
              </w:rPr>
              <w:t>(1.31)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-2289175</wp:posOffset>
            </wp:positionV>
            <wp:extent cx="7246620" cy="946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-2100580</wp:posOffset>
            </wp:positionV>
            <wp:extent cx="7246620" cy="946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-1911985</wp:posOffset>
            </wp:positionV>
            <wp:extent cx="7246620" cy="1117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-1671955</wp:posOffset>
            </wp:positionV>
            <wp:extent cx="7246620" cy="1117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-1465580</wp:posOffset>
            </wp:positionV>
            <wp:extent cx="7246620" cy="946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-1276985</wp:posOffset>
            </wp:positionV>
            <wp:extent cx="7246620" cy="94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-1071245</wp:posOffset>
            </wp:positionV>
            <wp:extent cx="7246620"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-831215</wp:posOffset>
            </wp:positionV>
            <wp:extent cx="7246620" cy="94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-642620</wp:posOffset>
            </wp:positionV>
            <wp:extent cx="7246620" cy="1117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-402590</wp:posOffset>
            </wp:positionV>
            <wp:extent cx="7246620" cy="1117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-196850</wp:posOffset>
            </wp:positionV>
            <wp:extent cx="7246620" cy="94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280" w:space="720"/>
            <w:col w:w="4420"/>
          </w:cols>
          <w:pgMar w:left="240" w:top="576" w:right="239" w:bottom="1076"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7000" w:type="dxa"/>
            <w:vAlign w:val="bottom"/>
            <w:tcBorders>
              <w:top w:val="single" w:sz="8" w:color="F0FFFF"/>
            </w:tcBorders>
            <w:shd w:val="clear" w:color="auto" w:fill="F0FFFF"/>
          </w:tcPr>
          <w:p>
            <w:pPr>
              <w:spacing w:after="0" w:line="155" w:lineRule="exact"/>
              <w:rPr>
                <w:sz w:val="20"/>
                <w:szCs w:val="20"/>
                <w:color w:val="auto"/>
              </w:rPr>
            </w:pPr>
            <w:r>
              <w:rPr>
                <w:rFonts w:ascii="Times New Roman" w:cs="Times New Roman" w:eastAsia="Times New Roman" w:hAnsi="Times New Roman"/>
                <w:sz w:val="14"/>
                <w:szCs w:val="14"/>
                <w:color w:val="auto"/>
              </w:rPr>
              <w:t>Tangible equity to assets</w:t>
            </w:r>
          </w:p>
        </w:tc>
        <w:tc>
          <w:tcPr>
            <w:tcW w:w="680" w:type="dxa"/>
            <w:vAlign w:val="bottom"/>
            <w:tcBorders>
              <w:top w:val="single" w:sz="8" w:color="auto"/>
            </w:tcBorders>
            <w:shd w:val="clear" w:color="auto" w:fill="F0FFFF"/>
          </w:tcPr>
          <w:p>
            <w:pPr>
              <w:jc w:val="right"/>
              <w:spacing w:after="0" w:line="155" w:lineRule="exact"/>
              <w:rPr>
                <w:sz w:val="20"/>
                <w:szCs w:val="20"/>
                <w:color w:val="auto"/>
              </w:rPr>
            </w:pPr>
            <w:r>
              <w:rPr>
                <w:rFonts w:ascii="Times New Roman" w:cs="Times New Roman" w:eastAsia="Times New Roman" w:hAnsi="Times New Roman"/>
                <w:sz w:val="14"/>
                <w:szCs w:val="14"/>
                <w:color w:val="auto"/>
              </w:rPr>
              <w:t>8.96</w:t>
            </w:r>
          </w:p>
        </w:tc>
        <w:tc>
          <w:tcPr>
            <w:tcW w:w="220" w:type="dxa"/>
            <w:vAlign w:val="bottom"/>
            <w:tcBorders>
              <w:top w:val="single" w:sz="8" w:color="F0FFFF"/>
            </w:tcBorders>
            <w:shd w:val="clear" w:color="auto" w:fill="F0FFFF"/>
          </w:tcPr>
          <w:p>
            <w:pPr>
              <w:spacing w:after="0"/>
              <w:rPr>
                <w:sz w:val="13"/>
                <w:szCs w:val="13"/>
                <w:color w:val="auto"/>
              </w:rPr>
            </w:pPr>
          </w:p>
        </w:tc>
        <w:tc>
          <w:tcPr>
            <w:tcW w:w="680" w:type="dxa"/>
            <w:vAlign w:val="bottom"/>
            <w:tcBorders>
              <w:top w:val="single" w:sz="8" w:color="auto"/>
            </w:tcBorders>
            <w:shd w:val="clear" w:color="auto" w:fill="F0FFFF"/>
          </w:tcPr>
          <w:p>
            <w:pPr>
              <w:jc w:val="right"/>
              <w:spacing w:after="0" w:line="155" w:lineRule="exact"/>
              <w:rPr>
                <w:sz w:val="20"/>
                <w:szCs w:val="20"/>
                <w:color w:val="auto"/>
              </w:rPr>
            </w:pPr>
            <w:r>
              <w:rPr>
                <w:rFonts w:ascii="Times New Roman" w:cs="Times New Roman" w:eastAsia="Times New Roman" w:hAnsi="Times New Roman"/>
                <w:sz w:val="14"/>
                <w:szCs w:val="14"/>
                <w:color w:val="auto"/>
              </w:rPr>
              <w:t>9.04</w:t>
            </w:r>
          </w:p>
        </w:tc>
        <w:tc>
          <w:tcPr>
            <w:tcW w:w="240" w:type="dxa"/>
            <w:vAlign w:val="bottom"/>
            <w:tcBorders>
              <w:top w:val="single" w:sz="8" w:color="F0FFFF"/>
            </w:tcBorders>
            <w:shd w:val="clear" w:color="auto" w:fill="F0FFFF"/>
          </w:tcPr>
          <w:p>
            <w:pPr>
              <w:spacing w:after="0"/>
              <w:rPr>
                <w:sz w:val="13"/>
                <w:szCs w:val="13"/>
                <w:color w:val="auto"/>
              </w:rPr>
            </w:pPr>
          </w:p>
        </w:tc>
        <w:tc>
          <w:tcPr>
            <w:tcW w:w="660" w:type="dxa"/>
            <w:vAlign w:val="bottom"/>
            <w:tcBorders>
              <w:top w:val="single" w:sz="8" w:color="auto"/>
            </w:tcBorders>
            <w:shd w:val="clear" w:color="auto" w:fill="F0FFFF"/>
          </w:tcPr>
          <w:p>
            <w:pPr>
              <w:jc w:val="right"/>
              <w:spacing w:after="0" w:line="155" w:lineRule="exact"/>
              <w:rPr>
                <w:sz w:val="20"/>
                <w:szCs w:val="20"/>
                <w:color w:val="auto"/>
              </w:rPr>
            </w:pPr>
            <w:r>
              <w:rPr>
                <w:rFonts w:ascii="Times New Roman" w:cs="Times New Roman" w:eastAsia="Times New Roman" w:hAnsi="Times New Roman"/>
                <w:sz w:val="14"/>
                <w:szCs w:val="14"/>
                <w:color w:val="auto"/>
              </w:rPr>
              <w:t>8.98</w:t>
            </w:r>
          </w:p>
        </w:tc>
        <w:tc>
          <w:tcPr>
            <w:tcW w:w="240" w:type="dxa"/>
            <w:vAlign w:val="bottom"/>
            <w:tcBorders>
              <w:top w:val="single" w:sz="8" w:color="F0FFFF"/>
            </w:tcBorders>
            <w:shd w:val="clear" w:color="auto" w:fill="F0FFFF"/>
          </w:tcPr>
          <w:p>
            <w:pPr>
              <w:spacing w:after="0"/>
              <w:rPr>
                <w:sz w:val="13"/>
                <w:szCs w:val="13"/>
                <w:color w:val="auto"/>
              </w:rPr>
            </w:pPr>
          </w:p>
        </w:tc>
        <w:tc>
          <w:tcPr>
            <w:tcW w:w="680" w:type="dxa"/>
            <w:vAlign w:val="bottom"/>
            <w:tcBorders>
              <w:top w:val="single" w:sz="8" w:color="auto"/>
            </w:tcBorders>
            <w:shd w:val="clear" w:color="auto" w:fill="F0FFFF"/>
          </w:tcPr>
          <w:p>
            <w:pPr>
              <w:jc w:val="right"/>
              <w:spacing w:after="0" w:line="155" w:lineRule="exact"/>
              <w:rPr>
                <w:sz w:val="20"/>
                <w:szCs w:val="20"/>
                <w:color w:val="auto"/>
              </w:rPr>
            </w:pPr>
            <w:r>
              <w:rPr>
                <w:rFonts w:ascii="Times New Roman" w:cs="Times New Roman" w:eastAsia="Times New Roman" w:hAnsi="Times New Roman"/>
                <w:sz w:val="14"/>
                <w:szCs w:val="14"/>
                <w:color w:val="auto"/>
              </w:rPr>
              <w:t>9.43</w:t>
            </w:r>
          </w:p>
        </w:tc>
        <w:tc>
          <w:tcPr>
            <w:tcW w:w="220" w:type="dxa"/>
            <w:vAlign w:val="bottom"/>
            <w:tcBorders>
              <w:top w:val="single" w:sz="8" w:color="F0FFFF"/>
            </w:tcBorders>
            <w:shd w:val="clear" w:color="auto" w:fill="F0FFFF"/>
          </w:tcPr>
          <w:p>
            <w:pPr>
              <w:spacing w:after="0"/>
              <w:rPr>
                <w:sz w:val="13"/>
                <w:szCs w:val="13"/>
                <w:color w:val="auto"/>
              </w:rPr>
            </w:pPr>
          </w:p>
        </w:tc>
        <w:tc>
          <w:tcPr>
            <w:tcW w:w="680" w:type="dxa"/>
            <w:vAlign w:val="bottom"/>
            <w:tcBorders>
              <w:top w:val="single" w:sz="8" w:color="auto"/>
            </w:tcBorders>
            <w:shd w:val="clear" w:color="auto" w:fill="F0FFFF"/>
          </w:tcPr>
          <w:p>
            <w:pPr>
              <w:jc w:val="right"/>
              <w:spacing w:after="0" w:line="155" w:lineRule="exact"/>
              <w:rPr>
                <w:sz w:val="20"/>
                <w:szCs w:val="20"/>
                <w:color w:val="auto"/>
              </w:rPr>
            </w:pPr>
            <w:r>
              <w:rPr>
                <w:rFonts w:ascii="Times New Roman" w:cs="Times New Roman" w:eastAsia="Times New Roman" w:hAnsi="Times New Roman"/>
                <w:sz w:val="14"/>
                <w:szCs w:val="14"/>
                <w:color w:val="auto"/>
              </w:rPr>
              <w:t>9.41</w:t>
            </w:r>
          </w:p>
        </w:tc>
        <w:tc>
          <w:tcPr>
            <w:tcW w:w="120" w:type="dxa"/>
            <w:vAlign w:val="bottom"/>
            <w:tcBorders>
              <w:top w:val="single" w:sz="8" w:color="F0FFFF"/>
            </w:tcBorders>
            <w:shd w:val="clear" w:color="auto" w:fill="F0FFFF"/>
          </w:tcPr>
          <w:p>
            <w:pPr>
              <w:spacing w:after="0"/>
              <w:rPr>
                <w:sz w:val="13"/>
                <w:szCs w:val="13"/>
                <w:color w:val="auto"/>
              </w:rPr>
            </w:pPr>
          </w:p>
        </w:tc>
      </w:tr>
      <w:tr>
        <w:trPr>
          <w:trHeight w:val="169"/>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Effect of preferred equity</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9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(.09)</w:t>
            </w:r>
          </w:p>
        </w:tc>
      </w:tr>
      <w:tr>
        <w:trPr>
          <w:trHeight w:val="187"/>
        </w:trPr>
        <w:tc>
          <w:tcPr>
            <w:tcW w:w="7000" w:type="dxa"/>
            <w:vAlign w:val="bottom"/>
            <w:tcBorders>
              <w:top w:val="single" w:sz="8" w:color="F0FFFF"/>
              <w:bottom w:val="single" w:sz="8" w:color="F0FFFF"/>
            </w:tcBorders>
            <w:shd w:val="clear" w:color="auto" w:fill="F0FFFF"/>
          </w:tcPr>
          <w:p>
            <w:pPr>
              <w:ind w:left="180"/>
              <w:spacing w:after="0"/>
              <w:rPr>
                <w:sz w:val="20"/>
                <w:szCs w:val="20"/>
                <w:color w:val="auto"/>
              </w:rPr>
            </w:pPr>
            <w:r>
              <w:rPr>
                <w:rFonts w:ascii="Times New Roman" w:cs="Times New Roman" w:eastAsia="Times New Roman" w:hAnsi="Times New Roman"/>
                <w:sz w:val="14"/>
                <w:szCs w:val="14"/>
                <w:color w:val="auto"/>
              </w:rPr>
              <w:t>Tangible common equity to assets</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220" w:type="dxa"/>
            <w:vAlign w:val="bottom"/>
            <w:tcBorders>
              <w:top w:val="single" w:sz="8" w:color="F0FFFF"/>
              <w:bottom w:val="single" w:sz="8" w:color="F0FFFF"/>
            </w:tcBorders>
            <w:shd w:val="clear" w:color="auto" w:fill="F0FF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240" w:type="dxa"/>
            <w:vAlign w:val="bottom"/>
            <w:tcBorders>
              <w:top w:val="single" w:sz="8" w:color="F0FFFF"/>
              <w:bottom w:val="single" w:sz="8" w:color="F0FFFF"/>
            </w:tcBorders>
            <w:shd w:val="clear" w:color="auto" w:fill="F0FF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240" w:type="dxa"/>
            <w:vAlign w:val="bottom"/>
            <w:tcBorders>
              <w:top w:val="single" w:sz="8" w:color="F0FFFF"/>
              <w:bottom w:val="single" w:sz="8" w:color="F0FFFF"/>
            </w:tcBorders>
            <w:shd w:val="clear" w:color="auto" w:fill="F0FF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220" w:type="dxa"/>
            <w:vAlign w:val="bottom"/>
            <w:tcBorders>
              <w:top w:val="single" w:sz="8" w:color="F0FFFF"/>
              <w:bottom w:val="single" w:sz="8" w:color="F0FFFF"/>
            </w:tcBorders>
            <w:shd w:val="clear" w:color="auto" w:fill="F0FF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20"/>
        </w:trPr>
        <w:tc>
          <w:tcPr>
            <w:tcW w:w="700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r>
    </w:tbl>
    <w:p>
      <w:pPr>
        <w:spacing w:after="0" w:line="124" w:lineRule="exact"/>
        <w:rPr>
          <w:sz w:val="20"/>
          <w:szCs w:val="20"/>
          <w:color w:val="auto"/>
        </w:rPr>
      </w:pPr>
    </w:p>
    <w:p>
      <w:pPr>
        <w:sectPr>
          <w:pgSz w:w="11900" w:h="16838" w:orient="portrait"/>
          <w:cols w:equalWidth="0" w:num="1">
            <w:col w:w="11420"/>
          </w:cols>
          <w:pgMar w:left="240" w:top="576" w:right="239" w:bottom="1076"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Tangible common equity to risk-weighted assets reconciliation</w:t>
      </w:r>
    </w:p>
    <w:p>
      <w:pPr>
        <w:spacing w:after="0" w:line="229" w:lineRule="auto"/>
        <w:rPr>
          <w:sz w:val="20"/>
          <w:szCs w:val="20"/>
          <w:color w:val="auto"/>
        </w:rPr>
      </w:pPr>
      <w:r>
        <w:rPr>
          <w:rFonts w:ascii="Times New Roman" w:cs="Times New Roman" w:eastAsia="Times New Roman" w:hAnsi="Times New Roman"/>
          <w:sz w:val="14"/>
          <w:szCs w:val="14"/>
          <w:color w:val="auto"/>
        </w:rPr>
        <w:t>Tier 1 capital ratio (Regulatory)</w:t>
      </w:r>
    </w:p>
    <w:p>
      <w:pPr>
        <w:spacing w:after="0" w:line="222" w:lineRule="auto"/>
        <w:rPr>
          <w:sz w:val="20"/>
          <w:szCs w:val="20"/>
          <w:color w:val="auto"/>
        </w:rPr>
      </w:pPr>
      <w:r>
        <w:rPr>
          <w:rFonts w:ascii="Times New Roman" w:cs="Times New Roman" w:eastAsia="Times New Roman" w:hAnsi="Times New Roman"/>
          <w:sz w:val="14"/>
          <w:szCs w:val="14"/>
          <w:color w:val="auto"/>
        </w:rPr>
        <w:t>Effect of other comprehensive income</w:t>
      </w:r>
    </w:p>
    <w:p>
      <w:pPr>
        <w:spacing w:after="0" w:line="221" w:lineRule="auto"/>
        <w:rPr>
          <w:sz w:val="20"/>
          <w:szCs w:val="20"/>
          <w:color w:val="auto"/>
        </w:rPr>
      </w:pPr>
      <w:r>
        <w:rPr>
          <w:rFonts w:ascii="Times New Roman" w:cs="Times New Roman" w:eastAsia="Times New Roman" w:hAnsi="Times New Roman"/>
          <w:sz w:val="14"/>
          <w:szCs w:val="14"/>
          <w:color w:val="auto"/>
        </w:rPr>
        <w:t>Effect of deferred tax limitation</w:t>
      </w:r>
    </w:p>
    <w:p>
      <w:pPr>
        <w:spacing w:after="0" w:line="222" w:lineRule="auto"/>
        <w:rPr>
          <w:sz w:val="20"/>
          <w:szCs w:val="20"/>
          <w:color w:val="auto"/>
        </w:rPr>
      </w:pPr>
      <w:r>
        <w:rPr>
          <w:rFonts w:ascii="Times New Roman" w:cs="Times New Roman" w:eastAsia="Times New Roman" w:hAnsi="Times New Roman"/>
          <w:sz w:val="14"/>
          <w:szCs w:val="14"/>
          <w:color w:val="auto"/>
        </w:rPr>
        <w:t>Effect of trust preferred</w:t>
      </w:r>
    </w:p>
    <w:p>
      <w:pPr>
        <w:spacing w:after="0"/>
        <w:rPr>
          <w:sz w:val="20"/>
          <w:szCs w:val="20"/>
          <w:color w:val="auto"/>
        </w:rPr>
      </w:pPr>
      <w:r>
        <w:rPr>
          <w:rFonts w:ascii="Times New Roman" w:cs="Times New Roman" w:eastAsia="Times New Roman" w:hAnsi="Times New Roman"/>
          <w:sz w:val="14"/>
          <w:szCs w:val="14"/>
          <w:color w:val="auto"/>
        </w:rPr>
        <w:t>Basel III intangibles transition adjustment</w:t>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Tangible common equity to risk-weighted assets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11.46%</w:t>
            </w: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11.23%</w:t>
            </w: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11.04%</w:t>
            </w:r>
          </w:p>
        </w:tc>
        <w:tc>
          <w:tcPr>
            <w:tcW w:w="9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11.44%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11.32%</w:t>
            </w:r>
          </w:p>
        </w:tc>
      </w:tr>
      <w:tr>
        <w:trPr>
          <w:trHeight w:val="149"/>
        </w:trPr>
        <w:tc>
          <w:tcPr>
            <w:tcW w:w="9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92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9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8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(.25)</w:t>
            </w:r>
          </w:p>
        </w:tc>
      </w:tr>
      <w:tr>
        <w:trPr>
          <w:trHeight w:val="149"/>
        </w:trPr>
        <w:tc>
          <w:tcPr>
            <w:tcW w:w="9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9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9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9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120" w:type="dxa"/>
            <w:vAlign w:val="bottom"/>
          </w:tcPr>
          <w:p>
            <w:pPr>
              <w:spacing w:after="0"/>
              <w:rPr>
                <w:sz w:val="12"/>
                <w:szCs w:val="12"/>
                <w:color w:val="auto"/>
              </w:rPr>
            </w:pPr>
          </w:p>
        </w:tc>
      </w:tr>
      <w:tr>
        <w:trPr>
          <w:trHeight w:val="149"/>
        </w:trPr>
        <w:tc>
          <w:tcPr>
            <w:tcW w:w="9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92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9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9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8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(.08)</w:t>
            </w:r>
          </w:p>
        </w:tc>
      </w:tr>
      <w:tr>
        <w:trPr>
          <w:trHeight w:val="192"/>
        </w:trPr>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(.03)</w:t>
            </w:r>
          </w:p>
        </w:tc>
        <w:tc>
          <w:tcPr>
            <w:tcW w:w="9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(.06)</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(.06)</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(.06)</w:t>
            </w: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(.07)</w:t>
            </w:r>
          </w:p>
        </w:tc>
      </w:tr>
      <w:tr>
        <w:trPr>
          <w:trHeight w:val="162"/>
        </w:trPr>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21"/>
        </w:trPr>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-728345</wp:posOffset>
            </wp:positionV>
            <wp:extent cx="7246620" cy="94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-539750</wp:posOffset>
            </wp:positionV>
            <wp:extent cx="7246620" cy="94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-351155</wp:posOffset>
            </wp:positionV>
            <wp:extent cx="7246620" cy="94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-145415</wp:posOffset>
            </wp:positionV>
            <wp:extent cx="724662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80" w:space="720"/>
            <w:col w:w="4420"/>
          </w:cols>
          <w:pgMar w:left="240" w:top="576" w:right="239" w:bottom="1076" w:gutter="0" w:footer="0" w:header="0"/>
          <w:type w:val="continuous"/>
        </w:sectPr>
      </w:pP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076"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Net Interest Revenue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interest revenue (the difference between the interest earned on assets and the interest paid on deposits and borrowed funds) is the single largest component of total revenue. Management seeks to optimize this revenue while balancing interest rate, credit and liquidity risks. Net interest revenue for the first quarter of 2017 was $83.6 million. Taxable equivalent net interest revenue for the first quarter of 2017 was $83.9 million, which represents an increase of $8.67 million from the same period in 2016. The combination of the larger earning asset base from the acquisition of Tidelands and growth in the loan portfolio were responsible for the increase in net interest revenue.</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loans increased $900 million, or 15%, from the first quarter of last year, while the yield on loans decreased two basis points, reflecting ongoing pricing pressure on new and renewed loans partially offset by the effect of rising interest rates on the floating rate loans in the portfolio.</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Average interest-earning assets for the first quarter of 2017 increased $996 million, or 11%, from the first quarter of 2016, which was due primarily to the increase in loans, including the acquisition of Tidelands loans. Average investment securities for the first quarter of 2017 increased $103 million from a year ago, partially due to the Tidelands acquisition. The average yield on the taxable investment portfolio increased 19 basis points from a year ago, primarily due to the impact of higher short-term interest rates on the floating rate portion of the securities portfolio as well as accelerated discount accretion on called asset-backed securities and a higher reinvestment rate on maturing fixed rate investments.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Average interest-bearing liabilities of $6.82 billion for the first quarter of 2017 increased $577 million from the first quarter of 2016. Average non-interest-bearing deposits increased $397 million from the first quarter of 2016 to $2.64 billion for the first quarter of 2017. The average cost of interest-bearing liabilities for the first quarter of 2017 was .44% compared to .37% for the same period in 2016, reflecting higher average rates on money market deposits, NOW deposits and brokered time deposits.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non-interest-bearing deposits and stockholders’ equity.</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first quarters of 2017 and 2016, the net interest spread was 3.30%, while the net interest margin was 3.45% and 3.41%, respectively. The increase in the net interest margin reflects the impact of higher short-term interest rates on floating-rate loans and securities, while deposit pricing increased slightly from the prior year. Additionally, United was able to improve its overall yield on interest-earning assets through growth in the loan portfolio, which had a positive impact on the composition of interest-earning assets, and higher yields on fixed rate investments.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2" w:name="page43"/>
    <w:bookmarkEnd w:id="42"/>
    <w:p>
      <w:pPr>
        <w:spacing w:after="0" w:line="282" w:lineRule="auto"/>
        <w:rPr>
          <w:sz w:val="20"/>
          <w:szCs w:val="20"/>
          <w:color w:val="auto"/>
        </w:rPr>
      </w:pPr>
      <w:r>
        <w:rPr>
          <w:rFonts w:ascii="Times New Roman" w:cs="Times New Roman" w:eastAsia="Times New Roman" w:hAnsi="Times New Roman"/>
          <w:sz w:val="18"/>
          <w:szCs w:val="18"/>
          <w:color w:val="auto"/>
        </w:rPr>
        <w:t>The following tables show the relationship between interest revenue and expense, and the average amounts of interest-earning assets and interest-bearing liabilities for the periods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2 - Average Consolidated Balance Sheets and Net Interest Analysis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07"/>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Avg.</w:t>
            </w:r>
          </w:p>
        </w:tc>
        <w:tc>
          <w:tcPr>
            <w:tcW w:w="2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Avg.</w:t>
            </w:r>
          </w:p>
        </w:tc>
        <w:tc>
          <w:tcPr>
            <w:tcW w:w="160" w:type="dxa"/>
            <w:vAlign w:val="bottom"/>
          </w:tcPr>
          <w:p>
            <w:pPr>
              <w:spacing w:after="0"/>
              <w:rPr>
                <w:sz w:val="18"/>
                <w:szCs w:val="18"/>
                <w:color w:val="auto"/>
              </w:rPr>
            </w:pPr>
          </w:p>
        </w:tc>
      </w:tr>
      <w:tr>
        <w:trPr>
          <w:trHeight w:val="245"/>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fully taxable equivalent (FTE))</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216"/>
        </w:trPr>
        <w:tc>
          <w:tcPr>
            <w:tcW w:w="5580" w:type="dxa"/>
            <w:vAlign w:val="bottom"/>
            <w:tcBorders>
              <w:top w:val="single" w:sz="8" w:color="auto"/>
            </w:tcBorders>
            <w:shd w:val="clear" w:color="auto" w:fill="F0FF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F0FFFF"/>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spacing w:after="0"/>
              <w:rPr>
                <w:sz w:val="18"/>
                <w:szCs w:val="18"/>
                <w:color w:val="auto"/>
              </w:rPr>
            </w:pPr>
          </w:p>
        </w:tc>
        <w:tc>
          <w:tcPr>
            <w:tcW w:w="280" w:type="dxa"/>
            <w:vAlign w:val="bottom"/>
            <w:tcBorders>
              <w:top w:val="single" w:sz="8" w:color="F0FFFF"/>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r>
      <w:tr>
        <w:trPr>
          <w:trHeight w:val="216"/>
        </w:trPr>
        <w:tc>
          <w:tcPr>
            <w:tcW w:w="5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Interest-earning assets: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5700" w:type="dxa"/>
            <w:vAlign w:val="bottom"/>
            <w:gridSpan w:val="2"/>
            <w:shd w:val="clear" w:color="auto" w:fill="F0FF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Loans, net of unearned income (FTE) </w:t>
            </w:r>
            <w:r>
              <w:rPr>
                <w:rFonts w:ascii="Times New Roman" w:cs="Times New Roman" w:eastAsia="Times New Roman" w:hAnsi="Times New Roman"/>
                <w:sz w:val="29"/>
                <w:szCs w:val="29"/>
                <w:color w:val="auto"/>
                <w:vertAlign w:val="superscript"/>
              </w:rPr>
              <w:t>(1)(2)</w:t>
            </w:r>
          </w:p>
        </w:tc>
        <w:tc>
          <w:tcPr>
            <w:tcW w:w="11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$ 6,903,860</w:t>
            </w:r>
          </w:p>
        </w:tc>
        <w:tc>
          <w:tcPr>
            <w:tcW w:w="9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$ 72,741</w:t>
            </w:r>
          </w:p>
        </w:tc>
        <w:tc>
          <w:tcPr>
            <w:tcW w:w="940" w:type="dxa"/>
            <w:vAlign w:val="bottom"/>
            <w:gridSpan w:val="2"/>
            <w:shd w:val="clear" w:color="auto" w:fill="F0FFFF"/>
          </w:tcPr>
          <w:p>
            <w:pPr>
              <w:ind w:left="340"/>
              <w:spacing w:after="0"/>
              <w:rPr>
                <w:sz w:val="20"/>
                <w:szCs w:val="20"/>
                <w:color w:val="auto"/>
              </w:rPr>
            </w:pPr>
            <w:r>
              <w:rPr>
                <w:rFonts w:ascii="Times New Roman" w:cs="Times New Roman" w:eastAsia="Times New Roman" w:hAnsi="Times New Roman"/>
                <w:sz w:val="18"/>
                <w:szCs w:val="18"/>
                <w:color w:val="auto"/>
              </w:rPr>
              <w:t>4.27%</w:t>
            </w:r>
          </w:p>
        </w:tc>
        <w:tc>
          <w:tcPr>
            <w:tcW w:w="10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w w:val="93"/>
              </w:rPr>
              <w:t>$ 6,003,568</w:t>
            </w:r>
          </w:p>
        </w:tc>
        <w:tc>
          <w:tcPr>
            <w:tcW w:w="9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$ 64,044</w:t>
            </w:r>
          </w:p>
        </w:tc>
        <w:tc>
          <w:tcPr>
            <w:tcW w:w="820" w:type="dxa"/>
            <w:vAlign w:val="bottom"/>
            <w:gridSpan w:val="2"/>
            <w:shd w:val="clear" w:color="auto" w:fill="F0FFFF"/>
          </w:tcPr>
          <w:p>
            <w:pPr>
              <w:ind w:left="340"/>
              <w:spacing w:after="0"/>
              <w:rPr>
                <w:sz w:val="20"/>
                <w:szCs w:val="20"/>
                <w:color w:val="auto"/>
              </w:rPr>
            </w:pPr>
            <w:r>
              <w:rPr>
                <w:rFonts w:ascii="Times New Roman" w:cs="Times New Roman" w:eastAsia="Times New Roman" w:hAnsi="Times New Roman"/>
                <w:sz w:val="18"/>
                <w:szCs w:val="18"/>
                <w:color w:val="auto"/>
                <w:w w:val="98"/>
              </w:rPr>
              <w:t>4.29%</w:t>
            </w:r>
          </w:p>
        </w:tc>
      </w:tr>
      <w:tr>
        <w:trPr>
          <w:trHeight w:val="257"/>
        </w:trPr>
        <w:tc>
          <w:tcPr>
            <w:tcW w:w="570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Taxable securities </w:t>
            </w:r>
            <w:r>
              <w:rPr>
                <w:rFonts w:ascii="Times New Roman" w:cs="Times New Roman" w:eastAsia="Times New Roman" w:hAnsi="Times New Roman"/>
                <w:sz w:val="29"/>
                <w:szCs w:val="29"/>
                <w:color w:val="auto"/>
                <w:vertAlign w:val="superscript"/>
              </w:rPr>
              <w:t>(3)</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2,779,625</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17,433</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2.51</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2,688,564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15,622</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2.32</w:t>
            </w:r>
          </w:p>
        </w:tc>
      </w:tr>
      <w:tr>
        <w:trPr>
          <w:trHeight w:val="257"/>
        </w:trPr>
        <w:tc>
          <w:tcPr>
            <w:tcW w:w="5700" w:type="dxa"/>
            <w:vAlign w:val="bottom"/>
            <w:gridSpan w:val="2"/>
            <w:shd w:val="clear" w:color="auto" w:fill="F0FF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Tax-exempt securities (FTE) </w:t>
            </w:r>
            <w:r>
              <w:rPr>
                <w:rFonts w:ascii="Times New Roman" w:cs="Times New Roman" w:eastAsia="Times New Roman" w:hAnsi="Times New Roman"/>
                <w:sz w:val="29"/>
                <w:szCs w:val="29"/>
                <w:color w:val="auto"/>
                <w:vertAlign w:val="superscript"/>
              </w:rPr>
              <w:t>(1)(3)</w:t>
            </w:r>
          </w:p>
        </w:tc>
        <w:tc>
          <w:tcPr>
            <w:tcW w:w="11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42,180</w:t>
            </w:r>
          </w:p>
        </w:tc>
        <w:tc>
          <w:tcPr>
            <w:tcW w:w="9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457</w:t>
            </w:r>
          </w:p>
        </w:tc>
        <w:tc>
          <w:tcPr>
            <w:tcW w:w="940" w:type="dxa"/>
            <w:vAlign w:val="bottom"/>
            <w:gridSpan w:val="2"/>
            <w:shd w:val="clear" w:color="auto" w:fill="F0FFFF"/>
          </w:tcPr>
          <w:p>
            <w:pPr>
              <w:ind w:left="340"/>
              <w:spacing w:after="0"/>
              <w:rPr>
                <w:sz w:val="20"/>
                <w:szCs w:val="20"/>
                <w:color w:val="auto"/>
              </w:rPr>
            </w:pPr>
            <w:r>
              <w:rPr>
                <w:rFonts w:ascii="Times New Roman" w:cs="Times New Roman" w:eastAsia="Times New Roman" w:hAnsi="Times New Roman"/>
                <w:sz w:val="18"/>
                <w:szCs w:val="18"/>
                <w:color w:val="auto"/>
              </w:rPr>
              <w:t>4.33</w:t>
            </w:r>
          </w:p>
        </w:tc>
        <w:tc>
          <w:tcPr>
            <w:tcW w:w="10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29,744</w:t>
            </w:r>
          </w:p>
        </w:tc>
        <w:tc>
          <w:tcPr>
            <w:tcW w:w="9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820" w:type="dxa"/>
            <w:vAlign w:val="bottom"/>
            <w:gridSpan w:val="2"/>
            <w:shd w:val="clear" w:color="auto" w:fill="F0FFFF"/>
          </w:tcPr>
          <w:p>
            <w:pPr>
              <w:ind w:left="340"/>
              <w:spacing w:after="0"/>
              <w:rPr>
                <w:sz w:val="20"/>
                <w:szCs w:val="20"/>
                <w:color w:val="auto"/>
              </w:rPr>
            </w:pPr>
            <w:r>
              <w:rPr>
                <w:rFonts w:ascii="Times New Roman" w:cs="Times New Roman" w:eastAsia="Times New Roman" w:hAnsi="Times New Roman"/>
                <w:sz w:val="18"/>
                <w:szCs w:val="18"/>
                <w:color w:val="auto"/>
              </w:rPr>
              <w:t>3.66</w:t>
            </w:r>
          </w:p>
        </w:tc>
      </w:tr>
      <w:tr>
        <w:trPr>
          <w:trHeight w:val="237"/>
        </w:trPr>
        <w:tc>
          <w:tcPr>
            <w:tcW w:w="5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Federal funds sold and other interest-earning assets</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146,027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664</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1.82</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153,759</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1,053</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55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66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F0FFFF"/>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66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796" w:right="239" w:bottom="1440" w:gutter="0" w:footer="0" w:header="0"/>
        </w:sectPr>
      </w:pPr>
    </w:p>
    <w:p>
      <w:pPr>
        <w:ind w:left="340"/>
        <w:spacing w:after="0"/>
        <w:rPr>
          <w:sz w:val="20"/>
          <w:szCs w:val="20"/>
          <w:color w:val="auto"/>
        </w:rPr>
      </w:pPr>
      <w:r>
        <w:rPr>
          <w:rFonts w:ascii="Times New Roman" w:cs="Times New Roman" w:eastAsia="Times New Roman" w:hAnsi="Times New Roman"/>
          <w:sz w:val="17"/>
          <w:szCs w:val="17"/>
          <w:b w:val="1"/>
          <w:bCs w:val="1"/>
          <w:color w:val="auto"/>
        </w:rPr>
        <w:t>Total interest-earning assets (FTE)</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Non-interest-earning assets: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Allowance for loan losses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and due from banks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Premises and equipment</w:t>
      </w:r>
    </w:p>
    <w:p>
      <w:pPr>
        <w:jc w:val="right"/>
        <w:ind w:right="3720"/>
        <w:spacing w:after="0" w:line="204" w:lineRule="auto"/>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30"/>
          <w:szCs w:val="30"/>
          <w:color w:val="auto"/>
          <w:vertAlign w:val="superscript"/>
        </w:rPr>
        <w:t>(3)</w:t>
      </w:r>
    </w:p>
    <w:p>
      <w:pPr>
        <w:spacing w:after="0" w:line="1" w:lineRule="exact"/>
        <w:rPr>
          <w:sz w:val="20"/>
          <w:szCs w:val="20"/>
          <w:color w:val="auto"/>
        </w:rPr>
      </w:pPr>
    </w:p>
    <w:p>
      <w:pPr>
        <w:jc w:val="right"/>
        <w:ind w:right="376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9,871,692</w:t>
            </w:r>
          </w:p>
        </w:tc>
        <w:tc>
          <w:tcPr>
            <w:tcW w:w="20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91,295</w:t>
            </w: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3.74</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8,875,635</w:t>
            </w:r>
          </w:p>
        </w:tc>
        <w:tc>
          <w:tcPr>
            <w:tcW w:w="20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80,991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7"/>
        </w:trPr>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414"/>
        </w:trPr>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(61,668)</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(68,473)</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99,253</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85,635</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4"/>
        </w:trPr>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190,096</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180,090</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7"/>
        </w:trPr>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577,168</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561,261</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0"/>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10,676,541</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$ 9,634,148</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1"/>
        </w:trPr>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-925830</wp:posOffset>
            </wp:positionV>
            <wp:extent cx="72466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-642620</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-368300</wp:posOffset>
            </wp:positionV>
            <wp:extent cx="7246620"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980" w:space="720"/>
            <w:col w:w="5720"/>
          </w:cols>
          <w:pgMar w:left="240" w:top="796"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7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5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5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F0FFFF"/>
          </w:tcPr>
          <w:p>
            <w:pPr>
              <w:ind w:left="4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Interest-bearing deposits: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F0FFFF"/>
          </w:tcPr>
          <w:p>
            <w:pPr>
              <w:ind w:left="340"/>
              <w:spacing w:after="0"/>
              <w:rPr>
                <w:sz w:val="20"/>
                <w:szCs w:val="20"/>
                <w:color w:val="auto"/>
              </w:rPr>
            </w:pPr>
            <w:r>
              <w:rPr>
                <w:rFonts w:ascii="Times New Roman" w:cs="Times New Roman" w:eastAsia="Times New Roman" w:hAnsi="Times New Roman"/>
                <w:sz w:val="18"/>
                <w:szCs w:val="18"/>
                <w:color w:val="auto"/>
              </w:rPr>
              <w:t>NOW</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1,959,678</w:t>
            </w:r>
          </w:p>
        </w:tc>
        <w:tc>
          <w:tcPr>
            <w:tcW w:w="14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597</w:t>
            </w:r>
          </w:p>
        </w:tc>
        <w:tc>
          <w:tcPr>
            <w:tcW w:w="940" w:type="dxa"/>
            <w:vAlign w:val="bottom"/>
            <w:gridSpan w:val="2"/>
            <w:shd w:val="clear" w:color="auto" w:fill="F0FFFF"/>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10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w w:val="93"/>
              </w:rPr>
              <w:t>$ 1,886,472</w:t>
            </w:r>
          </w:p>
        </w:tc>
        <w:tc>
          <w:tcPr>
            <w:tcW w:w="14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485</w:t>
            </w:r>
          </w:p>
        </w:tc>
        <w:tc>
          <w:tcPr>
            <w:tcW w:w="6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2,065,449</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1,426</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1,840,584</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F0FFFF"/>
          </w:tcPr>
          <w:p>
            <w:pPr>
              <w:ind w:left="340"/>
              <w:spacing w:after="0"/>
              <w:rPr>
                <w:sz w:val="20"/>
                <w:szCs w:val="20"/>
                <w:color w:val="auto"/>
              </w:rPr>
            </w:pPr>
            <w:r>
              <w:rPr>
                <w:rFonts w:ascii="Times New Roman" w:cs="Times New Roman" w:eastAsia="Times New Roman" w:hAnsi="Times New Roman"/>
                <w:sz w:val="18"/>
                <w:szCs w:val="18"/>
                <w:color w:val="auto"/>
              </w:rPr>
              <w:t>Savings</w:t>
            </w: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560,634</w:t>
            </w:r>
          </w:p>
        </w:tc>
        <w:tc>
          <w:tcPr>
            <w:tcW w:w="140" w:type="dxa"/>
            <w:vAlign w:val="bottom"/>
            <w:shd w:val="clear" w:color="auto" w:fill="F0FFFF"/>
          </w:tcPr>
          <w:p>
            <w:pPr>
              <w:spacing w:after="0"/>
              <w:rPr>
                <w:sz w:val="18"/>
                <w:szCs w:val="18"/>
                <w:color w:val="auto"/>
              </w:rPr>
            </w:pPr>
          </w:p>
        </w:tc>
        <w:tc>
          <w:tcPr>
            <w:tcW w:w="5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10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480,238</w:t>
            </w:r>
          </w:p>
        </w:tc>
        <w:tc>
          <w:tcPr>
            <w:tcW w:w="140" w:type="dxa"/>
            <w:vAlign w:val="bottom"/>
            <w:shd w:val="clear" w:color="auto" w:fill="F0FFFF"/>
          </w:tcPr>
          <w:p>
            <w:pPr>
              <w:spacing w:after="0"/>
              <w:rPr>
                <w:sz w:val="18"/>
                <w:szCs w:val="18"/>
                <w:color w:val="auto"/>
              </w:rPr>
            </w:pPr>
          </w:p>
        </w:tc>
        <w:tc>
          <w:tcPr>
            <w:tcW w:w="5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F0FFFF"/>
          </w:tcPr>
          <w:p>
            <w:pPr>
              <w:spacing w:after="0"/>
              <w:rPr>
                <w:sz w:val="18"/>
                <w:szCs w:val="18"/>
                <w:color w:val="auto"/>
              </w:rPr>
            </w:pPr>
          </w:p>
        </w:tc>
        <w:tc>
          <w:tcPr>
            <w:tcW w:w="6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Time</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1,263,946</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815</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1,259,689</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00" w:type="dxa"/>
            <w:vAlign w:val="bottom"/>
            <w:shd w:val="clear" w:color="auto" w:fill="F0FFFF"/>
          </w:tcPr>
          <w:p>
            <w:pPr>
              <w:ind w:left="340"/>
              <w:spacing w:after="0"/>
              <w:rPr>
                <w:sz w:val="20"/>
                <w:szCs w:val="20"/>
                <w:color w:val="auto"/>
              </w:rPr>
            </w:pPr>
            <w:r>
              <w:rPr>
                <w:rFonts w:ascii="Times New Roman" w:cs="Times New Roman" w:eastAsia="Times New Roman" w:hAnsi="Times New Roman"/>
                <w:sz w:val="18"/>
                <w:szCs w:val="18"/>
                <w:color w:val="auto"/>
              </w:rPr>
              <w:t>Brokered time deposits</w:t>
            </w:r>
          </w:p>
        </w:tc>
        <w:tc>
          <w:tcPr>
            <w:tcW w:w="10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98,340</w:t>
            </w:r>
          </w:p>
        </w:tc>
        <w:tc>
          <w:tcPr>
            <w:tcW w:w="140" w:type="dxa"/>
            <w:vAlign w:val="bottom"/>
            <w:shd w:val="clear" w:color="auto" w:fill="F0FFFF"/>
          </w:tcPr>
          <w:p>
            <w:pPr>
              <w:spacing w:after="0"/>
              <w:rPr>
                <w:sz w:val="21"/>
                <w:szCs w:val="21"/>
                <w:color w:val="auto"/>
              </w:rPr>
            </w:pPr>
          </w:p>
        </w:tc>
        <w:tc>
          <w:tcPr>
            <w:tcW w:w="7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940" w:type="dxa"/>
            <w:vAlign w:val="bottom"/>
            <w:gridSpan w:val="2"/>
            <w:shd w:val="clear" w:color="auto" w:fill="F0FFFF"/>
          </w:tcPr>
          <w:p>
            <w:pPr>
              <w:jc w:val="right"/>
              <w:ind w:right="280"/>
              <w:spacing w:after="0"/>
              <w:rPr>
                <w:sz w:val="20"/>
                <w:szCs w:val="20"/>
                <w:color w:val="auto"/>
              </w:rPr>
            </w:pPr>
            <w:r>
              <w:rPr>
                <w:rFonts w:ascii="Times New Roman" w:cs="Times New Roman" w:eastAsia="Times New Roman" w:hAnsi="Times New Roman"/>
                <w:sz w:val="18"/>
                <w:szCs w:val="18"/>
                <w:color w:val="auto"/>
              </w:rPr>
              <w:t>.80</w:t>
            </w:r>
          </w:p>
        </w:tc>
        <w:tc>
          <w:tcPr>
            <w:tcW w:w="10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233,213</w:t>
            </w:r>
          </w:p>
        </w:tc>
        <w:tc>
          <w:tcPr>
            <w:tcW w:w="140" w:type="dxa"/>
            <w:vAlign w:val="bottom"/>
            <w:shd w:val="clear" w:color="auto" w:fill="F0FFFF"/>
          </w:tcPr>
          <w:p>
            <w:pPr>
              <w:spacing w:after="0"/>
              <w:rPr>
                <w:sz w:val="21"/>
                <w:szCs w:val="21"/>
                <w:color w:val="auto"/>
              </w:rPr>
            </w:pPr>
          </w:p>
        </w:tc>
        <w:tc>
          <w:tcPr>
            <w:tcW w:w="7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c>
          <w:tcPr>
            <w:tcW w:w="8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5700" w:type="dxa"/>
            <w:vAlign w:val="bottom"/>
            <w:tcBorders>
              <w:top w:val="single" w:sz="8" w:color="F0FFFF"/>
              <w:bottom w:val="single" w:sz="8" w:color="F0FF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interest-bearing deposits</w:t>
            </w: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5,948,047</w:t>
            </w:r>
          </w:p>
        </w:tc>
        <w:tc>
          <w:tcPr>
            <w:tcW w:w="20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3,058</w:t>
            </w:r>
          </w:p>
        </w:tc>
        <w:tc>
          <w:tcPr>
            <w:tcW w:w="220" w:type="dxa"/>
            <w:vAlign w:val="bottom"/>
            <w:tcBorders>
              <w:top w:val="single" w:sz="8" w:color="F0FFFF"/>
              <w:bottom w:val="single" w:sz="8" w:color="F0FFFF"/>
            </w:tcBorders>
          </w:tcPr>
          <w:p>
            <w:pPr>
              <w:spacing w:after="0"/>
              <w:rPr>
                <w:sz w:val="18"/>
                <w:szCs w:val="18"/>
                <w:color w:val="auto"/>
              </w:rPr>
            </w:pPr>
          </w:p>
        </w:tc>
        <w:tc>
          <w:tcPr>
            <w:tcW w:w="940" w:type="dxa"/>
            <w:vAlign w:val="bottom"/>
            <w:tcBorders>
              <w:top w:val="single" w:sz="8" w:color="F0FFFF"/>
              <w:bottom w:val="single" w:sz="8" w:color="F0FFFF"/>
            </w:tcBorders>
            <w:gridSpan w:val="2"/>
          </w:tcPr>
          <w:p>
            <w:pPr>
              <w:jc w:val="right"/>
              <w:ind w:right="280"/>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5,700,196</w:t>
            </w:r>
          </w:p>
        </w:tc>
        <w:tc>
          <w:tcPr>
            <w:tcW w:w="22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2,264</w:t>
            </w:r>
          </w:p>
        </w:tc>
        <w:tc>
          <w:tcPr>
            <w:tcW w:w="220" w:type="dxa"/>
            <w:vAlign w:val="bottom"/>
            <w:tcBorders>
              <w:top w:val="single" w:sz="8" w:color="F0FFFF"/>
              <w:bottom w:val="single" w:sz="8" w:color="F0FFFF"/>
            </w:tcBorders>
          </w:tcPr>
          <w:p>
            <w:pPr>
              <w:spacing w:after="0"/>
              <w:rPr>
                <w:sz w:val="18"/>
                <w:szCs w:val="18"/>
                <w:color w:val="auto"/>
              </w:rPr>
            </w:pPr>
          </w:p>
        </w:tc>
        <w:tc>
          <w:tcPr>
            <w:tcW w:w="660" w:type="dxa"/>
            <w:vAlign w:val="bottom"/>
            <w:tcBorders>
              <w:top w:val="single" w:sz="8" w:color="F0FFFF"/>
              <w:bottom w:val="single" w:sz="8" w:color="F0FF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funds purchased and other borrowings</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19,031</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34,906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681,117</w:t>
            </w:r>
          </w:p>
        </w:tc>
        <w:tc>
          <w:tcPr>
            <w:tcW w:w="14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1,430</w:t>
            </w:r>
          </w:p>
        </w:tc>
        <w:tc>
          <w:tcPr>
            <w:tcW w:w="940" w:type="dxa"/>
            <w:vAlign w:val="bottom"/>
            <w:gridSpan w:val="2"/>
            <w:shd w:val="clear" w:color="auto" w:fill="F0FFFF"/>
          </w:tcPr>
          <w:p>
            <w:pPr>
              <w:jc w:val="right"/>
              <w:ind w:right="280"/>
              <w:spacing w:after="0"/>
              <w:rPr>
                <w:sz w:val="20"/>
                <w:szCs w:val="20"/>
                <w:color w:val="auto"/>
              </w:rPr>
            </w:pPr>
            <w:r>
              <w:rPr>
                <w:rFonts w:ascii="Times New Roman" w:cs="Times New Roman" w:eastAsia="Times New Roman" w:hAnsi="Times New Roman"/>
                <w:sz w:val="18"/>
                <w:szCs w:val="18"/>
                <w:color w:val="auto"/>
              </w:rPr>
              <w:t>.85</w:t>
            </w:r>
          </w:p>
        </w:tc>
        <w:tc>
          <w:tcPr>
            <w:tcW w:w="10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346,169</w:t>
            </w:r>
          </w:p>
        </w:tc>
        <w:tc>
          <w:tcPr>
            <w:tcW w:w="14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733</w:t>
            </w:r>
          </w:p>
        </w:tc>
        <w:tc>
          <w:tcPr>
            <w:tcW w:w="6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175,142</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2,876</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6.66</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165,419</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F0FFFF"/>
              <w:bottom w:val="single" w:sz="8" w:color="F0FFFF"/>
            </w:tcBorders>
            <w:shd w:val="clear" w:color="auto" w:fill="F0FFFF"/>
          </w:tcPr>
          <w:p>
            <w:pPr>
              <w:ind w:left="500"/>
              <w:spacing w:after="0"/>
              <w:rPr>
                <w:sz w:val="20"/>
                <w:szCs w:val="20"/>
                <w:color w:val="auto"/>
              </w:rPr>
            </w:pPr>
            <w:r>
              <w:rPr>
                <w:rFonts w:ascii="Times New Roman" w:cs="Times New Roman" w:eastAsia="Times New Roman" w:hAnsi="Times New Roman"/>
                <w:sz w:val="18"/>
                <w:szCs w:val="18"/>
                <w:color w:val="auto"/>
              </w:rPr>
              <w:t>Total borrowed funds</w:t>
            </w:r>
          </w:p>
        </w:tc>
        <w:tc>
          <w:tcPr>
            <w:tcW w:w="100" w:type="dxa"/>
            <w:vAlign w:val="bottom"/>
            <w:tcBorders>
              <w:top w:val="single" w:sz="8" w:color="auto"/>
              <w:bottom w:val="single" w:sz="8" w:color="auto"/>
            </w:tcBorders>
            <w:shd w:val="clear" w:color="auto" w:fill="F0FFFF"/>
          </w:tcPr>
          <w:p>
            <w:pPr>
              <w:spacing w:after="0"/>
              <w:rPr>
                <w:sz w:val="19"/>
                <w:szCs w:val="19"/>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875,290</w:t>
            </w:r>
          </w:p>
        </w:tc>
        <w:tc>
          <w:tcPr>
            <w:tcW w:w="200" w:type="dxa"/>
            <w:vAlign w:val="bottom"/>
            <w:tcBorders>
              <w:top w:val="single" w:sz="8" w:color="F0FFFF"/>
              <w:bottom w:val="single" w:sz="8" w:color="F0FFFF"/>
            </w:tcBorders>
            <w:shd w:val="clear" w:color="auto" w:fill="F0FFFF"/>
          </w:tcPr>
          <w:p>
            <w:pPr>
              <w:spacing w:after="0"/>
              <w:rPr>
                <w:sz w:val="19"/>
                <w:szCs w:val="19"/>
                <w:color w:val="auto"/>
              </w:rPr>
            </w:pPr>
          </w:p>
        </w:tc>
        <w:tc>
          <w:tcPr>
            <w:tcW w:w="140" w:type="dxa"/>
            <w:vAlign w:val="bottom"/>
            <w:tcBorders>
              <w:top w:val="single" w:sz="8" w:color="auto"/>
              <w:bottom w:val="single" w:sz="8" w:color="auto"/>
            </w:tcBorders>
            <w:shd w:val="clear" w:color="auto" w:fill="F0FFFF"/>
          </w:tcPr>
          <w:p>
            <w:pPr>
              <w:spacing w:after="0"/>
              <w:rPr>
                <w:sz w:val="19"/>
                <w:szCs w:val="19"/>
                <w:color w:val="auto"/>
              </w:rPr>
            </w:pPr>
          </w:p>
        </w:tc>
        <w:tc>
          <w:tcPr>
            <w:tcW w:w="5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940" w:type="dxa"/>
            <w:vAlign w:val="bottom"/>
            <w:tcBorders>
              <w:top w:val="single" w:sz="8" w:color="F0FFFF"/>
              <w:bottom w:val="single" w:sz="8" w:color="F0FFFF"/>
            </w:tcBorders>
            <w:gridSpan w:val="2"/>
            <w:shd w:val="clear" w:color="auto" w:fill="F0FFFF"/>
          </w:tcPr>
          <w:p>
            <w:pPr>
              <w:jc w:val="right"/>
              <w:ind w:right="280"/>
              <w:spacing w:after="0"/>
              <w:rPr>
                <w:sz w:val="20"/>
                <w:szCs w:val="20"/>
                <w:color w:val="auto"/>
              </w:rPr>
            </w:pPr>
            <w:r>
              <w:rPr>
                <w:rFonts w:ascii="Times New Roman" w:cs="Times New Roman" w:eastAsia="Times New Roman" w:hAnsi="Times New Roman"/>
                <w:sz w:val="18"/>
                <w:szCs w:val="18"/>
                <w:color w:val="auto"/>
              </w:rPr>
              <w:t>2.01</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546,494</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140" w:type="dxa"/>
            <w:vAlign w:val="bottom"/>
            <w:tcBorders>
              <w:top w:val="single" w:sz="8" w:color="auto"/>
              <w:bottom w:val="single" w:sz="8" w:color="auto"/>
            </w:tcBorders>
            <w:shd w:val="clear" w:color="auto" w:fill="F0FFFF"/>
          </w:tcPr>
          <w:p>
            <w:pPr>
              <w:spacing w:after="0"/>
              <w:rPr>
                <w:sz w:val="19"/>
                <w:szCs w:val="19"/>
                <w:color w:val="auto"/>
              </w:rPr>
            </w:pPr>
          </w:p>
        </w:tc>
        <w:tc>
          <w:tcPr>
            <w:tcW w:w="5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66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00" w:type="dxa"/>
            <w:vAlign w:val="bottom"/>
            <w:shd w:val="clear" w:color="auto" w:fill="F0FF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10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6,823,337</w:t>
            </w:r>
          </w:p>
        </w:tc>
        <w:tc>
          <w:tcPr>
            <w:tcW w:w="140" w:type="dxa"/>
            <w:vAlign w:val="bottom"/>
            <w:shd w:val="clear" w:color="auto" w:fill="F0FFFF"/>
          </w:tcPr>
          <w:p>
            <w:pPr>
              <w:spacing w:after="0"/>
              <w:rPr>
                <w:sz w:val="21"/>
                <w:szCs w:val="21"/>
                <w:color w:val="auto"/>
              </w:rPr>
            </w:pPr>
          </w:p>
        </w:tc>
        <w:tc>
          <w:tcPr>
            <w:tcW w:w="7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7,404</w:t>
            </w:r>
          </w:p>
        </w:tc>
        <w:tc>
          <w:tcPr>
            <w:tcW w:w="940" w:type="dxa"/>
            <w:vAlign w:val="bottom"/>
            <w:gridSpan w:val="2"/>
            <w:shd w:val="clear" w:color="auto" w:fill="F0FFFF"/>
          </w:tcPr>
          <w:p>
            <w:pPr>
              <w:jc w:val="right"/>
              <w:ind w:right="280"/>
              <w:spacing w:after="0"/>
              <w:rPr>
                <w:sz w:val="20"/>
                <w:szCs w:val="20"/>
                <w:color w:val="auto"/>
              </w:rPr>
            </w:pPr>
            <w:r>
              <w:rPr>
                <w:rFonts w:ascii="Times New Roman" w:cs="Times New Roman" w:eastAsia="Times New Roman" w:hAnsi="Times New Roman"/>
                <w:sz w:val="18"/>
                <w:szCs w:val="18"/>
                <w:color w:val="auto"/>
              </w:rPr>
              <w:t>.44</w:t>
            </w:r>
          </w:p>
        </w:tc>
        <w:tc>
          <w:tcPr>
            <w:tcW w:w="10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6,246,690</w:t>
            </w:r>
          </w:p>
        </w:tc>
        <w:tc>
          <w:tcPr>
            <w:tcW w:w="140" w:type="dxa"/>
            <w:vAlign w:val="bottom"/>
            <w:shd w:val="clear" w:color="auto" w:fill="F0FFFF"/>
          </w:tcPr>
          <w:p>
            <w:pPr>
              <w:spacing w:after="0"/>
              <w:rPr>
                <w:sz w:val="21"/>
                <w:szCs w:val="21"/>
                <w:color w:val="auto"/>
              </w:rPr>
            </w:pPr>
          </w:p>
        </w:tc>
        <w:tc>
          <w:tcPr>
            <w:tcW w:w="7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5,769</w:t>
            </w:r>
          </w:p>
        </w:tc>
        <w:tc>
          <w:tcPr>
            <w:tcW w:w="6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700" w:type="dxa"/>
            <w:vAlign w:val="bottom"/>
            <w:tcBorders>
              <w:top w:val="single" w:sz="8" w:color="F0FFFF"/>
            </w:tcBorders>
          </w:tcPr>
          <w:p>
            <w:pPr>
              <w:ind w:left="40"/>
              <w:spacing w:after="0" w:line="203" w:lineRule="exact"/>
              <w:rPr>
                <w:sz w:val="20"/>
                <w:szCs w:val="20"/>
                <w:color w:val="auto"/>
              </w:rPr>
            </w:pPr>
            <w:r>
              <w:rPr>
                <w:rFonts w:ascii="Times New Roman" w:cs="Times New Roman" w:eastAsia="Times New Roman" w:hAnsi="Times New Roman"/>
                <w:sz w:val="18"/>
                <w:szCs w:val="18"/>
                <w:color w:val="auto"/>
              </w:rPr>
              <w:t>Non-interest-bearing liabilities:</w:t>
            </w:r>
          </w:p>
        </w:tc>
        <w:tc>
          <w:tcPr>
            <w:tcW w:w="100" w:type="dxa"/>
            <w:vAlign w:val="bottom"/>
            <w:tcBorders>
              <w:top w:val="single" w:sz="8" w:color="F0FFFF"/>
            </w:tcBorders>
          </w:tcPr>
          <w:p>
            <w:pPr>
              <w:spacing w:after="0"/>
              <w:rPr>
                <w:sz w:val="17"/>
                <w:szCs w:val="17"/>
                <w:color w:val="auto"/>
              </w:rPr>
            </w:pPr>
          </w:p>
        </w:tc>
        <w:tc>
          <w:tcPr>
            <w:tcW w:w="820" w:type="dxa"/>
            <w:vAlign w:val="bottom"/>
            <w:tcBorders>
              <w:top w:val="single" w:sz="8" w:color="F0FFFF"/>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660" w:type="dxa"/>
            <w:vAlign w:val="bottom"/>
            <w:tcBorders>
              <w:top w:val="single" w:sz="8" w:color="F0FFFF"/>
            </w:tcBorders>
          </w:tcPr>
          <w:p>
            <w:pPr>
              <w:spacing w:after="0"/>
              <w:rPr>
                <w:sz w:val="17"/>
                <w:szCs w:val="17"/>
                <w:color w:val="auto"/>
              </w:rPr>
            </w:pPr>
          </w:p>
        </w:tc>
        <w:tc>
          <w:tcPr>
            <w:tcW w:w="280" w:type="dxa"/>
            <w:vAlign w:val="bottom"/>
            <w:tcBorders>
              <w:top w:val="single" w:sz="8" w:color="F0FFFF"/>
            </w:tcBorders>
          </w:tcPr>
          <w:p>
            <w:pPr>
              <w:spacing w:after="0"/>
              <w:rPr>
                <w:sz w:val="17"/>
                <w:szCs w:val="17"/>
                <w:color w:val="auto"/>
              </w:rPr>
            </w:pPr>
          </w:p>
        </w:tc>
        <w:tc>
          <w:tcPr>
            <w:tcW w:w="820" w:type="dxa"/>
            <w:vAlign w:val="bottom"/>
            <w:tcBorders>
              <w:top w:val="single" w:sz="8" w:color="F0FFFF"/>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660" w:type="dxa"/>
            <w:vAlign w:val="bottom"/>
            <w:tcBorders>
              <w:top w:val="single" w:sz="8" w:color="F0FFFF"/>
            </w:tcBorders>
          </w:tcPr>
          <w:p>
            <w:pPr>
              <w:spacing w:after="0"/>
              <w:rPr>
                <w:sz w:val="17"/>
                <w:szCs w:val="17"/>
                <w:color w:val="auto"/>
              </w:rPr>
            </w:pPr>
          </w:p>
        </w:tc>
        <w:tc>
          <w:tcPr>
            <w:tcW w:w="16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2,643,630</w:t>
            </w:r>
          </w:p>
        </w:tc>
        <w:tc>
          <w:tcPr>
            <w:tcW w:w="14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2,247,041</w:t>
            </w:r>
          </w:p>
        </w:tc>
        <w:tc>
          <w:tcPr>
            <w:tcW w:w="14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116,752</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107,320</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00" w:type="dxa"/>
            <w:vAlign w:val="bottom"/>
            <w:tcBorders>
              <w:top w:val="single" w:sz="8" w:color="F0FFFF"/>
            </w:tcBorders>
            <w:shd w:val="clear" w:color="auto" w:fill="F0FF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9,583,719</w:t>
            </w:r>
          </w:p>
        </w:tc>
        <w:tc>
          <w:tcPr>
            <w:tcW w:w="2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5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66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F0FFFF"/>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8,601,051</w:t>
            </w:r>
          </w:p>
        </w:tc>
        <w:tc>
          <w:tcPr>
            <w:tcW w:w="2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5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66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1,092,822</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1,033,097</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700" w:type="dxa"/>
            <w:vAlign w:val="bottom"/>
            <w:tcBorders>
              <w:top w:val="single" w:sz="8" w:color="F0FFFF"/>
              <w:bottom w:val="single" w:sz="8" w:color="F0FFFF"/>
            </w:tcBorders>
            <w:shd w:val="clear" w:color="auto" w:fill="F0FF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98"/>
              </w:rPr>
              <w:t>10,676,541</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54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66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F0FFFF"/>
              <w:bottom w:val="single" w:sz="8" w:color="F0FFFF"/>
            </w:tcBorders>
            <w:shd w:val="clear" w:color="auto" w:fill="F0FFFF"/>
          </w:tcPr>
          <w:p>
            <w:pPr>
              <w:spacing w:after="0"/>
              <w:rPr>
                <w:sz w:val="21"/>
                <w:szCs w:val="21"/>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93"/>
              </w:rPr>
              <w:t>$ 9,634,148</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54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66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5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66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5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66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700" w:type="dxa"/>
            <w:vAlign w:val="bottom"/>
            <w:shd w:val="clear" w:color="auto" w:fill="F0FFFF"/>
          </w:tcPr>
          <w:p>
            <w:pPr>
              <w:ind w:left="40"/>
              <w:spacing w:after="0"/>
              <w:rPr>
                <w:sz w:val="20"/>
                <w:szCs w:val="20"/>
                <w:color w:val="auto"/>
              </w:rPr>
            </w:pPr>
            <w:r>
              <w:rPr>
                <w:rFonts w:ascii="Times New Roman" w:cs="Times New Roman" w:eastAsia="Times New Roman" w:hAnsi="Times New Roman"/>
                <w:sz w:val="18"/>
                <w:szCs w:val="18"/>
                <w:b w:val="1"/>
                <w:bCs w:val="1"/>
                <w:color w:val="auto"/>
              </w:rPr>
              <w:t>Net interest revenue (FTE)</w:t>
            </w:r>
          </w:p>
        </w:tc>
        <w:tc>
          <w:tcPr>
            <w:tcW w:w="100" w:type="dxa"/>
            <w:vAlign w:val="bottom"/>
            <w:shd w:val="clear" w:color="auto" w:fill="F0FFFF"/>
          </w:tcPr>
          <w:p>
            <w:pPr>
              <w:spacing w:after="0"/>
              <w:rPr>
                <w:sz w:val="22"/>
                <w:szCs w:val="22"/>
                <w:color w:val="auto"/>
              </w:rPr>
            </w:pPr>
          </w:p>
        </w:tc>
        <w:tc>
          <w:tcPr>
            <w:tcW w:w="1160" w:type="dxa"/>
            <w:vAlign w:val="bottom"/>
            <w:gridSpan w:val="3"/>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83,891</w:t>
            </w:r>
          </w:p>
        </w:tc>
        <w:tc>
          <w:tcPr>
            <w:tcW w:w="66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1180" w:type="dxa"/>
            <w:vAlign w:val="bottom"/>
            <w:gridSpan w:val="3"/>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75,222</w:t>
            </w:r>
          </w:p>
        </w:tc>
        <w:tc>
          <w:tcPr>
            <w:tcW w:w="66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F0FFFF"/>
              <w:bottom w:val="single" w:sz="8" w:color="F0FF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interest-rate spread (FTE)</w:t>
            </w:r>
          </w:p>
        </w:tc>
        <w:tc>
          <w:tcPr>
            <w:tcW w:w="100" w:type="dxa"/>
            <w:vAlign w:val="bottom"/>
            <w:tcBorders>
              <w:top w:val="single" w:sz="8" w:color="F0FFFF"/>
            </w:tcBorders>
          </w:tcPr>
          <w:p>
            <w:pPr>
              <w:spacing w:after="0" w:line="20" w:lineRule="exact"/>
              <w:rPr>
                <w:sz w:val="1"/>
                <w:szCs w:val="1"/>
                <w:color w:val="auto"/>
              </w:rPr>
            </w:pPr>
          </w:p>
        </w:tc>
        <w:tc>
          <w:tcPr>
            <w:tcW w:w="8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940" w:type="dxa"/>
            <w:vAlign w:val="bottom"/>
            <w:tcBorders>
              <w:top w:val="single" w:sz="8" w:color="F0FFFF"/>
              <w:bottom w:val="single" w:sz="8" w:color="F0FFFF"/>
            </w:tcBorders>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3.30%</w:t>
            </w:r>
          </w:p>
        </w:tc>
        <w:tc>
          <w:tcPr>
            <w:tcW w:w="8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20" w:type="dxa"/>
            <w:vAlign w:val="bottom"/>
            <w:tcBorders>
              <w:top w:val="single" w:sz="8" w:color="F0FFFF"/>
              <w:bottom w:val="single" w:sz="8" w:color="F0FFFF"/>
            </w:tcBorders>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line="20" w:lineRule="exact"/>
              <w:rPr>
                <w:sz w:val="1"/>
                <w:szCs w:val="1"/>
                <w:color w:val="auto"/>
              </w:rPr>
            </w:pPr>
          </w:p>
        </w:tc>
      </w:tr>
      <w:tr>
        <w:trPr>
          <w:trHeight w:val="217"/>
        </w:trPr>
        <w:tc>
          <w:tcPr>
            <w:tcW w:w="5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8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5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8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5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40"/>
              <w:spacing w:after="0" w:line="202" w:lineRule="exact"/>
              <w:rPr>
                <w:sz w:val="20"/>
                <w:szCs w:val="20"/>
                <w:color w:val="auto"/>
              </w:rPr>
            </w:pPr>
            <w:r>
              <w:rPr>
                <w:rFonts w:ascii="Times New Roman" w:cs="Times New Roman" w:eastAsia="Times New Roman" w:hAnsi="Times New Roman"/>
                <w:sz w:val="15"/>
                <w:szCs w:val="15"/>
                <w:b w:val="1"/>
                <w:bCs w:val="1"/>
                <w:color w:val="auto"/>
              </w:rPr>
              <w:t xml:space="preserve">Net interest margin (FTE) </w:t>
            </w:r>
            <w:r>
              <w:rPr>
                <w:rFonts w:ascii="Times New Roman" w:cs="Times New Roman" w:eastAsia="Times New Roman" w:hAnsi="Times New Roman"/>
                <w:sz w:val="23"/>
                <w:szCs w:val="23"/>
                <w:b w:val="1"/>
                <w:bCs w:val="1"/>
                <w:color w:val="auto"/>
                <w:vertAlign w:val="superscript"/>
              </w:rPr>
              <w:t>(4)</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5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gridSpan w:val="2"/>
          </w:tcPr>
          <w:p>
            <w:pPr>
              <w:jc w:val="right"/>
              <w:ind w:right="280"/>
              <w:spacing w:after="0" w:line="81" w:lineRule="exact"/>
              <w:rPr>
                <w:sz w:val="20"/>
                <w:szCs w:val="20"/>
                <w:color w:val="auto"/>
              </w:rPr>
            </w:pPr>
            <w:r>
              <w:rPr>
                <w:rFonts w:ascii="Times New Roman" w:cs="Times New Roman" w:eastAsia="Times New Roman" w:hAnsi="Times New Roman"/>
                <w:sz w:val="9"/>
                <w:szCs w:val="9"/>
                <w:color w:val="auto"/>
              </w:rPr>
              <w:t>3.45</w:t>
            </w: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3.41</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20" w:hanging="332"/>
        <w:spacing w:after="0" w:line="195" w:lineRule="auto"/>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2"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Included in the average balance of loans outstanding are loans where the accrual of interest has been discontinued and loans that are held for sale.</w:t>
      </w:r>
    </w:p>
    <w:p>
      <w:pPr>
        <w:spacing w:after="0" w:line="2" w:lineRule="exact"/>
        <w:rPr>
          <w:rFonts w:ascii="Times New Roman" w:cs="Times New Roman" w:eastAsia="Times New Roman" w:hAnsi="Times New Roman"/>
          <w:sz w:val="25"/>
          <w:szCs w:val="25"/>
          <w:color w:val="auto"/>
          <w:vertAlign w:val="superscript"/>
        </w:rPr>
      </w:pPr>
    </w:p>
    <w:p>
      <w:pPr>
        <w:ind w:left="340" w:right="60" w:hanging="332"/>
        <w:spacing w:after="0" w:line="187" w:lineRule="auto"/>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Securities available for sale are shown at amortized cost. Pretax unrealized gains of $5.38 million in 2017 and pretax unrealized gains of $2.20 million in 2016 are included in other assets for purposes of this presentation.</w:t>
      </w:r>
    </w:p>
    <w:p>
      <w:pPr>
        <w:ind w:left="340" w:hanging="332"/>
        <w:spacing w:after="0" w:line="180" w:lineRule="auto"/>
        <w:tabs>
          <w:tab w:leader="none" w:pos="34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Net interest margin is taxable equivalent net-interest revenue divided by average interest-earning assets.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43" w:name="page44"/>
    <w:bookmarkEnd w:id="43"/>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72" w:lineRule="exact"/>
        <w:rPr>
          <w:sz w:val="20"/>
          <w:szCs w:val="20"/>
          <w:color w:val="auto"/>
        </w:rPr>
      </w:pPr>
    </w:p>
    <w:p>
      <w:pPr>
        <w:ind w:left="1140" w:right="40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Table 3 - Change in Interest Revenue and Expense on a Taxable Equivalent Basis </w:t>
      </w:r>
      <w:r>
        <w:rPr>
          <w:rFonts w:ascii="Times New Roman" w:cs="Times New Roman" w:eastAsia="Times New Roman" w:hAnsi="Times New Roman"/>
          <w:sz w:val="18"/>
          <w:szCs w:val="18"/>
          <w:i w:val="1"/>
          <w:iCs w:val="1"/>
          <w:color w:val="auto"/>
        </w:rPr>
        <w:t>(in thousands)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4160" w:type="dxa"/>
            <w:vAlign w:val="bottom"/>
            <w:gridSpan w:val="12"/>
          </w:tcPr>
          <w:p>
            <w:pPr>
              <w:ind w:left="126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8"/>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Compared to 2016</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8"/>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Increase (decrease)</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8"/>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Due to Changes in</w:t>
            </w:r>
          </w:p>
        </w:tc>
        <w:tc>
          <w:tcPr>
            <w:tcW w:w="6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3"/>
              </w:rPr>
              <w:t>Volume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top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12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70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Loans (FTE)</w:t>
            </w:r>
          </w:p>
        </w:tc>
        <w:tc>
          <w:tcPr>
            <w:tcW w:w="138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9,495</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(798)</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Taxable securities</w:t>
            </w:r>
          </w:p>
        </w:tc>
        <w:tc>
          <w:tcPr>
            <w:tcW w:w="1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Tax-exempt securities (FTE)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Federal funds sold and other interest-earning assets</w:t>
            </w:r>
          </w:p>
        </w:tc>
        <w:tc>
          <w:tcPr>
            <w:tcW w:w="128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82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8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7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F0FFFF"/>
              <w:bottom w:val="single" w:sz="8" w:color="F0FFFF"/>
            </w:tcBorders>
          </w:tcPr>
          <w:p>
            <w:pPr>
              <w:ind w:left="320"/>
              <w:spacing w:after="0" w:line="203" w:lineRule="exact"/>
              <w:rPr>
                <w:sz w:val="20"/>
                <w:szCs w:val="20"/>
                <w:color w:val="auto"/>
              </w:rPr>
            </w:pPr>
            <w:r>
              <w:rPr>
                <w:rFonts w:ascii="Times New Roman" w:cs="Times New Roman" w:eastAsia="Times New Roman" w:hAnsi="Times New Roman"/>
                <w:sz w:val="18"/>
                <w:szCs w:val="18"/>
                <w:b w:val="1"/>
                <w:bCs w:val="1"/>
                <w:color w:val="auto"/>
              </w:rPr>
              <w:t>Total interest-earning assets (FTE)</w:t>
            </w:r>
          </w:p>
        </w:tc>
        <w:tc>
          <w:tcPr>
            <w:tcW w:w="128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10,114</w:t>
            </w:r>
          </w:p>
        </w:tc>
        <w:tc>
          <w:tcPr>
            <w:tcW w:w="1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10,304</w:t>
            </w:r>
          </w:p>
        </w:tc>
        <w:tc>
          <w:tcPr>
            <w:tcW w:w="8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F0FFFF"/>
          </w:tcPr>
          <w:p>
            <w:pPr>
              <w:spacing w:after="0"/>
              <w:rPr>
                <w:sz w:val="18"/>
                <w:szCs w:val="18"/>
                <w:color w:val="auto"/>
              </w:rPr>
            </w:pPr>
          </w:p>
        </w:tc>
        <w:tc>
          <w:tcPr>
            <w:tcW w:w="1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NOW accounts</w:t>
            </w:r>
          </w:p>
        </w:tc>
        <w:tc>
          <w:tcPr>
            <w:tcW w:w="1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1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6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Brokered deposits</w:t>
            </w:r>
          </w:p>
        </w:tc>
        <w:tc>
          <w:tcPr>
            <w:tcW w:w="12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66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auto"/>
            </w:tcBorders>
            <w:shd w:val="clear" w:color="auto" w:fill="F0FFFF"/>
          </w:tcPr>
          <w:p>
            <w:pPr>
              <w:spacing w:after="0"/>
              <w:rPr>
                <w:sz w:val="21"/>
                <w:szCs w:val="21"/>
                <w:color w:val="auto"/>
              </w:rPr>
            </w:pPr>
          </w:p>
        </w:tc>
        <w:tc>
          <w:tcPr>
            <w:tcW w:w="64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F0FFFF"/>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rPr>
              <w:t>Total interest-bearing deposits</w:t>
            </w:r>
          </w:p>
        </w:tc>
        <w:tc>
          <w:tcPr>
            <w:tcW w:w="1280" w:type="dxa"/>
            <w:vAlign w:val="bottom"/>
            <w:tcBorders>
              <w:bottom w:val="single" w:sz="8" w:color="F0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F0FFFF"/>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573</w:t>
            </w:r>
          </w:p>
        </w:tc>
        <w:tc>
          <w:tcPr>
            <w:tcW w:w="120" w:type="dxa"/>
            <w:vAlign w:val="bottom"/>
            <w:tcBorders>
              <w:bottom w:val="single" w:sz="8" w:color="F0FFFF"/>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794</w:t>
            </w:r>
          </w:p>
        </w:tc>
        <w:tc>
          <w:tcPr>
            <w:tcW w:w="80" w:type="dxa"/>
            <w:vAlign w:val="bottom"/>
            <w:tcBorders>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Federal funds purchased &amp; other borrowings</w:t>
            </w:r>
          </w:p>
        </w:tc>
        <w:tc>
          <w:tcPr>
            <w:tcW w:w="1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6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66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auto"/>
            </w:tcBorders>
            <w:shd w:val="clear" w:color="auto" w:fill="F0FFFF"/>
          </w:tcPr>
          <w:p>
            <w:pPr>
              <w:spacing w:after="0"/>
              <w:rPr>
                <w:sz w:val="21"/>
                <w:szCs w:val="21"/>
                <w:color w:val="auto"/>
              </w:rPr>
            </w:pPr>
          </w:p>
        </w:tc>
        <w:tc>
          <w:tcPr>
            <w:tcW w:w="64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F0FFFF"/>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rPr>
              <w:t>Total borrowed funds</w:t>
            </w:r>
          </w:p>
        </w:tc>
        <w:tc>
          <w:tcPr>
            <w:tcW w:w="1280" w:type="dxa"/>
            <w:vAlign w:val="bottom"/>
            <w:tcBorders>
              <w:bottom w:val="single" w:sz="8" w:color="F0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827</w:t>
            </w:r>
          </w:p>
        </w:tc>
        <w:tc>
          <w:tcPr>
            <w:tcW w:w="120" w:type="dxa"/>
            <w:vAlign w:val="bottom"/>
            <w:tcBorders>
              <w:bottom w:val="single" w:sz="8" w:color="F0FFFF"/>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F0FFFF"/>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841</w:t>
            </w:r>
          </w:p>
        </w:tc>
        <w:tc>
          <w:tcPr>
            <w:tcW w:w="80" w:type="dxa"/>
            <w:vAlign w:val="bottom"/>
            <w:tcBorders>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F0FFFF"/>
            </w:tcBorders>
            <w:shd w:val="clear" w:color="auto" w:fill="F0FF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128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19"/>
                <w:szCs w:val="19"/>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spacing w:after="0"/>
              <w:rPr>
                <w:sz w:val="19"/>
                <w:szCs w:val="19"/>
                <w:color w:val="auto"/>
              </w:rPr>
            </w:pPr>
          </w:p>
        </w:tc>
        <w:tc>
          <w:tcPr>
            <w:tcW w:w="66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auto"/>
            </w:tcBorders>
            <w:shd w:val="clear" w:color="auto" w:fill="F0FFFF"/>
          </w:tcPr>
          <w:p>
            <w:pPr>
              <w:spacing w:after="0"/>
              <w:rPr>
                <w:sz w:val="19"/>
                <w:szCs w:val="19"/>
                <w:color w:val="auto"/>
              </w:rPr>
            </w:pPr>
          </w:p>
        </w:tc>
        <w:tc>
          <w:tcPr>
            <w:tcW w:w="64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8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60" w:type="dxa"/>
            <w:vAlign w:val="bottom"/>
            <w:shd w:val="clear" w:color="auto" w:fill="F0FFFF"/>
          </w:tcPr>
          <w:p>
            <w:pPr>
              <w:ind w:left="640"/>
              <w:spacing w:after="0"/>
              <w:rPr>
                <w:sz w:val="20"/>
                <w:szCs w:val="20"/>
                <w:color w:val="auto"/>
              </w:rPr>
            </w:pPr>
            <w:r>
              <w:rPr>
                <w:rFonts w:ascii="Times New Roman" w:cs="Times New Roman" w:eastAsia="Times New Roman" w:hAnsi="Times New Roman"/>
                <w:sz w:val="18"/>
                <w:szCs w:val="18"/>
                <w:b w:val="1"/>
                <w:bCs w:val="1"/>
                <w:color w:val="auto"/>
              </w:rPr>
              <w:t>Increase in net interest revenue (FTE)</w:t>
            </w:r>
          </w:p>
        </w:tc>
        <w:tc>
          <w:tcPr>
            <w:tcW w:w="1380" w:type="dxa"/>
            <w:vAlign w:val="bottom"/>
            <w:gridSpan w:val="2"/>
            <w:shd w:val="clear" w:color="auto" w:fill="F0FF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9,066</w:t>
            </w:r>
          </w:p>
        </w:tc>
        <w:tc>
          <w:tcPr>
            <w:tcW w:w="120" w:type="dxa"/>
            <w:vAlign w:val="bottom"/>
            <w:shd w:val="clear" w:color="auto" w:fill="F0FFFF"/>
          </w:tcPr>
          <w:p>
            <w:pPr>
              <w:spacing w:after="0"/>
              <w:rPr>
                <w:sz w:val="22"/>
                <w:szCs w:val="22"/>
                <w:color w:val="auto"/>
              </w:rPr>
            </w:pPr>
          </w:p>
        </w:tc>
        <w:tc>
          <w:tcPr>
            <w:tcW w:w="22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8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F0FFFF"/>
            </w:tcBorders>
          </w:tcPr>
          <w:p>
            <w:pPr>
              <w:spacing w:after="0" w:line="20" w:lineRule="exact"/>
              <w:rPr>
                <w:sz w:val="1"/>
                <w:szCs w:val="1"/>
                <w:color w:val="auto"/>
              </w:rPr>
            </w:pPr>
          </w:p>
        </w:tc>
        <w:tc>
          <w:tcPr>
            <w:tcW w:w="12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credit losses is based on management’s evaluation of probable incurred losses in the loan portfolio and corresponding analysis of the allowance for credit losses at quarter-end. Provision for credit losses was $800,000 for the first quarter of 2017, compared to a release of provision of $200,000 in the first quarter of 2016. The amount of provision recorded in each period was the amount required such that the total allowance for loan losses reflected the appropriate balance, in the estimation of management, sufficient to cover incurred losses in the loan portfolio. For the three months ended March 31, 2017, net loan charge-offs as an annualized percentage of average outstanding loans were .10% compared to .14% for the same period in 2016.</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allowance for unfunded commitments represents probable incurred losses on unfunded loan commitments that are expected to result in outstanding loan balances. The allowance for unfunded loan commitments was established through the provision for credit losses.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discussion on credit quality and the allowance for loan losses is included in the “Asset Quality and Risk Elements” section of this report on page 49.</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Fee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Fee revenue for the three months ended March 31, 2017 was $22.1 million, an increase of $3.47 million, or 19%, compared to the first quarter of 2016. The following table presents the components of fee revenue for the periods indicated.</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8"/>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4 - Fee Revenue</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5"/>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Overdraft fees</w:t>
            </w:r>
          </w:p>
        </w:tc>
        <w:tc>
          <w:tcPr>
            <w:tcW w:w="1060" w:type="dxa"/>
            <w:vAlign w:val="bottom"/>
            <w:gridSpan w:val="2"/>
            <w:shd w:val="clear" w:color="auto" w:fill="F0FF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20" w:type="dxa"/>
            <w:vAlign w:val="bottom"/>
            <w:shd w:val="clear" w:color="auto" w:fill="F0FFFF"/>
          </w:tcPr>
          <w:p>
            <w:pPr>
              <w:spacing w:after="0"/>
              <w:rPr>
                <w:sz w:val="18"/>
                <w:szCs w:val="18"/>
                <w:color w:val="auto"/>
              </w:rPr>
            </w:pPr>
          </w:p>
        </w:tc>
        <w:tc>
          <w:tcPr>
            <w:tcW w:w="420" w:type="dxa"/>
            <w:vAlign w:val="bottom"/>
            <w:gridSpan w:val="2"/>
            <w:shd w:val="clear" w:color="auto" w:fill="F0FF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3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ATM and debit card fees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8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spacing w:after="0"/>
              <w:rPr>
                <w:sz w:val="21"/>
                <w:szCs w:val="21"/>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auto"/>
            </w:tcBorders>
            <w:shd w:val="clear" w:color="auto" w:fill="F0FFFF"/>
          </w:tcPr>
          <w:p>
            <w:pPr>
              <w:spacing w:after="0"/>
              <w:rPr>
                <w:sz w:val="21"/>
                <w:szCs w:val="21"/>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8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auto"/>
            </w:tcBorders>
            <w:shd w:val="clear" w:color="auto" w:fill="F0FFFF"/>
          </w:tcPr>
          <w:p>
            <w:pPr>
              <w:spacing w:after="0"/>
              <w:rPr>
                <w:sz w:val="21"/>
                <w:szCs w:val="21"/>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Service charges and fees</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10,604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10,126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Mortgage loan and related fees</w:t>
            </w:r>
          </w:p>
        </w:tc>
        <w:tc>
          <w:tcPr>
            <w:tcW w:w="8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Brokerage fees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Gains on sales of government guaranteed loans</w:t>
            </w:r>
          </w:p>
        </w:tc>
        <w:tc>
          <w:tcPr>
            <w:tcW w:w="8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Customer derivatives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Securities (losses) gains, net</w:t>
            </w:r>
          </w:p>
        </w:tc>
        <w:tc>
          <w:tcPr>
            <w:tcW w:w="8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(381)</w:t>
            </w: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tcBorders>
              <w:bottom w:val="single" w:sz="8" w:color="F0FF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20" w:type="dxa"/>
            <w:vAlign w:val="bottom"/>
            <w:tcBorders>
              <w:bottom w:val="single" w:sz="8" w:color="F0FFFF"/>
            </w:tcBorders>
          </w:tcPr>
          <w:p>
            <w:pPr>
              <w:spacing w:after="0"/>
              <w:rPr>
                <w:sz w:val="20"/>
                <w:szCs w:val="20"/>
                <w:color w:val="auto"/>
              </w:rPr>
            </w:pPr>
          </w:p>
        </w:tc>
        <w:tc>
          <w:tcPr>
            <w:tcW w:w="100" w:type="dxa"/>
            <w:vAlign w:val="bottom"/>
            <w:tcBorders>
              <w:bottom w:val="single" w:sz="8" w:color="F0FF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80" w:type="dxa"/>
            <w:vAlign w:val="bottom"/>
            <w:tcBorders>
              <w:bottom w:val="single" w:sz="8" w:color="F0FF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00" w:type="dxa"/>
            <w:vAlign w:val="bottom"/>
            <w:tcBorders>
              <w:bottom w:val="single" w:sz="8" w:color="F0FFFF"/>
            </w:tcBorders>
          </w:tcPr>
          <w:p>
            <w:pPr>
              <w:spacing w:after="0"/>
              <w:rPr>
                <w:sz w:val="20"/>
                <w:szCs w:val="20"/>
                <w:color w:val="auto"/>
              </w:rPr>
            </w:pPr>
          </w:p>
        </w:tc>
        <w:tc>
          <w:tcPr>
            <w:tcW w:w="220" w:type="dxa"/>
            <w:vAlign w:val="bottom"/>
            <w:tcBorders>
              <w:bottom w:val="single" w:sz="8" w:color="F0FFFF"/>
            </w:tcBorders>
          </w:tcPr>
          <w:p>
            <w:pPr>
              <w:spacing w:after="0"/>
              <w:rPr>
                <w:sz w:val="20"/>
                <w:szCs w:val="20"/>
                <w:color w:val="auto"/>
              </w:rPr>
            </w:pPr>
          </w:p>
        </w:tc>
        <w:tc>
          <w:tcPr>
            <w:tcW w:w="900" w:type="dxa"/>
            <w:vAlign w:val="bottom"/>
            <w:tcBorders>
              <w:bottom w:val="single" w:sz="8" w:color="F0FFFF"/>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200" w:type="dxa"/>
            <w:vAlign w:val="bottom"/>
            <w:tcBorders>
              <w:bottom w:val="single" w:sz="8" w:color="F0FFFF"/>
            </w:tcBorders>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Total fee revenue</w:t>
            </w:r>
          </w:p>
        </w:tc>
        <w:tc>
          <w:tcPr>
            <w:tcW w:w="8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22,074</w:t>
            </w:r>
          </w:p>
        </w:tc>
        <w:tc>
          <w:tcPr>
            <w:tcW w:w="1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auto"/>
            </w:tcBorders>
            <w:shd w:val="clear" w:color="auto" w:fill="F0FF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18,606</w:t>
            </w:r>
          </w:p>
        </w:tc>
        <w:tc>
          <w:tcPr>
            <w:tcW w:w="18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2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F0FFFF"/>
            </w:tcBorders>
          </w:tcPr>
          <w:p>
            <w:pPr>
              <w:spacing w:after="0" w:line="20" w:lineRule="exact"/>
              <w:rPr>
                <w:sz w:val="1"/>
                <w:szCs w:val="1"/>
                <w:color w:val="auto"/>
              </w:rPr>
            </w:pPr>
          </w:p>
        </w:tc>
        <w:tc>
          <w:tcPr>
            <w:tcW w:w="8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charges and fees of $10.6 million for the first quarter of 2017 were up $478,000, or 5%, from the first quarter of 2016. ATM and debit card and other service charges and fees increased year over year based on increased deposit accounts driven primarily by the Tidelands acquisition.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Mortgage loan and related fees for the first quarter of 2017 were up $1.14 million, or 35%, from the same period in 2016. The increase reflects United’s focus on growing the mortgage business by recruiting new mortgage lenders in key metropolitan markets and an increase in purchase and refinancing activity. In the first quarter of 2017, United closed 697 loans totaling $151 million compared with 650 loans totaling $147 million in the first quarter of 2016. United had $93.4 million in home purchase mortgage originations in the first quarter, compared with $81.0 million for the same period a year ago. The volume of home purchase mortgages in the first quarter of 2017 was 62% compared with 55% in the first quarter of 2016.</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Brokerage fees in the first quarter of 2017 increased 34% compared to the first quarter of 2016, reflecting the addition of several new financial advisors since the first quarter of 2016.</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quarter of 2017, United realized $1.96 million in gains from the sales of the guaranteed portion of Small Business Administration (“SBA”) and United States Department of Agriculture (“USDA”) loans, compared to $1.24 million in the same period of 2016. United’s SBA/USDA lending strategy includes selling a portion of the loan production each quarter. United retains the servicing rights on the sold loans and earns a fee for servicing the loans. In the first quarter of 2017, United sold the guaranteed portion of loans in the amount of $23.4 million, compared to $13.0 million for the same period a year ago. The year over year increase also reflects the maturation of United’s SBA construction portfolio that continues to expand.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derivative fees were down $277,000 from the first quarter of 2016 due to lower demand for this product in the current rate environment.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fee revenue was up $1.43 million for the first quarter of 2017 compared to the same period in 2016. The increase reflects volume driven increases in earnings on bank owned life insurance, increases in miscellaneous banking fees, decreases in losses attributable to hedge ineffectiveness, and increases in the value of equity investments held by United.</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operating expenses for the periods indicated.</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9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Table 5 - Operating Expenses</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940" w:type="dxa"/>
            <w:vAlign w:val="bottom"/>
            <w:gridSpan w:val="2"/>
          </w:tcPr>
          <w:p>
            <w:pPr>
              <w:ind w:left="5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920" w:type="dxa"/>
            <w:vAlign w:val="bottom"/>
            <w:gridSpan w:val="2"/>
            <w:shd w:val="clear" w:color="auto" w:fill="F0FF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36,691</w:t>
            </w:r>
          </w:p>
        </w:tc>
        <w:tc>
          <w:tcPr>
            <w:tcW w:w="540" w:type="dxa"/>
            <w:vAlign w:val="bottom"/>
            <w:gridSpan w:val="2"/>
            <w:shd w:val="clear" w:color="auto" w:fill="F0FF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33,062</w:t>
            </w:r>
          </w:p>
        </w:tc>
        <w:tc>
          <w:tcPr>
            <w:tcW w:w="180" w:type="dxa"/>
            <w:vAlign w:val="bottom"/>
            <w:shd w:val="clear" w:color="auto" w:fill="F0FFFF"/>
          </w:tcPr>
          <w:p>
            <w:pPr>
              <w:spacing w:after="0"/>
              <w:rPr>
                <w:sz w:val="18"/>
                <w:szCs w:val="18"/>
                <w:color w:val="auto"/>
              </w:rPr>
            </w:pPr>
          </w:p>
        </w:tc>
        <w:tc>
          <w:tcPr>
            <w:tcW w:w="1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 and equipment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Occupancy</w:t>
            </w:r>
          </w:p>
        </w:tc>
        <w:tc>
          <w:tcPr>
            <w:tcW w:w="6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2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public relations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Postage, printing and supplies</w:t>
            </w:r>
          </w:p>
        </w:tc>
        <w:tc>
          <w:tcPr>
            <w:tcW w:w="6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FDIC assessments and other regulatory charges</w:t>
            </w:r>
          </w:p>
        </w:tc>
        <w:tc>
          <w:tcPr>
            <w:tcW w:w="6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36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spacing w:after="0"/>
              <w:rPr>
                <w:sz w:val="21"/>
                <w:szCs w:val="21"/>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22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auto"/>
            </w:tcBorders>
            <w:shd w:val="clear" w:color="auto" w:fill="F0FFFF"/>
          </w:tcPr>
          <w:p>
            <w:pPr>
              <w:spacing w:after="0"/>
              <w:rPr>
                <w:sz w:val="21"/>
                <w:szCs w:val="21"/>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180" w:type="dxa"/>
            <w:vAlign w:val="bottom"/>
            <w:tcBorders>
              <w:bottom w:val="single" w:sz="8" w:color="F0FFFF"/>
            </w:tcBorders>
            <w:shd w:val="clear" w:color="auto" w:fill="F0FFFF"/>
          </w:tcPr>
          <w:p>
            <w:pPr>
              <w:spacing w:after="0"/>
              <w:rPr>
                <w:sz w:val="21"/>
                <w:szCs w:val="21"/>
                <w:color w:val="auto"/>
              </w:rPr>
            </w:pPr>
          </w:p>
        </w:tc>
        <w:tc>
          <w:tcPr>
            <w:tcW w:w="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360" w:type="dxa"/>
            <w:vAlign w:val="bottom"/>
          </w:tcPr>
          <w:p>
            <w:pPr>
              <w:ind w:left="160"/>
              <w:spacing w:after="0" w:line="203" w:lineRule="exact"/>
              <w:rPr>
                <w:sz w:val="20"/>
                <w:szCs w:val="20"/>
                <w:color w:val="auto"/>
              </w:rPr>
            </w:pPr>
            <w:r>
              <w:rPr>
                <w:rFonts w:ascii="Times New Roman" w:cs="Times New Roman" w:eastAsia="Times New Roman" w:hAnsi="Times New Roman"/>
                <w:sz w:val="18"/>
                <w:szCs w:val="18"/>
                <w:color w:val="auto"/>
              </w:rPr>
              <w:t>Total excluding merger-related and other charges</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60,772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55,232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5,540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Merger-related and other charges</w:t>
            </w:r>
          </w:p>
        </w:tc>
        <w:tc>
          <w:tcPr>
            <w:tcW w:w="68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22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8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8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(599)</w:t>
            </w:r>
          </w:p>
        </w:tc>
        <w:tc>
          <w:tcPr>
            <w:tcW w:w="22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360" w:type="dxa"/>
            <w:vAlign w:val="bottom"/>
            <w:tcBorders>
              <w:top w:val="single" w:sz="8" w:color="F0FFFF"/>
            </w:tcBorders>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8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62,826</w:t>
            </w:r>
          </w:p>
        </w:tc>
        <w:tc>
          <w:tcPr>
            <w:tcW w:w="220" w:type="dxa"/>
            <w:vAlign w:val="bottom"/>
            <w:tcBorders>
              <w:top w:val="single" w:sz="8" w:color="F0FF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57,885</w:t>
            </w:r>
          </w:p>
        </w:tc>
        <w:tc>
          <w:tcPr>
            <w:tcW w:w="18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20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900" w:type="dxa"/>
            <w:vAlign w:val="bottom"/>
            <w:tcBorders>
              <w:top w:val="single" w:sz="8" w:color="F0FFFF"/>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for the first quarter of 2017 totaled $62.8 million, up $4.94 million, or 9%, from the first quarter of 2016. The increase reflects the inclusion of the operating expenses of the Tidelands acquisition.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Salaries and employee benefits for the first quarter of 2017 were $36.7 million, up $3.63 million, or 11%, from the first quarter of 2016. The increase was due to a number of factors including investments in additional staff and new teams to expand specialized lending and other key areas and additional staff resulting from the Tidelands acquisition. Full time equivalent headcount totaled 1,915 at March 31, 2017, up from 1,876 at March 31, 2016, reflecting the addition of Tidelands personnel.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Communications and equipment and occupancy expenses increased primarily due to the Tidelands acquisition. Professional fees for the first quarter of 2017 of $3.04 million were up $344,000, or 13%, from the first quarter of 2016. The increase was due primarily to the cost of building volume and credit models to be used in United’s stress testing submission.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intangibles of $973,000 in the first quarter of 2017 decreased relative to the same period in 2016 due to the accelerated method used to amortize core deposit intangibles, which more than offset the additional amortization resulting from the Tidelands acquisition.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2017, merger-related and other charges of $2.05 million consisted primarily of severance, branch closure costs and technology equipment write offs. In the first quarter of 2016, merger-related charges of $2.65 million consisted primarily of severance, conversion costs, and legal and professional fees.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of $6.48 million for the first quarter of 2017 increased $704,000, or 12%, from the first quarter of 2016. The increase was primarily due to writedowns on foreclosed property and higher lending support costs resulting from higher production volume in the specialized lending areas.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income tax provision for the three months ended March 31, 2017 and 2016 was $18.5 million and $13.6 million, respectively, which represents an effective tax rate of 44.0% and 37.9%, respectively, for each period. Upon reversal of United’s former full deferred tax valuation allowance in 2013, certain disproportionate tax effects were retained in accumulated other comprehensive income (loss). During the first quarter of 2017, with the maturity and termination of certain dedesignated cash flow hedges, the disproportionate tax effect associated with these hedges was reversed and recorded as a tax expense of $3.40 million, which was the primary reason for the increase in the effective tax rate compared to the first quarter of 2016.</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2017 and December 31, 2016, United maintained a valuation allowance on its net deferred tax asset of $3.99 million and $3.88 million, respectively.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United evaluated the need for a valuation allowance at March 31, 2017. Based on the assessment of all the positive and negative evidence, management concluded that it is more likely than not that nearly all of its net deferred tax asset will be realized based upon future taxable income. The remaining valuation allowance of $3.99 million is related to specific state income tax credits that have short carryforward periods and are expected to expire unused.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valuation allowance could fluctuate in future periods based on the assessment of the positive and negative evidence. Management's conclusion at March 31, 2017 that it was more likely than not that United’s net deferred tax asset of $139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the valuation allowance may need to be increased for some or all of its net deferred tax asset. Such an increase to the net deferred tax asset valuation allowance could have a material adverse effect on United’s financial condition and 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2013. Although it is not possible to know the ultimate outcome of future examinations, management believes that the liability recorded for uncertain tax positions is appropriate.</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17 to the consolidated financial statements filed with United’s Annual Report on Form 10-K for the year ended December 31, 2016.</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Balance Sheet Review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assets at March 31, 2017 and December 31, 2016 were $10.7 billion. Average total assets for the first quarter of 2017 were $10.7 billion, up from $9.63 billion in the first quarter of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a summary of the loan portfolio.</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614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Table 6 - Loans Outstanding</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140" w:type="dxa"/>
            <w:vAlign w:val="bottom"/>
            <w:gridSpan w:val="2"/>
          </w:tcPr>
          <w:p>
            <w:pPr>
              <w:ind w:left="11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124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4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60" w:type="dxa"/>
            <w:vAlign w:val="bottom"/>
          </w:tcPr>
          <w:p>
            <w:pPr>
              <w:spacing w:after="0"/>
              <w:rPr>
                <w:sz w:val="21"/>
                <w:szCs w:val="21"/>
                <w:color w:val="auto"/>
              </w:rPr>
            </w:pPr>
          </w:p>
        </w:tc>
        <w:tc>
          <w:tcPr>
            <w:tcW w:w="4980" w:type="dxa"/>
            <w:vAlign w:val="bottom"/>
            <w:tcBorders>
              <w:bottom w:val="single" w:sz="8" w:color="F0FFFF"/>
            </w:tcBorders>
          </w:tcPr>
          <w:p>
            <w:pPr>
              <w:spacing w:after="0"/>
              <w:rPr>
                <w:sz w:val="21"/>
                <w:szCs w:val="21"/>
                <w:color w:val="auto"/>
              </w:rPr>
            </w:pPr>
          </w:p>
        </w:tc>
        <w:tc>
          <w:tcPr>
            <w:tcW w:w="1700" w:type="dxa"/>
            <w:vAlign w:val="bottom"/>
            <w:tcBorders>
              <w:bottom w:val="single" w:sz="8" w:color="F0FF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bottom w:val="single" w:sz="8" w:color="F0FFFF"/>
            </w:tcBorders>
          </w:tcPr>
          <w:p>
            <w:pPr>
              <w:spacing w:after="0"/>
              <w:rPr>
                <w:sz w:val="21"/>
                <w:szCs w:val="21"/>
                <w:color w:val="auto"/>
              </w:rPr>
            </w:pPr>
          </w:p>
        </w:tc>
        <w:tc>
          <w:tcPr>
            <w:tcW w:w="40" w:type="dxa"/>
            <w:vAlign w:val="bottom"/>
            <w:tcBorders>
              <w:bottom w:val="single" w:sz="8" w:color="F0FF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Borders>
              <w:bottom w:val="single" w:sz="8" w:color="F0FF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By Loan Type</w:t>
            </w:r>
          </w:p>
        </w:tc>
        <w:tc>
          <w:tcPr>
            <w:tcW w:w="1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1,633,450</w:t>
            </w:r>
          </w:p>
        </w:tc>
        <w:tc>
          <w:tcPr>
            <w:tcW w:w="200" w:type="dxa"/>
            <w:vAlign w:val="bottom"/>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1,650,360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1,296,700</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1,281,541</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1,079,837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1,069,715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498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7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666,861</w:t>
            </w:r>
          </w:p>
        </w:tc>
        <w:tc>
          <w:tcPr>
            <w:tcW w:w="200" w:type="dxa"/>
            <w:vAlign w:val="bottom"/>
            <w:tcBorders>
              <w:bottom w:val="single" w:sz="8" w:color="F0FFFF"/>
            </w:tcBorders>
            <w:shd w:val="clear" w:color="auto" w:fill="F0FFFF"/>
          </w:tcPr>
          <w:p>
            <w:pPr>
              <w:spacing w:after="0"/>
              <w:rPr>
                <w:sz w:val="21"/>
                <w:szCs w:val="21"/>
                <w:color w:val="auto"/>
              </w:rPr>
            </w:pPr>
          </w:p>
        </w:tc>
        <w:tc>
          <w:tcPr>
            <w:tcW w:w="4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spacing w:after="0"/>
              <w:rPr>
                <w:sz w:val="21"/>
                <w:szCs w:val="21"/>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633,921</w:t>
            </w:r>
          </w:p>
        </w:tc>
        <w:tc>
          <w:tcPr>
            <w:tcW w:w="16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980" w:type="dxa"/>
            <w:vAlign w:val="bottom"/>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commercial</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4,676,848</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4,635,537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859,796</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856,725</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659,041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196,643</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190,043</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112,461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498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7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460,201</w:t>
            </w:r>
          </w:p>
        </w:tc>
        <w:tc>
          <w:tcPr>
            <w:tcW w:w="200" w:type="dxa"/>
            <w:vAlign w:val="bottom"/>
            <w:tcBorders>
              <w:bottom w:val="single" w:sz="8" w:color="F0FFFF"/>
            </w:tcBorders>
            <w:shd w:val="clear" w:color="auto" w:fill="F0FFFF"/>
          </w:tcPr>
          <w:p>
            <w:pPr>
              <w:spacing w:after="0"/>
              <w:rPr>
                <w:sz w:val="21"/>
                <w:szCs w:val="21"/>
                <w:color w:val="auto"/>
              </w:rPr>
            </w:pPr>
          </w:p>
        </w:tc>
        <w:tc>
          <w:tcPr>
            <w:tcW w:w="4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spacing w:after="0"/>
              <w:rPr>
                <w:sz w:val="21"/>
                <w:szCs w:val="21"/>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459,354</w:t>
            </w:r>
          </w:p>
        </w:tc>
        <w:tc>
          <w:tcPr>
            <w:tcW w:w="16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loans</w:t>
            </w:r>
          </w:p>
        </w:tc>
        <w:tc>
          <w:tcPr>
            <w:tcW w:w="1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6,964,990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6,920,636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tcBorders>
              <w:bottom w:val="single" w:sz="8" w:color="F0FFFF"/>
            </w:tcBorders>
          </w:tcPr>
          <w:p>
            <w:pPr>
              <w:spacing w:after="0" w:line="20" w:lineRule="exact"/>
              <w:rPr>
                <w:sz w:val="1"/>
                <w:szCs w:val="1"/>
                <w:color w:val="auto"/>
              </w:rPr>
            </w:pPr>
          </w:p>
        </w:tc>
        <w:tc>
          <w:tcPr>
            <w:tcW w:w="17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4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980" w:type="dxa"/>
            <w:vAlign w:val="bottom"/>
            <w:shd w:val="clear" w:color="auto" w:fill="F0FFFF"/>
          </w:tcPr>
          <w:p>
            <w:pPr>
              <w:spacing w:after="0"/>
              <w:rPr>
                <w:sz w:val="18"/>
                <w:szCs w:val="18"/>
                <w:color w:val="auto"/>
              </w:rPr>
            </w:pPr>
          </w:p>
        </w:tc>
        <w:tc>
          <w:tcPr>
            <w:tcW w:w="1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As a percentage of total loans: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1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980" w:type="dxa"/>
            <w:vAlign w:val="bottom"/>
            <w:tcBorders>
              <w:bottom w:val="single" w:sz="8" w:color="F0FFFF"/>
            </w:tcBorders>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170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F0FFFF"/>
            </w:tcBorders>
          </w:tcPr>
          <w:p>
            <w:pPr>
              <w:spacing w:after="0"/>
              <w:rPr>
                <w:sz w:val="20"/>
                <w:szCs w:val="20"/>
                <w:color w:val="auto"/>
              </w:rPr>
            </w:pPr>
          </w:p>
        </w:tc>
        <w:tc>
          <w:tcPr>
            <w:tcW w:w="4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Total commercial</w:t>
            </w:r>
          </w:p>
        </w:tc>
        <w:tc>
          <w:tcPr>
            <w:tcW w:w="1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mortgage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Consumer installment</w:t>
            </w:r>
          </w:p>
        </w:tc>
        <w:tc>
          <w:tcPr>
            <w:tcW w:w="1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980" w:type="dxa"/>
            <w:vAlign w:val="bottom"/>
            <w:tcBorders>
              <w:bottom w:val="single" w:sz="8" w:color="F0FFFF"/>
            </w:tcBorders>
          </w:tcPr>
          <w:p>
            <w:pPr>
              <w:ind w:left="160"/>
              <w:spacing w:after="0"/>
              <w:rPr>
                <w:sz w:val="20"/>
                <w:szCs w:val="20"/>
                <w:color w:val="auto"/>
              </w:rPr>
            </w:pPr>
            <w:r>
              <w:rPr>
                <w:rFonts w:ascii="Times New Roman" w:cs="Times New Roman" w:eastAsia="Times New Roman" w:hAnsi="Times New Roman"/>
                <w:sz w:val="18"/>
                <w:szCs w:val="18"/>
                <w:color w:val="auto"/>
              </w:rPr>
              <w:t>Indirect auto</w:t>
            </w:r>
          </w:p>
        </w:tc>
        <w:tc>
          <w:tcPr>
            <w:tcW w:w="170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F0FFFF"/>
            </w:tcBorders>
          </w:tcPr>
          <w:p>
            <w:pPr>
              <w:spacing w:after="0"/>
              <w:rPr>
                <w:sz w:val="20"/>
                <w:szCs w:val="20"/>
                <w:color w:val="auto"/>
              </w:rPr>
            </w:pPr>
          </w:p>
        </w:tc>
        <w:tc>
          <w:tcPr>
            <w:tcW w:w="4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160" w:type="dxa"/>
            <w:vAlign w:val="bottom"/>
          </w:tcPr>
          <w:p>
            <w:pPr>
              <w:spacing w:after="0"/>
              <w:rPr>
                <w:sz w:val="21"/>
                <w:szCs w:val="21"/>
                <w:color w:val="auto"/>
              </w:rPr>
            </w:pPr>
          </w:p>
        </w:tc>
        <w:tc>
          <w:tcPr>
            <w:tcW w:w="4980" w:type="dxa"/>
            <w:vAlign w:val="bottom"/>
            <w:tcBorders>
              <w:bottom w:val="single" w:sz="8" w:color="F0FFFF"/>
            </w:tcBorders>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spacing w:after="0"/>
              <w:rPr>
                <w:sz w:val="21"/>
                <w:szCs w:val="21"/>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tcBorders>
              <w:top w:val="single" w:sz="8" w:color="F0FFFF"/>
            </w:tcBorders>
          </w:tcPr>
          <w:p>
            <w:pPr>
              <w:spacing w:after="0" w:line="20" w:lineRule="exact"/>
              <w:rPr>
                <w:sz w:val="1"/>
                <w:szCs w:val="1"/>
                <w:color w:val="auto"/>
              </w:rPr>
            </w:pPr>
          </w:p>
        </w:tc>
        <w:tc>
          <w:tcPr>
            <w:tcW w:w="17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vMerge w:val="restart"/>
          </w:tcPr>
          <w:p>
            <w:pPr>
              <w:spacing w:after="0"/>
              <w:rPr>
                <w:sz w:val="16"/>
                <w:szCs w:val="16"/>
                <w:color w:val="auto"/>
              </w:rPr>
            </w:pPr>
          </w:p>
        </w:tc>
        <w:tc>
          <w:tcPr>
            <w:tcW w:w="49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By Geographic Location</w:t>
            </w:r>
          </w:p>
        </w:tc>
        <w:tc>
          <w:tcPr>
            <w:tcW w:w="1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North Georgia</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1,075,934</w:t>
            </w:r>
          </w:p>
        </w:tc>
        <w:tc>
          <w:tcPr>
            <w:tcW w:w="200" w:type="dxa"/>
            <w:vAlign w:val="bottom"/>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1,096,974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Atlanta MSA</w:t>
            </w:r>
          </w:p>
        </w:tc>
        <w:tc>
          <w:tcPr>
            <w:tcW w:w="1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1,407,970</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1,398,657</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540,621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Coastal Georgia</w:t>
            </w:r>
          </w:p>
        </w:tc>
        <w:tc>
          <w:tcPr>
            <w:tcW w:w="1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591,117</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581,138</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Gainesville MSA</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251,710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East Tennessee</w:t>
            </w:r>
          </w:p>
        </w:tc>
        <w:tc>
          <w:tcPr>
            <w:tcW w:w="1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483,573</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503,843</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1,243,139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1,233,185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Specialized Lending</w:t>
            </w:r>
          </w:p>
        </w:tc>
        <w:tc>
          <w:tcPr>
            <w:tcW w:w="1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910,725</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855,283</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980" w:type="dxa"/>
            <w:vAlign w:val="bottom"/>
            <w:tcBorders>
              <w:bottom w:val="single" w:sz="8" w:color="F0FFFF"/>
            </w:tcBorders>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70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460,201</w:t>
            </w:r>
          </w:p>
        </w:tc>
        <w:tc>
          <w:tcPr>
            <w:tcW w:w="200" w:type="dxa"/>
            <w:vAlign w:val="bottom"/>
            <w:tcBorders>
              <w:bottom w:val="single" w:sz="8" w:color="F0FFFF"/>
            </w:tcBorders>
          </w:tcPr>
          <w:p>
            <w:pPr>
              <w:spacing w:after="0"/>
              <w:rPr>
                <w:sz w:val="20"/>
                <w:szCs w:val="20"/>
                <w:color w:val="auto"/>
              </w:rPr>
            </w:pPr>
          </w:p>
        </w:tc>
        <w:tc>
          <w:tcPr>
            <w:tcW w:w="4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459,354</w:t>
            </w:r>
          </w:p>
        </w:tc>
        <w:tc>
          <w:tcPr>
            <w:tcW w:w="1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160" w:type="dxa"/>
            <w:vAlign w:val="bottom"/>
          </w:tcPr>
          <w:p>
            <w:pPr>
              <w:spacing w:after="0"/>
              <w:rPr>
                <w:sz w:val="21"/>
                <w:szCs w:val="21"/>
                <w:color w:val="auto"/>
              </w:rPr>
            </w:pPr>
          </w:p>
        </w:tc>
        <w:tc>
          <w:tcPr>
            <w:tcW w:w="4980" w:type="dxa"/>
            <w:vAlign w:val="bottom"/>
            <w:tcBorders>
              <w:bottom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loans</w:t>
            </w:r>
          </w:p>
        </w:tc>
        <w:tc>
          <w:tcPr>
            <w:tcW w:w="17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6,964,990</w:t>
            </w:r>
          </w:p>
        </w:tc>
        <w:tc>
          <w:tcPr>
            <w:tcW w:w="200" w:type="dxa"/>
            <w:vAlign w:val="bottom"/>
            <w:tcBorders>
              <w:bottom w:val="single" w:sz="8" w:color="F0FFFF"/>
            </w:tcBorders>
            <w:shd w:val="clear" w:color="auto" w:fill="F0FFFF"/>
          </w:tcPr>
          <w:p>
            <w:pPr>
              <w:spacing w:after="0"/>
              <w:rPr>
                <w:sz w:val="21"/>
                <w:szCs w:val="21"/>
                <w:color w:val="auto"/>
              </w:rPr>
            </w:pPr>
          </w:p>
        </w:tc>
        <w:tc>
          <w:tcPr>
            <w:tcW w:w="4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6,920,636</w:t>
            </w:r>
          </w:p>
        </w:tc>
        <w:tc>
          <w:tcPr>
            <w:tcW w:w="16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tcBorders>
              <w:top w:val="single" w:sz="8" w:color="F0FFFF"/>
            </w:tcBorders>
          </w:tcPr>
          <w:p>
            <w:pPr>
              <w:spacing w:after="0" w:line="20" w:lineRule="exact"/>
              <w:rPr>
                <w:sz w:val="1"/>
                <w:szCs w:val="1"/>
                <w:color w:val="auto"/>
              </w:rPr>
            </w:pPr>
          </w:p>
        </w:tc>
        <w:tc>
          <w:tcPr>
            <w:tcW w:w="17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of United’s loans are to customers located in the immediate market areas of its community banks in Georgia, North Carolina, South Carolina and Tennessee, including customers who have a seasonal residence in United’s market areas, except for specific specialized lending strategies such as SBA and franchise lending. More than 76% of the loans were secured by real estate. Total loans averaged $6.90 billion in the first quarter of 2017, compared with $6.00 billion in the first quarter of 2016, an increase of 15% which includes the acquisition of Tidelands. At March 31, 2017, total loans were $6.96 billion, an increase of $44.4 million from December 31, 2016.</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United’s home equity lines generally require the payment of interest only for a set period after origination. After this initial period, the outstanding balance begins amortizing and requires the payment of both principal and interest. At March 31, 2017 and December 31, 2016, the funded portion of home equity lines totaled $659 million and $655 million, respectively. Approximately 3% of the home equity lines at March 31, 2017 were amortizing. Of the $659 million in balances outstanding at March 31, 2017, $386 million, or 59%, were secured by first liens. At March 31, 2017, 56% of the total available home equity lines were drawn upon.</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United monitors the performance of its home equity loans and lines secured by second liens similar to other consumer loans and utilizes assumptions specific to these loans in determining the necessary allowance. United also receives notification when the first lien holder is in the process of foreclosure and upon that notification, management reviews current valuations to determine if any charge-offs are warranted and whether it is in United’s best interest to pay off the first lien creditor.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 and Risk Elements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and Board of Directors approved portfolio limits, establishing credit policies and procedures and enforcing the consistent application of these policies and procedures among all lending units. Additional information on the credit administration function is included in Item 1 under the heading </w:t>
      </w:r>
      <w:r>
        <w:rPr>
          <w:rFonts w:ascii="Times New Roman" w:cs="Times New Roman" w:eastAsia="Times New Roman" w:hAnsi="Times New Roman"/>
          <w:sz w:val="18"/>
          <w:szCs w:val="18"/>
          <w:i w:val="1"/>
          <w:iCs w:val="1"/>
          <w:color w:val="auto"/>
        </w:rPr>
        <w:t>Loan Review and Nonperforming Assets</w:t>
      </w:r>
      <w:r>
        <w:rPr>
          <w:rFonts w:ascii="Times New Roman" w:cs="Times New Roman" w:eastAsia="Times New Roman" w:hAnsi="Times New Roman"/>
          <w:sz w:val="18"/>
          <w:szCs w:val="18"/>
          <w:color w:val="auto"/>
        </w:rPr>
        <w:t xml:space="preserve"> in United’s Annual Report on Form 10-K for the year ended December 31, 2016.</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classifies commercial performing loans as “substandard” when there is a well-defined weakness or weaknesses that jeopardizes the repayment by the borrower and there is a distinct possibility that United could sustain some loss if the deficiency is not corrected. United classifies consumer performing loans as “substandard” when the loan is in bankruptcy.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performing classified loans for the last five quarters.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7 - Performing Classified Loans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0"/>
                <w:szCs w:val="20"/>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0"/>
                <w:szCs w:val="20"/>
                <w:color w:val="auto"/>
              </w:rPr>
            </w:pPr>
          </w:p>
        </w:tc>
        <w:tc>
          <w:tcPr>
            <w:tcW w:w="14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00" w:type="dxa"/>
            <w:vAlign w:val="bottom"/>
            <w:tcBorders>
              <w:bottom w:val="single" w:sz="8" w:color="F0FF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40" w:type="dxa"/>
            <w:vAlign w:val="bottom"/>
            <w:tcBorders>
              <w:bottom w:val="single" w:sz="8" w:color="F0FF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60" w:type="dxa"/>
            <w:vAlign w:val="bottom"/>
            <w:tcBorders>
              <w:bottom w:val="single" w:sz="8" w:color="F0FF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F0FFFF"/>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Borders>
              <w:bottom w:val="single" w:sz="8" w:color="F0FFFF"/>
            </w:tcBorders>
          </w:tcPr>
          <w:p>
            <w:pPr>
              <w:spacing w:after="0"/>
              <w:rPr>
                <w:sz w:val="21"/>
                <w:szCs w:val="21"/>
                <w:color w:val="auto"/>
              </w:rPr>
            </w:pPr>
          </w:p>
        </w:tc>
        <w:tc>
          <w:tcPr>
            <w:tcW w:w="20" w:type="dxa"/>
            <w:vAlign w:val="bottom"/>
            <w:tcBorders>
              <w:bottom w:val="single" w:sz="8" w:color="F0FF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Borders>
              <w:bottom w:val="single" w:sz="8" w:color="F0FFFF"/>
            </w:tcBorders>
          </w:tcPr>
          <w:p>
            <w:pPr>
              <w:spacing w:after="0"/>
              <w:rPr>
                <w:sz w:val="21"/>
                <w:szCs w:val="21"/>
                <w:color w:val="auto"/>
              </w:rPr>
            </w:pPr>
          </w:p>
        </w:tc>
        <w:tc>
          <w:tcPr>
            <w:tcW w:w="80" w:type="dxa"/>
            <w:vAlign w:val="bottom"/>
            <w:tcBorders>
              <w:bottom w:val="single" w:sz="8" w:color="F0FF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By Category</w:t>
            </w: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41,536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42,169</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42,025</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37,489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37,890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8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24,143</w:t>
            </w:r>
          </w:p>
        </w:tc>
        <w:tc>
          <w:tcPr>
            <w:tcW w:w="10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60"/>
              <w:spacing w:after="0"/>
              <w:rPr>
                <w:sz w:val="20"/>
                <w:szCs w:val="20"/>
                <w:color w:val="auto"/>
              </w:rPr>
            </w:pPr>
            <w:r>
              <w:rPr>
                <w:rFonts w:ascii="Times New Roman" w:cs="Times New Roman" w:eastAsia="Times New Roman" w:hAnsi="Times New Roman"/>
                <w:sz w:val="18"/>
                <w:szCs w:val="18"/>
                <w:color w:val="auto"/>
              </w:rPr>
              <w:t>29,379</w:t>
            </w:r>
          </w:p>
        </w:tc>
        <w:tc>
          <w:tcPr>
            <w:tcW w:w="2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31,627</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34,816</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37,594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10,372</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80" w:type="dxa"/>
            <w:vAlign w:val="bottom"/>
            <w:shd w:val="clear" w:color="auto" w:fill="F0FFFF"/>
          </w:tcPr>
          <w:p>
            <w:pPr>
              <w:spacing w:after="0"/>
              <w:rPr>
                <w:sz w:val="21"/>
                <w:szCs w:val="21"/>
                <w:color w:val="auto"/>
              </w:rPr>
            </w:pPr>
          </w:p>
        </w:tc>
        <w:tc>
          <w:tcPr>
            <w:tcW w:w="1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2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26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8,788</w:t>
            </w:r>
          </w:p>
        </w:tc>
        <w:tc>
          <w:tcPr>
            <w:tcW w:w="1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6,277</w:t>
            </w:r>
          </w:p>
        </w:tc>
        <w:tc>
          <w:tcPr>
            <w:tcW w:w="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5,209</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Borders>
              <w:top w:val="single" w:sz="8" w:color="F0FF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commercial</w:t>
            </w: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84,615</w:t>
            </w:r>
          </w:p>
        </w:tc>
        <w:tc>
          <w:tcPr>
            <w:tcW w:w="24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89,291</w:t>
            </w:r>
          </w:p>
        </w:tc>
        <w:tc>
          <w:tcPr>
            <w:tcW w:w="260" w:type="dxa"/>
            <w:vAlign w:val="bottom"/>
            <w:tcBorders>
              <w:top w:val="single" w:sz="8" w:color="F0FF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92,487</w:t>
            </w: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87,960</w:t>
            </w:r>
          </w:p>
        </w:tc>
        <w:tc>
          <w:tcPr>
            <w:tcW w:w="20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89,849</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8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14,632</w:t>
            </w:r>
          </w:p>
        </w:tc>
        <w:tc>
          <w:tcPr>
            <w:tcW w:w="10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60"/>
              <w:spacing w:after="0"/>
              <w:rPr>
                <w:sz w:val="20"/>
                <w:szCs w:val="20"/>
                <w:color w:val="auto"/>
              </w:rPr>
            </w:pPr>
            <w:r>
              <w:rPr>
                <w:rFonts w:ascii="Times New Roman" w:cs="Times New Roman" w:eastAsia="Times New Roman" w:hAnsi="Times New Roman"/>
                <w:sz w:val="18"/>
                <w:szCs w:val="18"/>
                <w:color w:val="auto"/>
              </w:rPr>
              <w:t>15,324</w:t>
            </w:r>
          </w:p>
        </w:tc>
        <w:tc>
          <w:tcPr>
            <w:tcW w:w="2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18,303</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20,297</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20,080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Home equity</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3,628</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2,731</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2,956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584</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80" w:type="dxa"/>
            <w:vAlign w:val="bottom"/>
            <w:shd w:val="clear" w:color="auto" w:fill="F0FFFF"/>
          </w:tcPr>
          <w:p>
            <w:pPr>
              <w:spacing w:after="0"/>
              <w:rPr>
                <w:sz w:val="21"/>
                <w:szCs w:val="21"/>
                <w:color w:val="auto"/>
              </w:rPr>
            </w:pPr>
          </w:p>
        </w:tc>
        <w:tc>
          <w:tcPr>
            <w:tcW w:w="1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6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1,616</w:t>
            </w:r>
          </w:p>
        </w:tc>
        <w:tc>
          <w:tcPr>
            <w:tcW w:w="1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1,534</w:t>
            </w:r>
          </w:p>
        </w:tc>
        <w:tc>
          <w:tcPr>
            <w:tcW w:w="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1,513</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Borders>
              <w:top w:val="single" w:sz="8" w:color="F0FFFF"/>
            </w:tcBorders>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108,839</w:t>
            </w:r>
          </w:p>
        </w:tc>
        <w:tc>
          <w:tcPr>
            <w:tcW w:w="24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114,347</w:t>
            </w:r>
          </w:p>
        </w:tc>
        <w:tc>
          <w:tcPr>
            <w:tcW w:w="26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121,626</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118,516</w:t>
            </w:r>
          </w:p>
        </w:tc>
        <w:tc>
          <w:tcPr>
            <w:tcW w:w="2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121,070</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 Market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North Georgia</w:t>
            </w:r>
          </w:p>
        </w:tc>
        <w:tc>
          <w:tcPr>
            <w:tcW w:w="1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38,092</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F0FFFF"/>
          </w:tcPr>
          <w:p>
            <w:pPr>
              <w:jc w:val="right"/>
              <w:ind w:right="260"/>
              <w:spacing w:after="0"/>
              <w:rPr>
                <w:sz w:val="20"/>
                <w:szCs w:val="20"/>
                <w:color w:val="auto"/>
              </w:rPr>
            </w:pPr>
            <w:r>
              <w:rPr>
                <w:rFonts w:ascii="Times New Roman" w:cs="Times New Roman" w:eastAsia="Times New Roman" w:hAnsi="Times New Roman"/>
                <w:sz w:val="18"/>
                <w:szCs w:val="18"/>
                <w:color w:val="auto"/>
              </w:rPr>
              <w:t>39,438</w:t>
            </w:r>
          </w:p>
        </w:tc>
        <w:tc>
          <w:tcPr>
            <w:tcW w:w="260" w:type="dxa"/>
            <w:vAlign w:val="bottom"/>
            <w:shd w:val="clear" w:color="auto" w:fill="F0FF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40,231</w:t>
            </w:r>
          </w:p>
        </w:tc>
        <w:tc>
          <w:tcPr>
            <w:tcW w:w="300" w:type="dxa"/>
            <w:vAlign w:val="bottom"/>
            <w:gridSpan w:val="2"/>
            <w:shd w:val="clear" w:color="auto" w:fill="F0FF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38,953</w:t>
            </w:r>
          </w:p>
        </w:tc>
        <w:tc>
          <w:tcPr>
            <w:tcW w:w="1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36,692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Atlanta MSA</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14,258</w:t>
            </w: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17,954</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8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10,022</w:t>
            </w: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11,089</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12,179</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13,792</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13,757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Coastal Georgia</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Gainesville MSA</w:t>
            </w:r>
          </w:p>
        </w:tc>
        <w:tc>
          <w:tcPr>
            <w:tcW w:w="18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60"/>
              <w:spacing w:after="0"/>
              <w:rPr>
                <w:sz w:val="20"/>
                <w:szCs w:val="20"/>
                <w:color w:val="auto"/>
              </w:rPr>
            </w:pPr>
            <w:r>
              <w:rPr>
                <w:rFonts w:ascii="Times New Roman" w:cs="Times New Roman" w:eastAsia="Times New Roman" w:hAnsi="Times New Roman"/>
                <w:sz w:val="18"/>
                <w:szCs w:val="18"/>
                <w:color w:val="auto"/>
              </w:rPr>
              <w:t>713</w:t>
            </w:r>
          </w:p>
        </w:tc>
        <w:tc>
          <w:tcPr>
            <w:tcW w:w="2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East Tennessee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18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30,612</w:t>
            </w:r>
          </w:p>
        </w:tc>
        <w:tc>
          <w:tcPr>
            <w:tcW w:w="10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60"/>
              <w:spacing w:after="0"/>
              <w:rPr>
                <w:sz w:val="20"/>
                <w:szCs w:val="20"/>
                <w:color w:val="auto"/>
              </w:rPr>
            </w:pPr>
            <w:r>
              <w:rPr>
                <w:rFonts w:ascii="Times New Roman" w:cs="Times New Roman" w:eastAsia="Times New Roman" w:hAnsi="Times New Roman"/>
                <w:sz w:val="18"/>
                <w:szCs w:val="18"/>
                <w:color w:val="auto"/>
              </w:rPr>
              <w:t>31,623</w:t>
            </w:r>
          </w:p>
        </w:tc>
        <w:tc>
          <w:tcPr>
            <w:tcW w:w="2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33,218</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27,086</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30,280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Specialized lending</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80" w:type="dxa"/>
            <w:vAlign w:val="bottom"/>
            <w:shd w:val="clear" w:color="auto" w:fill="F0FFFF"/>
          </w:tcPr>
          <w:p>
            <w:pPr>
              <w:spacing w:after="0"/>
              <w:rPr>
                <w:sz w:val="21"/>
                <w:szCs w:val="21"/>
                <w:color w:val="auto"/>
              </w:rPr>
            </w:pPr>
          </w:p>
        </w:tc>
        <w:tc>
          <w:tcPr>
            <w:tcW w:w="1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6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1,616</w:t>
            </w:r>
          </w:p>
        </w:tc>
        <w:tc>
          <w:tcPr>
            <w:tcW w:w="1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1,534</w:t>
            </w:r>
          </w:p>
        </w:tc>
        <w:tc>
          <w:tcPr>
            <w:tcW w:w="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1,513</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Borders>
              <w:top w:val="single" w:sz="8" w:color="F0FFFF"/>
            </w:tcBorders>
          </w:tcPr>
          <w:p>
            <w:pPr>
              <w:ind w:left="160"/>
              <w:spacing w:after="0"/>
              <w:rPr>
                <w:sz w:val="20"/>
                <w:szCs w:val="20"/>
                <w:color w:val="auto"/>
              </w:rPr>
            </w:pPr>
            <w:r>
              <w:rPr>
                <w:rFonts w:ascii="Times New Roman" w:cs="Times New Roman" w:eastAsia="Times New Roman" w:hAnsi="Times New Roman"/>
                <w:sz w:val="18"/>
                <w:szCs w:val="18"/>
                <w:color w:val="auto"/>
              </w:rPr>
              <w:t>Total loans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108,839</w:t>
            </w:r>
          </w:p>
        </w:tc>
        <w:tc>
          <w:tcPr>
            <w:tcW w:w="24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114,347</w:t>
            </w:r>
          </w:p>
        </w:tc>
        <w:tc>
          <w:tcPr>
            <w:tcW w:w="26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121,626</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118,516</w:t>
            </w:r>
          </w:p>
        </w:tc>
        <w:tc>
          <w:tcPr>
            <w:tcW w:w="20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121,070</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2017, performing classified loans totaled $109 million and decreased $5.51 million from the prior quarter-end, and decreased $12.2 million from a year ago. Performing classified loans reflect a general downward trend, offset by acquisition activity. The increase in performing classified loans in South Carolina in the third quarter of 2016 was attributable to the Tidelands acquisition.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Reviews of classified performing and non-performing loans, past due loans and larger credits are conducted on a regular basis and are designed to identify risk migration and potential charges to the allowance for loan losses. These reviews are presented by the responsible lending officers or respective credit officer and specific action plans are discussed along with the financial strength of borrowers, the value of the applicable collateral, past loan loss experience, anticipated loan losses, changes in risk profile, the effect of prevailing economic conditions on the borrower and other factors specific to the borrower and its industry. In addition to the reviews mentioned above, United also has an internal loan review team which directly reviews the portfolio in conjunction with external loan review to ensure the objectivity of the loan review process.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allowance for credit losses for the periods indicated.</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8"/>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8 - Allowance for Credit Losses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80" w:type="dxa"/>
            <w:vAlign w:val="bottom"/>
          </w:tcPr>
          <w:p>
            <w:pPr>
              <w:spacing w:after="0"/>
              <w:rPr>
                <w:sz w:val="20"/>
                <w:szCs w:val="20"/>
                <w:color w:val="auto"/>
              </w:rPr>
            </w:pPr>
          </w:p>
        </w:tc>
        <w:tc>
          <w:tcPr>
            <w:tcW w:w="26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60" w:type="dxa"/>
            <w:vAlign w:val="bottom"/>
            <w:gridSpan w:val="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40" w:type="dxa"/>
            <w:vAlign w:val="bottom"/>
            <w:tcBorders>
              <w:bottom w:val="single" w:sz="8" w:color="F0FFFF"/>
            </w:tcBorders>
          </w:tcPr>
          <w:p>
            <w:pPr>
              <w:spacing w:after="0"/>
              <w:rPr>
                <w:sz w:val="20"/>
                <w:szCs w:val="20"/>
                <w:color w:val="auto"/>
              </w:rPr>
            </w:pPr>
          </w:p>
        </w:tc>
        <w:tc>
          <w:tcPr>
            <w:tcW w:w="1280" w:type="dxa"/>
            <w:vAlign w:val="bottom"/>
            <w:tcBorders>
              <w:bottom w:val="single" w:sz="8" w:color="F0FF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top w:val="single" w:sz="8" w:color="auto"/>
              <w:bottom w:val="single" w:sz="8" w:color="F0FFFF"/>
            </w:tcBorders>
          </w:tcPr>
          <w:p>
            <w:pPr>
              <w:spacing w:after="0"/>
              <w:rPr>
                <w:sz w:val="20"/>
                <w:szCs w:val="20"/>
                <w:color w:val="auto"/>
              </w:rPr>
            </w:pPr>
          </w:p>
        </w:tc>
        <w:tc>
          <w:tcPr>
            <w:tcW w:w="60" w:type="dxa"/>
            <w:vAlign w:val="bottom"/>
            <w:tcBorders>
              <w:top w:val="single" w:sz="8" w:color="auto"/>
              <w:bottom w:val="single" w:sz="8" w:color="F0FF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Allowance for loan losses at beginning of period</w:t>
            </w:r>
          </w:p>
        </w:tc>
        <w:tc>
          <w:tcPr>
            <w:tcW w:w="1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61,422</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68,448</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Charge-offs: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1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construction</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Residential mortgage</w:t>
            </w:r>
          </w:p>
        </w:tc>
        <w:tc>
          <w:tcPr>
            <w:tcW w:w="1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installment</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40" w:type="dxa"/>
            <w:vAlign w:val="bottom"/>
            <w:tcBorders>
              <w:bottom w:val="single" w:sz="8" w:color="F0FFFF"/>
            </w:tcBorders>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Indirect auto</w:t>
            </w:r>
          </w:p>
        </w:tc>
        <w:tc>
          <w:tcPr>
            <w:tcW w:w="128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spacing w:after="0"/>
              <w:rPr>
                <w:sz w:val="21"/>
                <w:szCs w:val="21"/>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spacing w:after="0"/>
              <w:rPr>
                <w:sz w:val="21"/>
                <w:szCs w:val="21"/>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F0FFFF"/>
            </w:tcBorders>
          </w:tcPr>
          <w:p>
            <w:pPr>
              <w:ind w:left="300"/>
              <w:spacing w:after="0" w:line="203" w:lineRule="exact"/>
              <w:rPr>
                <w:sz w:val="20"/>
                <w:szCs w:val="20"/>
                <w:color w:val="auto"/>
              </w:rPr>
            </w:pPr>
            <w:r>
              <w:rPr>
                <w:rFonts w:ascii="Times New Roman" w:cs="Times New Roman" w:eastAsia="Times New Roman" w:hAnsi="Times New Roman"/>
                <w:sz w:val="18"/>
                <w:szCs w:val="18"/>
                <w:color w:val="auto"/>
              </w:rPr>
              <w:t>Total loans charged-off</w:t>
            </w:r>
          </w:p>
        </w:tc>
        <w:tc>
          <w:tcPr>
            <w:tcW w:w="1280" w:type="dxa"/>
            <w:vAlign w:val="bottom"/>
            <w:tcBorders>
              <w:bottom w:val="single" w:sz="8" w:color="F0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3,215</w:t>
            </w:r>
          </w:p>
        </w:tc>
        <w:tc>
          <w:tcPr>
            <w:tcW w:w="200" w:type="dxa"/>
            <w:vAlign w:val="bottom"/>
            <w:tcBorders>
              <w:bottom w:val="single" w:sz="8" w:color="F0FFFF"/>
            </w:tcBorders>
          </w:tcPr>
          <w:p>
            <w:pPr>
              <w:spacing w:after="0"/>
              <w:rPr>
                <w:sz w:val="18"/>
                <w:szCs w:val="18"/>
                <w:color w:val="auto"/>
              </w:rPr>
            </w:pPr>
          </w:p>
        </w:tc>
        <w:tc>
          <w:tcPr>
            <w:tcW w:w="60" w:type="dxa"/>
            <w:vAlign w:val="bottom"/>
            <w:tcBorders>
              <w:bottom w:val="single" w:sz="8" w:color="F0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3,153</w:t>
            </w:r>
          </w:p>
        </w:tc>
        <w:tc>
          <w:tcPr>
            <w:tcW w:w="160" w:type="dxa"/>
            <w:vAlign w:val="bottom"/>
            <w:tcBorders>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1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Commercial construction</w:t>
            </w:r>
          </w:p>
        </w:tc>
        <w:tc>
          <w:tcPr>
            <w:tcW w:w="1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Consumer installment</w:t>
            </w:r>
          </w:p>
        </w:tc>
        <w:tc>
          <w:tcPr>
            <w:tcW w:w="1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40" w:type="dxa"/>
            <w:vAlign w:val="bottom"/>
            <w:tcBorders>
              <w:bottom w:val="single" w:sz="8" w:color="F0FFFF"/>
            </w:tcBorders>
          </w:tcPr>
          <w:p>
            <w:pPr>
              <w:ind w:left="140"/>
              <w:spacing w:after="0"/>
              <w:rPr>
                <w:sz w:val="20"/>
                <w:szCs w:val="20"/>
                <w:color w:val="auto"/>
              </w:rPr>
            </w:pPr>
            <w:r>
              <w:rPr>
                <w:rFonts w:ascii="Times New Roman" w:cs="Times New Roman" w:eastAsia="Times New Roman" w:hAnsi="Times New Roman"/>
                <w:sz w:val="18"/>
                <w:szCs w:val="18"/>
                <w:color w:val="auto"/>
              </w:rPr>
              <w:t>Indirect auto</w:t>
            </w:r>
          </w:p>
        </w:tc>
        <w:tc>
          <w:tcPr>
            <w:tcW w:w="128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40" w:type="dxa"/>
            <w:vAlign w:val="bottom"/>
            <w:tcBorders>
              <w:bottom w:val="single" w:sz="8" w:color="F0FFFF"/>
            </w:tcBorders>
            <w:shd w:val="clear" w:color="auto" w:fill="F0FFFF"/>
          </w:tcPr>
          <w:p>
            <w:pPr>
              <w:ind w:left="300"/>
              <w:spacing w:after="0"/>
              <w:rPr>
                <w:sz w:val="20"/>
                <w:szCs w:val="20"/>
                <w:color w:val="auto"/>
              </w:rPr>
            </w:pPr>
            <w:r>
              <w:rPr>
                <w:rFonts w:ascii="Times New Roman" w:cs="Times New Roman" w:eastAsia="Times New Roman" w:hAnsi="Times New Roman"/>
                <w:sz w:val="18"/>
                <w:szCs w:val="18"/>
                <w:color w:val="auto"/>
              </w:rPr>
              <w:t>Total recoveries</w:t>
            </w:r>
          </w:p>
        </w:tc>
        <w:tc>
          <w:tcPr>
            <w:tcW w:w="128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auto"/>
            </w:tcBorders>
            <w:shd w:val="clear" w:color="auto" w:fill="F0FFFF"/>
          </w:tcPr>
          <w:p>
            <w:pPr>
              <w:spacing w:after="0"/>
              <w:rPr>
                <w:sz w:val="20"/>
                <w:szCs w:val="20"/>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200" w:type="dxa"/>
            <w:vAlign w:val="bottom"/>
            <w:tcBorders>
              <w:bottom w:val="single" w:sz="8" w:color="F0FFFF"/>
            </w:tcBorders>
            <w:shd w:val="clear" w:color="auto" w:fill="F0FFFF"/>
          </w:tcPr>
          <w:p>
            <w:pPr>
              <w:spacing w:after="0"/>
              <w:rPr>
                <w:sz w:val="20"/>
                <w:szCs w:val="20"/>
                <w:color w:val="auto"/>
              </w:rPr>
            </w:pPr>
          </w:p>
        </w:tc>
        <w:tc>
          <w:tcPr>
            <w:tcW w:w="6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auto"/>
            </w:tcBorders>
            <w:shd w:val="clear" w:color="auto" w:fill="F0FFFF"/>
          </w:tcPr>
          <w:p>
            <w:pPr>
              <w:spacing w:after="0"/>
              <w:rPr>
                <w:sz w:val="20"/>
                <w:szCs w:val="20"/>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6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F0FFFF"/>
            </w:tcBorders>
          </w:tcPr>
          <w:p>
            <w:pPr>
              <w:ind w:left="300"/>
              <w:spacing w:after="0" w:line="203" w:lineRule="exact"/>
              <w:rPr>
                <w:sz w:val="20"/>
                <w:szCs w:val="20"/>
                <w:color w:val="auto"/>
              </w:rPr>
            </w:pPr>
            <w:r>
              <w:rPr>
                <w:rFonts w:ascii="Times New Roman" w:cs="Times New Roman" w:eastAsia="Times New Roman" w:hAnsi="Times New Roman"/>
                <w:sz w:val="18"/>
                <w:szCs w:val="18"/>
                <w:color w:val="auto"/>
              </w:rPr>
              <w:t>Net charge-offs</w:t>
            </w:r>
          </w:p>
        </w:tc>
        <w:tc>
          <w:tcPr>
            <w:tcW w:w="1280" w:type="dxa"/>
            <w:vAlign w:val="bottom"/>
            <w:tcBorders>
              <w:bottom w:val="single" w:sz="8" w:color="F0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1,679</w:t>
            </w:r>
          </w:p>
        </w:tc>
        <w:tc>
          <w:tcPr>
            <w:tcW w:w="200" w:type="dxa"/>
            <w:vAlign w:val="bottom"/>
            <w:tcBorders>
              <w:bottom w:val="single" w:sz="8" w:color="F0FFFF"/>
            </w:tcBorders>
          </w:tcPr>
          <w:p>
            <w:pPr>
              <w:spacing w:after="0"/>
              <w:rPr>
                <w:sz w:val="18"/>
                <w:szCs w:val="18"/>
                <w:color w:val="auto"/>
              </w:rPr>
            </w:pPr>
          </w:p>
        </w:tc>
        <w:tc>
          <w:tcPr>
            <w:tcW w:w="60" w:type="dxa"/>
            <w:vAlign w:val="bottom"/>
            <w:tcBorders>
              <w:bottom w:val="single" w:sz="8" w:color="F0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2,138</w:t>
            </w:r>
          </w:p>
        </w:tc>
        <w:tc>
          <w:tcPr>
            <w:tcW w:w="160" w:type="dxa"/>
            <w:vAlign w:val="bottom"/>
            <w:tcBorders>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28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tcBorders>
              <w:bottom w:val="single" w:sz="8" w:color="F0FFFF"/>
            </w:tcBorders>
            <w:shd w:val="clear" w:color="auto" w:fill="F0FFFF"/>
          </w:tcPr>
          <w:p>
            <w:pPr>
              <w:spacing w:after="0"/>
              <w:rPr>
                <w:sz w:val="19"/>
                <w:szCs w:val="19"/>
                <w:color w:val="auto"/>
              </w:rPr>
            </w:pPr>
          </w:p>
        </w:tc>
        <w:tc>
          <w:tcPr>
            <w:tcW w:w="6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57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Allowance for loan losses at end of period</w:t>
            </w:r>
          </w:p>
        </w:tc>
        <w:tc>
          <w:tcPr>
            <w:tcW w:w="1520" w:type="dxa"/>
            <w:vAlign w:val="bottom"/>
            <w:gridSpan w:val="2"/>
            <w:shd w:val="clear" w:color="auto" w:fill="F0FF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60,543</w:t>
            </w:r>
          </w:p>
        </w:tc>
        <w:tc>
          <w:tcPr>
            <w:tcW w:w="200" w:type="dxa"/>
            <w:vAlign w:val="bottom"/>
            <w:shd w:val="clear" w:color="auto" w:fill="F0FFFF"/>
          </w:tcPr>
          <w:p>
            <w:pPr>
              <w:spacing w:after="0"/>
              <w:rPr>
                <w:sz w:val="22"/>
                <w:szCs w:val="22"/>
                <w:color w:val="auto"/>
              </w:rPr>
            </w:pPr>
          </w:p>
        </w:tc>
        <w:tc>
          <w:tcPr>
            <w:tcW w:w="300" w:type="dxa"/>
            <w:vAlign w:val="bottom"/>
            <w:gridSpan w:val="2"/>
            <w:shd w:val="clear" w:color="auto" w:fill="F0FF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66,310</w:t>
            </w:r>
          </w:p>
        </w:tc>
        <w:tc>
          <w:tcPr>
            <w:tcW w:w="16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F0FFFF"/>
            </w:tcBorders>
          </w:tcPr>
          <w:p>
            <w:pPr>
              <w:spacing w:after="0" w:line="20" w:lineRule="exact"/>
              <w:rPr>
                <w:sz w:val="1"/>
                <w:szCs w:val="1"/>
                <w:color w:val="auto"/>
              </w:rPr>
            </w:pPr>
          </w:p>
        </w:tc>
        <w:tc>
          <w:tcPr>
            <w:tcW w:w="12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Allowance for unfunded commitments at beginning of period</w:t>
            </w:r>
          </w:p>
        </w:tc>
        <w:tc>
          <w:tcPr>
            <w:tcW w:w="1520" w:type="dxa"/>
            <w:vAlign w:val="bottom"/>
            <w:gridSpan w:val="2"/>
            <w:shd w:val="clear" w:color="auto" w:fill="F0FF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200" w:type="dxa"/>
            <w:vAlign w:val="bottom"/>
            <w:shd w:val="clear" w:color="auto" w:fill="F0FFFF"/>
          </w:tcPr>
          <w:p>
            <w:pPr>
              <w:spacing w:after="0"/>
              <w:rPr>
                <w:sz w:val="18"/>
                <w:szCs w:val="18"/>
                <w:color w:val="auto"/>
              </w:rPr>
            </w:pPr>
          </w:p>
        </w:tc>
        <w:tc>
          <w:tcPr>
            <w:tcW w:w="300" w:type="dxa"/>
            <w:vAlign w:val="bottom"/>
            <w:gridSpan w:val="2"/>
            <w:shd w:val="clear" w:color="auto" w:fill="F0FF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losses on unfunded commitments</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40" w:type="dxa"/>
            <w:vAlign w:val="bottom"/>
            <w:tcBorders>
              <w:top w:val="single" w:sz="8" w:color="F0FFFF"/>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Allowance for unfunded commitments at end of period</w:t>
            </w:r>
          </w:p>
        </w:tc>
        <w:tc>
          <w:tcPr>
            <w:tcW w:w="128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spacing w:after="0"/>
              <w:rPr>
                <w:sz w:val="20"/>
                <w:szCs w:val="20"/>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spacing w:after="0"/>
              <w:rPr>
                <w:sz w:val="20"/>
                <w:szCs w:val="20"/>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6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62,545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bottom w:val="single" w:sz="8" w:color="F0FFFF"/>
            </w:tcBorders>
          </w:tcPr>
          <w:p>
            <w:pPr>
              <w:spacing w:after="0" w:line="20" w:lineRule="exact"/>
              <w:rPr>
                <w:sz w:val="1"/>
                <w:szCs w:val="1"/>
                <w:color w:val="auto"/>
              </w:rPr>
            </w:pPr>
          </w:p>
        </w:tc>
        <w:tc>
          <w:tcPr>
            <w:tcW w:w="128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shd w:val="clear" w:color="auto" w:fill="F0FFFF"/>
          </w:tcPr>
          <w:p>
            <w:pPr>
              <w:spacing w:after="0"/>
              <w:rPr>
                <w:sz w:val="18"/>
                <w:szCs w:val="18"/>
                <w:color w:val="auto"/>
              </w:rPr>
            </w:pPr>
          </w:p>
        </w:tc>
        <w:tc>
          <w:tcPr>
            <w:tcW w:w="1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loans: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At period-end</w:t>
            </w:r>
          </w:p>
        </w:tc>
        <w:tc>
          <w:tcPr>
            <w:tcW w:w="1520" w:type="dxa"/>
            <w:vAlign w:val="bottom"/>
            <w:gridSpan w:val="2"/>
            <w:shd w:val="clear" w:color="auto" w:fill="F0FF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6,964,990</w:t>
            </w:r>
          </w:p>
        </w:tc>
        <w:tc>
          <w:tcPr>
            <w:tcW w:w="200" w:type="dxa"/>
            <w:vAlign w:val="bottom"/>
            <w:shd w:val="clear" w:color="auto" w:fill="F0FFFF"/>
          </w:tcPr>
          <w:p>
            <w:pPr>
              <w:spacing w:after="0"/>
              <w:rPr>
                <w:sz w:val="18"/>
                <w:szCs w:val="18"/>
                <w:color w:val="auto"/>
              </w:rPr>
            </w:pPr>
          </w:p>
        </w:tc>
        <w:tc>
          <w:tcPr>
            <w:tcW w:w="300" w:type="dxa"/>
            <w:vAlign w:val="bottom"/>
            <w:gridSpan w:val="2"/>
            <w:shd w:val="clear" w:color="auto" w:fill="F0FF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6,106,189</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6,903,860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6,003,568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shd w:val="clear" w:color="auto" w:fill="F0FFFF"/>
          </w:tcPr>
          <w:p>
            <w:pPr>
              <w:spacing w:after="0"/>
              <w:rPr>
                <w:sz w:val="18"/>
                <w:szCs w:val="18"/>
                <w:color w:val="auto"/>
              </w:rPr>
            </w:pPr>
          </w:p>
        </w:tc>
        <w:tc>
          <w:tcPr>
            <w:tcW w:w="1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loan losses as a percentage of period-end loans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shd w:val="clear" w:color="auto" w:fill="F0FFFF"/>
          </w:tcPr>
          <w:p>
            <w:pPr>
              <w:spacing w:after="0"/>
              <w:rPr>
                <w:sz w:val="18"/>
                <w:szCs w:val="18"/>
                <w:color w:val="auto"/>
              </w:rPr>
            </w:pPr>
          </w:p>
        </w:tc>
        <w:tc>
          <w:tcPr>
            <w:tcW w:w="1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As a percentage of average loans (annualized):</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Net charge-offs</w:t>
            </w:r>
          </w:p>
        </w:tc>
        <w:tc>
          <w:tcPr>
            <w:tcW w:w="1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credit losses charged to earnings is based upon management’s judgment of the amount necessary to maintain the allowance at a level appropriate to absorb probable incurred losses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credit losses, which includes a portion related to unfunded commitments, totaled $62.5 million at March 31, 2017, compared with $63.4 million at December 31, 2016. At March 31, 2017, the allowance for loan losses was $60.5 million, or .87% of loans, compared with $61.4 million, or ..89% of total loans, at December 31, 2016.</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believes that the allowance for credit losses at March 31, 2017 reflects the probable incurred losses in the loan portfolio and unfunded loan commitments. This assessment involves uncertainty and judgment and is subject to change in future periods. The amount of any changes could be significant if management’s assessment of loan quality or collateral values change substantially with respect to one or more loan relationships or portfolios. In addition, bank regulatory authorities, as part of their periodic examination of the Bank, may require adjustments to the provision for credit losses in future periods if, in their opinion, the results of their review warrant such additions. See the “Critical Accounting Policies” section for additional information on the allowance for loan losses.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summarizes nonperforming assets.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76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Table 9 - Nonperforming Assets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760" w:type="dxa"/>
            <w:vAlign w:val="bottom"/>
            <w:gridSpan w:val="2"/>
          </w:tcPr>
          <w:p>
            <w:pPr>
              <w:ind w:left="11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124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4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60" w:type="dxa"/>
            <w:vAlign w:val="bottom"/>
          </w:tcPr>
          <w:p>
            <w:pPr>
              <w:spacing w:after="0"/>
              <w:rPr>
                <w:sz w:val="21"/>
                <w:szCs w:val="21"/>
                <w:color w:val="auto"/>
              </w:rPr>
            </w:pPr>
          </w:p>
        </w:tc>
        <w:tc>
          <w:tcPr>
            <w:tcW w:w="5600" w:type="dxa"/>
            <w:vAlign w:val="bottom"/>
            <w:tcBorders>
              <w:bottom w:val="single" w:sz="8" w:color="F0FFFF"/>
            </w:tcBorders>
          </w:tcPr>
          <w:p>
            <w:pPr>
              <w:spacing w:after="0"/>
              <w:rPr>
                <w:sz w:val="21"/>
                <w:szCs w:val="21"/>
                <w:color w:val="auto"/>
              </w:rPr>
            </w:pPr>
          </w:p>
        </w:tc>
        <w:tc>
          <w:tcPr>
            <w:tcW w:w="1080" w:type="dxa"/>
            <w:vAlign w:val="bottom"/>
            <w:tcBorders>
              <w:bottom w:val="single" w:sz="8" w:color="F0FF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bottom w:val="single" w:sz="8" w:color="F0FFFF"/>
            </w:tcBorders>
          </w:tcPr>
          <w:p>
            <w:pPr>
              <w:spacing w:after="0"/>
              <w:rPr>
                <w:sz w:val="21"/>
                <w:szCs w:val="21"/>
                <w:color w:val="auto"/>
              </w:rPr>
            </w:pPr>
          </w:p>
        </w:tc>
        <w:tc>
          <w:tcPr>
            <w:tcW w:w="40" w:type="dxa"/>
            <w:vAlign w:val="bottom"/>
            <w:tcBorders>
              <w:bottom w:val="single" w:sz="8" w:color="F0FF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Borders>
              <w:bottom w:val="single" w:sz="8" w:color="F0FF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Nonperforming loans</w:t>
            </w: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19,812</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21,539</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5600" w:type="dxa"/>
            <w:vAlign w:val="bottom"/>
            <w:tcBorders>
              <w:bottom w:val="single" w:sz="8" w:color="F0FFFF"/>
            </w:tcBorders>
          </w:tcPr>
          <w:p>
            <w:pPr>
              <w:spacing w:after="0"/>
              <w:rPr>
                <w:sz w:val="20"/>
                <w:szCs w:val="20"/>
                <w:color w:val="auto"/>
              </w:rPr>
            </w:pPr>
            <w:r>
              <w:rPr>
                <w:rFonts w:ascii="Times New Roman" w:cs="Times New Roman" w:eastAsia="Times New Roman" w:hAnsi="Times New Roman"/>
                <w:sz w:val="18"/>
                <w:szCs w:val="18"/>
                <w:color w:val="auto"/>
              </w:rPr>
              <w:t>Foreclosed properties (OREO)</w:t>
            </w:r>
          </w:p>
        </w:tc>
        <w:tc>
          <w:tcPr>
            <w:tcW w:w="108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200" w:type="dxa"/>
            <w:vAlign w:val="bottom"/>
            <w:tcBorders>
              <w:bottom w:val="single" w:sz="8" w:color="F0FFFF"/>
            </w:tcBorders>
          </w:tcPr>
          <w:p>
            <w:pPr>
              <w:spacing w:after="0"/>
              <w:rPr>
                <w:sz w:val="20"/>
                <w:szCs w:val="20"/>
                <w:color w:val="auto"/>
              </w:rPr>
            </w:pPr>
          </w:p>
        </w:tc>
        <w:tc>
          <w:tcPr>
            <w:tcW w:w="4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7,949</w:t>
            </w:r>
          </w:p>
        </w:tc>
        <w:tc>
          <w:tcPr>
            <w:tcW w:w="1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24,872</w:t>
            </w:r>
          </w:p>
        </w:tc>
        <w:tc>
          <w:tcPr>
            <w:tcW w:w="200" w:type="dxa"/>
            <w:vAlign w:val="bottom"/>
          </w:tcPr>
          <w:p>
            <w:pPr>
              <w:spacing w:after="0"/>
              <w:rPr>
                <w:sz w:val="21"/>
                <w:szCs w:val="21"/>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0" w:type="dxa"/>
            <w:vAlign w:val="bottom"/>
            <w:tcBorders>
              <w:bottom w:val="single" w:sz="8" w:color="F0FFFF"/>
            </w:tcBorders>
          </w:tcPr>
          <w:p>
            <w:pPr>
              <w:spacing w:after="0" w:line="20" w:lineRule="exact"/>
              <w:rPr>
                <w:sz w:val="1"/>
                <w:szCs w:val="1"/>
                <w:color w:val="auto"/>
              </w:rPr>
            </w:pPr>
          </w:p>
        </w:tc>
        <w:tc>
          <w:tcPr>
            <w:tcW w:w="108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40" w:type="dxa"/>
            <w:vAlign w:val="bottom"/>
            <w:tcBorders>
              <w:bottom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restart"/>
          </w:tcPr>
          <w:p>
            <w:pPr>
              <w:spacing w:after="0"/>
              <w:rPr>
                <w:sz w:val="18"/>
                <w:szCs w:val="18"/>
                <w:color w:val="auto"/>
              </w:rPr>
            </w:pPr>
          </w:p>
        </w:tc>
        <w:tc>
          <w:tcPr>
            <w:tcW w:w="56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loans as a percentage of total loans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Nonperforming assets as a percentage of total loans and OREO</w:t>
            </w: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assets as a percentage of total assets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2017, nonperforming loans were $19.8 million compared to $21.5 million at December 31, 2016. Nonperforming assets, which include nonperforming loans and foreclosed real estate, totaled $24.9 million at March 31, 2017 and $29.5 million at December 31, 2016.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United’s policy is to place loans on nonaccrual status when, in the opinion of management, the principal and interest on a loan is not likely to be repaid in full or when the loan becomes 90 days past due. When a loan is classified on nonaccrual status, interest previously accrued but not collected is reversed against current interest revenue. Principal and interest payments received on a nonaccrual loan are applied to reduce the loan’s recorded investment.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Purchased credit impaired (“PCI”) loans are considered past due or delinquent when the contractual principal or interest due in accordance with the terms of the loan agreement remains unpaid after the due date of the scheduled payment. However, these loans are considered as performing, even though they may be contractually past due, as any non-payment of contractual principal or interest is considered in the periodic re-estimation of expected cash flows and is included in the resulting recognition of current period covered loan loss provision or future period yield adjustments. The accrual of interest is discontinued on PCI loans if management can no longer reliably estimate future cash flows on the loan. No PCI loans were classified as nonaccrual at March 31, 2017 or December 31, 2016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PCI loans.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The following table summarizes nonperforming assets by category and market as of the dates indicated.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Table 10 - Nonperforming Assets by Category and Market</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7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Nonaccrual</w:t>
            </w:r>
          </w:p>
        </w:tc>
        <w:tc>
          <w:tcPr>
            <w:tcW w:w="180" w:type="dxa"/>
            <w:vAlign w:val="bottom"/>
          </w:tcPr>
          <w:p>
            <w:pPr>
              <w:spacing w:after="0"/>
              <w:rPr>
                <w:sz w:val="18"/>
                <w:szCs w:val="18"/>
                <w:color w:val="auto"/>
              </w:rPr>
            </w:pPr>
          </w:p>
        </w:tc>
        <w:tc>
          <w:tcPr>
            <w:tcW w:w="9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Foreclosed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9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Foreclosed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80" w:type="dxa"/>
            <w:vAlign w:val="bottom"/>
          </w:tcPr>
          <w:p>
            <w:pPr>
              <w:spacing w:after="0"/>
              <w:rPr>
                <w:sz w:val="21"/>
                <w:szCs w:val="21"/>
                <w:color w:val="auto"/>
              </w:rPr>
            </w:pPr>
          </w:p>
        </w:tc>
        <w:tc>
          <w:tcPr>
            <w:tcW w:w="9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NPAs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9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NPAs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top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BY CATEGORY</w:t>
            </w:r>
          </w:p>
        </w:tc>
        <w:tc>
          <w:tcPr>
            <w:tcW w:w="140" w:type="dxa"/>
            <w:vAlign w:val="bottom"/>
            <w:tcBorders>
              <w:top w:val="single" w:sz="8" w:color="auto"/>
            </w:tcBorders>
            <w:shd w:val="clear" w:color="auto" w:fill="F0FFFF"/>
          </w:tcPr>
          <w:p>
            <w:pPr>
              <w:spacing w:after="0"/>
              <w:rPr>
                <w:sz w:val="18"/>
                <w:szCs w:val="18"/>
                <w:color w:val="auto"/>
              </w:rPr>
            </w:pPr>
          </w:p>
        </w:tc>
        <w:tc>
          <w:tcPr>
            <w:tcW w:w="76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6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right w:val="single" w:sz="8" w:color="auto"/>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70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right w:val="single" w:sz="8" w:color="auto"/>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74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58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right w:val="single" w:sz="8" w:color="auto"/>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7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right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1,238</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7,373</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7,373</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4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1,324</w:t>
            </w:r>
          </w:p>
        </w:tc>
        <w:tc>
          <w:tcPr>
            <w:tcW w:w="28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966</w:t>
            </w: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40" w:type="dxa"/>
            <w:vAlign w:val="bottom"/>
            <w:shd w:val="clear" w:color="auto" w:fill="F0FFFF"/>
          </w:tcPr>
          <w:p>
            <w:pPr>
              <w:spacing w:after="0"/>
              <w:rPr>
                <w:sz w:val="21"/>
                <w:szCs w:val="21"/>
                <w:color w:val="auto"/>
              </w:rPr>
            </w:pPr>
          </w:p>
        </w:tc>
        <w:tc>
          <w:tcPr>
            <w:tcW w:w="7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8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7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2,825</w:t>
            </w:r>
          </w:p>
        </w:tc>
        <w:tc>
          <w:tcPr>
            <w:tcW w:w="6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2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3,894</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1,538</w:t>
            </w:r>
          </w:p>
        </w:tc>
        <w:tc>
          <w:tcPr>
            <w:tcW w:w="280" w:type="dxa"/>
            <w:vAlign w:val="bottom"/>
            <w:shd w:val="clear" w:color="auto" w:fill="F0FFFF"/>
          </w:tcPr>
          <w:p>
            <w:pPr>
              <w:spacing w:after="0"/>
              <w:rPr>
                <w:sz w:val="21"/>
                <w:szCs w:val="21"/>
                <w:color w:val="auto"/>
              </w:rPr>
            </w:pPr>
          </w:p>
        </w:tc>
        <w:tc>
          <w:tcPr>
            <w:tcW w:w="7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2,977</w:t>
            </w:r>
          </w:p>
        </w:tc>
        <w:tc>
          <w:tcPr>
            <w:tcW w:w="8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4,515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Borders>
              <w:top w:val="single" w:sz="8" w:color="F0FFFF"/>
            </w:tcBorders>
          </w:tcPr>
          <w:p>
            <w:pPr>
              <w:ind w:left="140"/>
              <w:spacing w:after="0" w:line="203" w:lineRule="exact"/>
              <w:rPr>
                <w:sz w:val="20"/>
                <w:szCs w:val="20"/>
                <w:color w:val="auto"/>
              </w:rPr>
            </w:pPr>
            <w:r>
              <w:rPr>
                <w:rFonts w:ascii="Times New Roman" w:cs="Times New Roman" w:eastAsia="Times New Roman" w:hAnsi="Times New Roman"/>
                <w:sz w:val="18"/>
                <w:szCs w:val="18"/>
                <w:color w:val="auto"/>
              </w:rPr>
              <w:t>Total commercial</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9,673</w:t>
            </w:r>
          </w:p>
        </w:tc>
        <w:tc>
          <w:tcPr>
            <w:tcW w:w="180" w:type="dxa"/>
            <w:vAlign w:val="bottom"/>
            <w:tcBorders>
              <w:top w:val="single" w:sz="8" w:color="F0FF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4,084</w:t>
            </w:r>
          </w:p>
        </w:tc>
        <w:tc>
          <w:tcPr>
            <w:tcW w:w="100" w:type="dxa"/>
            <w:vAlign w:val="bottom"/>
            <w:tcBorders>
              <w:top w:val="single" w:sz="8" w:color="F0FFFF"/>
              <w:right w:val="single" w:sz="8" w:color="auto"/>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13,757</w:t>
            </w:r>
          </w:p>
        </w:tc>
        <w:tc>
          <w:tcPr>
            <w:tcW w:w="120" w:type="dxa"/>
            <w:vAlign w:val="bottom"/>
            <w:tcBorders>
              <w:top w:val="single" w:sz="8" w:color="F0FFFF"/>
              <w:right w:val="single" w:sz="8" w:color="auto"/>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11,201</w:t>
            </w:r>
          </w:p>
        </w:tc>
        <w:tc>
          <w:tcPr>
            <w:tcW w:w="180" w:type="dxa"/>
            <w:vAlign w:val="bottom"/>
            <w:tcBorders>
              <w:top w:val="single" w:sz="8" w:color="F0FF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6,158</w:t>
            </w:r>
          </w:p>
        </w:tc>
        <w:tc>
          <w:tcPr>
            <w:tcW w:w="120" w:type="dxa"/>
            <w:vAlign w:val="bottom"/>
            <w:tcBorders>
              <w:top w:val="single" w:sz="8" w:color="F0FFFF"/>
              <w:right w:val="single" w:sz="8" w:color="auto"/>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17,359</w:t>
            </w:r>
          </w:p>
        </w:tc>
        <w:tc>
          <w:tcPr>
            <w:tcW w:w="100" w:type="dxa"/>
            <w:vAlign w:val="bottom"/>
            <w:tcBorders>
              <w:top w:val="single" w:sz="8" w:color="F0FF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4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1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c>
          <w:tcPr>
            <w:tcW w:w="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7,115</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6,368</w:t>
            </w:r>
          </w:p>
        </w:tc>
        <w:tc>
          <w:tcPr>
            <w:tcW w:w="28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1,260</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1,831</w:t>
            </w: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776</w:t>
            </w:r>
          </w:p>
        </w:tc>
        <w:tc>
          <w:tcPr>
            <w:tcW w:w="28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40" w:type="dxa"/>
            <w:vAlign w:val="bottom"/>
            <w:shd w:val="clear" w:color="auto" w:fill="F0FFFF"/>
          </w:tcPr>
          <w:p>
            <w:pPr>
              <w:spacing w:after="0"/>
              <w:rPr>
                <w:sz w:val="21"/>
                <w:szCs w:val="21"/>
                <w:color w:val="auto"/>
              </w:rPr>
            </w:pPr>
          </w:p>
        </w:tc>
        <w:tc>
          <w:tcPr>
            <w:tcW w:w="7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8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7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2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1,317</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1,275</w:t>
            </w:r>
          </w:p>
        </w:tc>
        <w:tc>
          <w:tcPr>
            <w:tcW w:w="280" w:type="dxa"/>
            <w:vAlign w:val="bottom"/>
            <w:shd w:val="clear" w:color="auto" w:fill="F0FFFF"/>
          </w:tcPr>
          <w:p>
            <w:pPr>
              <w:spacing w:after="0"/>
              <w:rPr>
                <w:sz w:val="21"/>
                <w:szCs w:val="21"/>
                <w:color w:val="auto"/>
              </w:rPr>
            </w:pPr>
          </w:p>
        </w:tc>
        <w:tc>
          <w:tcPr>
            <w:tcW w:w="7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tcBorders>
              <w:top w:val="single" w:sz="8" w:color="F0FF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NPAs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19,812</w:t>
            </w:r>
          </w:p>
        </w:tc>
        <w:tc>
          <w:tcPr>
            <w:tcW w:w="18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00" w:type="dxa"/>
            <w:vAlign w:val="bottom"/>
            <w:tcBorders>
              <w:top w:val="single" w:sz="8" w:color="F0FFFF"/>
              <w:right w:val="single" w:sz="8" w:color="auto"/>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24,872</w:t>
            </w:r>
          </w:p>
        </w:tc>
        <w:tc>
          <w:tcPr>
            <w:tcW w:w="120" w:type="dxa"/>
            <w:vAlign w:val="bottom"/>
            <w:tcBorders>
              <w:top w:val="single" w:sz="8" w:color="F0FFFF"/>
              <w:right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21,539</w:t>
            </w:r>
          </w:p>
        </w:tc>
        <w:tc>
          <w:tcPr>
            <w:tcW w:w="18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7,949</w:t>
            </w:r>
          </w:p>
        </w:tc>
        <w:tc>
          <w:tcPr>
            <w:tcW w:w="120" w:type="dxa"/>
            <w:vAlign w:val="bottom"/>
            <w:tcBorders>
              <w:top w:val="single" w:sz="8" w:color="F0FFFF"/>
              <w:right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29,488</w:t>
            </w:r>
          </w:p>
        </w:tc>
        <w:tc>
          <w:tcPr>
            <w:tcW w:w="100" w:type="dxa"/>
            <w:vAlign w:val="bottom"/>
            <w:tcBorders>
              <w:top w:val="single" w:sz="8" w:color="F0FF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right w:val="single" w:sz="8" w:color="auto"/>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right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right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00" w:type="dxa"/>
            <w:vAlign w:val="bottom"/>
            <w:tcBorders>
              <w:right w:val="single" w:sz="8" w:color="auto"/>
            </w:tcBorders>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2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2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00" w:type="dxa"/>
            <w:vAlign w:val="bottom"/>
            <w:tcBorders>
              <w:right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 MARKET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North Georgia</w:t>
            </w:r>
          </w:p>
        </w:tc>
        <w:tc>
          <w:tcPr>
            <w:tcW w:w="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460" w:type="dxa"/>
            <w:vAlign w:val="bottom"/>
            <w:gridSpan w:val="2"/>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570</w:t>
            </w:r>
          </w:p>
        </w:tc>
        <w:tc>
          <w:tcPr>
            <w:tcW w:w="60" w:type="dxa"/>
            <w:vAlign w:val="bottom"/>
            <w:shd w:val="clear" w:color="auto" w:fill="F0FFFF"/>
          </w:tcPr>
          <w:p>
            <w:pPr>
              <w:spacing w:after="0"/>
              <w:rPr>
                <w:sz w:val="18"/>
                <w:szCs w:val="18"/>
                <w:color w:val="auto"/>
              </w:rPr>
            </w:pPr>
          </w:p>
        </w:tc>
        <w:tc>
          <w:tcPr>
            <w:tcW w:w="1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5,914</w:t>
            </w:r>
          </w:p>
        </w:tc>
        <w:tc>
          <w:tcPr>
            <w:tcW w:w="220" w:type="dxa"/>
            <w:vAlign w:val="bottom"/>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5,278</w:t>
            </w:r>
          </w:p>
        </w:tc>
        <w:tc>
          <w:tcPr>
            <w:tcW w:w="2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Atlanta MSA</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1,259</w:t>
            </w: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4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5,252</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4,750</w:t>
            </w:r>
          </w:p>
        </w:tc>
        <w:tc>
          <w:tcPr>
            <w:tcW w:w="28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Coastal Georgia</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1,778</w:t>
            </w: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Gainesville MSA</w:t>
            </w:r>
          </w:p>
        </w:tc>
        <w:tc>
          <w:tcPr>
            <w:tcW w:w="14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279</w:t>
            </w:r>
          </w:p>
        </w:tc>
        <w:tc>
          <w:tcPr>
            <w:tcW w:w="28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East Tennessee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2,354</w:t>
            </w: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14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2,857</w:t>
            </w:r>
          </w:p>
        </w:tc>
        <w:tc>
          <w:tcPr>
            <w:tcW w:w="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4,582</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2,494</w:t>
            </w:r>
          </w:p>
        </w:tc>
        <w:tc>
          <w:tcPr>
            <w:tcW w:w="28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5,070</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Specialized Lending</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2,072</w:t>
            </w: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40" w:type="dxa"/>
            <w:vAlign w:val="bottom"/>
            <w:shd w:val="clear" w:color="auto" w:fill="F0FFFF"/>
          </w:tcPr>
          <w:p>
            <w:pPr>
              <w:spacing w:after="0"/>
              <w:rPr>
                <w:sz w:val="21"/>
                <w:szCs w:val="21"/>
                <w:color w:val="auto"/>
              </w:rPr>
            </w:pPr>
          </w:p>
        </w:tc>
        <w:tc>
          <w:tcPr>
            <w:tcW w:w="7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8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7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2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1,317</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1,275</w:t>
            </w:r>
          </w:p>
        </w:tc>
        <w:tc>
          <w:tcPr>
            <w:tcW w:w="280" w:type="dxa"/>
            <w:vAlign w:val="bottom"/>
            <w:shd w:val="clear" w:color="auto" w:fill="F0FFFF"/>
          </w:tcPr>
          <w:p>
            <w:pPr>
              <w:spacing w:after="0"/>
              <w:rPr>
                <w:sz w:val="21"/>
                <w:szCs w:val="21"/>
                <w:color w:val="auto"/>
              </w:rPr>
            </w:pPr>
          </w:p>
        </w:tc>
        <w:tc>
          <w:tcPr>
            <w:tcW w:w="7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00" w:type="dxa"/>
            <w:vAlign w:val="bottom"/>
            <w:tcBorders>
              <w:top w:val="single" w:sz="8" w:color="F0FF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NPAs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19,812</w:t>
            </w:r>
          </w:p>
        </w:tc>
        <w:tc>
          <w:tcPr>
            <w:tcW w:w="180" w:type="dxa"/>
            <w:vAlign w:val="bottom"/>
            <w:tcBorders>
              <w:top w:val="single" w:sz="8" w:color="F0FF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00" w:type="dxa"/>
            <w:vAlign w:val="bottom"/>
            <w:tcBorders>
              <w:top w:val="single" w:sz="8" w:color="F0FFFF"/>
              <w:right w:val="single" w:sz="8" w:color="auto"/>
            </w:tcBorders>
          </w:tcPr>
          <w:p>
            <w:pPr>
              <w:spacing w:after="0"/>
              <w:rPr>
                <w:sz w:val="22"/>
                <w:szCs w:val="22"/>
                <w:color w:val="auto"/>
              </w:rPr>
            </w:pPr>
          </w:p>
        </w:tc>
        <w:tc>
          <w:tcPr>
            <w:tcW w:w="60" w:type="dxa"/>
            <w:vAlign w:val="bottom"/>
            <w:tcBorders>
              <w:top w:val="single" w:sz="8" w:color="F0FFFF"/>
            </w:tcBorders>
          </w:tcPr>
          <w:p>
            <w:pPr>
              <w:spacing w:after="0"/>
              <w:rPr>
                <w:sz w:val="22"/>
                <w:szCs w:val="22"/>
                <w:color w:val="auto"/>
              </w:rPr>
            </w:pPr>
          </w:p>
        </w:tc>
        <w:tc>
          <w:tcPr>
            <w:tcW w:w="20" w:type="dxa"/>
            <w:vAlign w:val="bottom"/>
            <w:tcBorders>
              <w:top w:val="single" w:sz="8" w:color="F0FF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24,872</w:t>
            </w:r>
          </w:p>
        </w:tc>
        <w:tc>
          <w:tcPr>
            <w:tcW w:w="120" w:type="dxa"/>
            <w:vAlign w:val="bottom"/>
            <w:tcBorders>
              <w:top w:val="single" w:sz="8" w:color="F0FFFF"/>
              <w:right w:val="single" w:sz="8" w:color="auto"/>
            </w:tcBorders>
          </w:tcPr>
          <w:p>
            <w:pPr>
              <w:spacing w:after="0"/>
              <w:rPr>
                <w:sz w:val="22"/>
                <w:szCs w:val="22"/>
                <w:color w:val="auto"/>
              </w:rPr>
            </w:pPr>
          </w:p>
        </w:tc>
        <w:tc>
          <w:tcPr>
            <w:tcW w:w="80" w:type="dxa"/>
            <w:vAlign w:val="bottom"/>
            <w:tcBorders>
              <w:top w:val="single" w:sz="8" w:color="F0FF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21,539</w:t>
            </w:r>
          </w:p>
        </w:tc>
        <w:tc>
          <w:tcPr>
            <w:tcW w:w="180" w:type="dxa"/>
            <w:vAlign w:val="bottom"/>
            <w:tcBorders>
              <w:top w:val="single" w:sz="8" w:color="F0FF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7,949</w:t>
            </w:r>
          </w:p>
        </w:tc>
        <w:tc>
          <w:tcPr>
            <w:tcW w:w="120" w:type="dxa"/>
            <w:vAlign w:val="bottom"/>
            <w:tcBorders>
              <w:top w:val="single" w:sz="8" w:color="F0FFFF"/>
              <w:right w:val="single" w:sz="8" w:color="auto"/>
            </w:tcBorders>
          </w:tcPr>
          <w:p>
            <w:pPr>
              <w:spacing w:after="0"/>
              <w:rPr>
                <w:sz w:val="22"/>
                <w:szCs w:val="22"/>
                <w:color w:val="auto"/>
              </w:rPr>
            </w:pPr>
          </w:p>
        </w:tc>
        <w:tc>
          <w:tcPr>
            <w:tcW w:w="80" w:type="dxa"/>
            <w:vAlign w:val="bottom"/>
            <w:tcBorders>
              <w:top w:val="single" w:sz="8" w:color="F0FF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29,488</w:t>
            </w:r>
          </w:p>
        </w:tc>
        <w:tc>
          <w:tcPr>
            <w:tcW w:w="100" w:type="dxa"/>
            <w:vAlign w:val="bottom"/>
            <w:tcBorders>
              <w:top w:val="single" w:sz="8" w:color="F0FFFF"/>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2017 and December 31, 2016, United had $68.9 million and $73.2 million, respectively, in loans with terms that have been modified in TDRs. Included therein were $4.05 million and $5.35 million, respectively, of TDRs that were classified as nonaccrual and were included in nonperforming loans. The remaining TDRs with an aggregate balance of $64.9 million and $67.8 million, respectively, were performing according to their modified terms and are therefore not considered to be nonperforming assets.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March 31, 2017 and December 31, 2016, there were $81.4 million and $85.7 million, respectively, of loans classified as impaired under the definition outlined in the Accounting Standards Codification, including TDRs which are by definition considered impaired. Included in impaired loans at March 31, 2017 and December 31, 2016 was $25.1 million and $28.3 million, respectively, that did not require specific reserves or had previously been charged down to net realizable value. The balance of impaired loans at March 31, 2017 and December 31, 2016 of $56.3 million and $57.4 million, respectively, had specific reserves that totaled $3.69 million and $3.45 million, respectively. The average recorded investment in impaired loans for the first quarters of 2017 and 2016 was $81.9 million and $86.9 million, respectively. For the three months ended March 31, 2017, United recognized $957,000 in interest revenue on impaired loans compared to $1.06 million for the same period of the prior year.</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The table below summarizes activity in nonperforming assets for the periods indicated.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Table 11 - Activity in Nonperforming Assets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First Quarter 2017</w:t>
            </w:r>
          </w:p>
        </w:tc>
        <w:tc>
          <w:tcPr>
            <w:tcW w:w="7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First Quarter 2016</w:t>
            </w:r>
          </w:p>
        </w:tc>
        <w:tc>
          <w:tcPr>
            <w:tcW w:w="7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60" w:type="dxa"/>
            <w:vAlign w:val="bottom"/>
          </w:tcPr>
          <w:p>
            <w:pPr>
              <w:spacing w:after="0"/>
              <w:rPr>
                <w:sz w:val="18"/>
                <w:szCs w:val="18"/>
                <w:color w:val="auto"/>
              </w:rPr>
            </w:pPr>
          </w:p>
        </w:tc>
        <w:tc>
          <w:tcPr>
            <w:tcW w:w="9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Foreclosed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9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Foreclosed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60" w:type="dxa"/>
            <w:vAlign w:val="bottom"/>
          </w:tcPr>
          <w:p>
            <w:pPr>
              <w:spacing w:after="0"/>
              <w:rPr>
                <w:sz w:val="21"/>
                <w:szCs w:val="21"/>
                <w:color w:val="auto"/>
              </w:rPr>
            </w:pPr>
          </w:p>
        </w:tc>
        <w:tc>
          <w:tcPr>
            <w:tcW w:w="9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NPAs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9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NPAs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21,539</w:t>
            </w:r>
          </w:p>
        </w:tc>
        <w:tc>
          <w:tcPr>
            <w:tcW w:w="320" w:type="dxa"/>
            <w:vAlign w:val="bottom"/>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7,949</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29,488</w:t>
            </w:r>
          </w:p>
        </w:tc>
        <w:tc>
          <w:tcPr>
            <w:tcW w:w="220" w:type="dxa"/>
            <w:vAlign w:val="bottom"/>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22,653</w:t>
            </w:r>
          </w:p>
        </w:tc>
        <w:tc>
          <w:tcPr>
            <w:tcW w:w="2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4,883</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27,536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Loans placed on non-accrual</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4,771</w:t>
            </w:r>
          </w:p>
        </w:tc>
        <w:tc>
          <w:tcPr>
            <w:tcW w:w="24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Payments received</w:t>
            </w:r>
          </w:p>
        </w:tc>
        <w:tc>
          <w:tcPr>
            <w:tcW w:w="1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(3,046)</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2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tcBorders>
              <w:right w:val="single" w:sz="8" w:color="auto"/>
            </w:tcBorders>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(3,046)</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(1,812)</w:t>
            </w:r>
          </w:p>
        </w:tc>
        <w:tc>
          <w:tcPr>
            <w:tcW w:w="240" w:type="dxa"/>
            <w:vAlign w:val="bottom"/>
            <w:shd w:val="clear" w:color="auto" w:fill="F0FFFF"/>
          </w:tcPr>
          <w:p>
            <w:pPr>
              <w:spacing w:after="0"/>
              <w:rPr>
                <w:sz w:val="18"/>
                <w:szCs w:val="18"/>
                <w:color w:val="auto"/>
              </w:rPr>
            </w:pPr>
          </w:p>
        </w:tc>
        <w:tc>
          <w:tcPr>
            <w:tcW w:w="74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Loan charge-offs</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(1,679)</w:t>
            </w:r>
          </w:p>
        </w:tc>
        <w:tc>
          <w:tcPr>
            <w:tcW w:w="24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Foreclosures</w:t>
            </w:r>
          </w:p>
        </w:tc>
        <w:tc>
          <w:tcPr>
            <w:tcW w:w="1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(561)</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2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(1,514)</w:t>
            </w:r>
          </w:p>
        </w:tc>
        <w:tc>
          <w:tcPr>
            <w:tcW w:w="240" w:type="dxa"/>
            <w:vAlign w:val="bottom"/>
            <w:shd w:val="clear" w:color="auto" w:fill="F0FFFF"/>
          </w:tcPr>
          <w:p>
            <w:pPr>
              <w:spacing w:after="0"/>
              <w:rPr>
                <w:sz w:val="18"/>
                <w:szCs w:val="18"/>
                <w:color w:val="auto"/>
              </w:rPr>
            </w:pPr>
          </w:p>
        </w:tc>
        <w:tc>
          <w:tcPr>
            <w:tcW w:w="74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1,590</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Property sales</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Write downs</w:t>
            </w:r>
          </w:p>
        </w:tc>
        <w:tc>
          <w:tcPr>
            <w:tcW w:w="1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20" w:type="dxa"/>
            <w:vAlign w:val="bottom"/>
            <w:tcBorders>
              <w:right w:val="single" w:sz="8" w:color="auto"/>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tcBorders>
              <w:right w:val="single" w:sz="8" w:color="auto"/>
            </w:tcBorders>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0FFFF"/>
          </w:tcPr>
          <w:p>
            <w:pPr>
              <w:spacing w:after="0"/>
              <w:rPr>
                <w:sz w:val="18"/>
                <w:szCs w:val="18"/>
                <w:color w:val="auto"/>
              </w:rPr>
            </w:pPr>
          </w:p>
        </w:tc>
        <w:tc>
          <w:tcPr>
            <w:tcW w:w="740" w:type="dxa"/>
            <w:vAlign w:val="bottom"/>
            <w:tcBorders>
              <w:right w:val="single" w:sz="8" w:color="auto"/>
            </w:tcBorders>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Net gains on sales</w:t>
            </w: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400" w:type="dxa"/>
            <w:vAlign w:val="bottom"/>
            <w:tcBorders>
              <w:top w:val="single" w:sz="8" w:color="F0FFFF"/>
              <w:bottom w:val="single" w:sz="8" w:color="F0FFFF"/>
            </w:tcBorders>
            <w:shd w:val="clear" w:color="auto" w:fill="F0FFFF"/>
          </w:tcPr>
          <w:p>
            <w:pPr>
              <w:ind w:left="18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4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19,812</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00" w:type="dxa"/>
            <w:vAlign w:val="bottom"/>
            <w:tcBorders>
              <w:top w:val="single" w:sz="8" w:color="F0FFFF"/>
              <w:bottom w:val="single" w:sz="8" w:color="F0FFFF"/>
              <w:right w:val="single" w:sz="8" w:color="auto"/>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24,872</w:t>
            </w:r>
          </w:p>
        </w:tc>
        <w:tc>
          <w:tcPr>
            <w:tcW w:w="120" w:type="dxa"/>
            <w:vAlign w:val="bottom"/>
            <w:tcBorders>
              <w:top w:val="single" w:sz="8" w:color="F0FFFF"/>
              <w:bottom w:val="single" w:sz="8" w:color="F0FFFF"/>
              <w:right w:val="single" w:sz="8" w:color="auto"/>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22,419</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120" w:type="dxa"/>
            <w:vAlign w:val="bottom"/>
            <w:tcBorders>
              <w:top w:val="single" w:sz="8" w:color="F0FFFF"/>
              <w:bottom w:val="single" w:sz="8" w:color="F0FFFF"/>
              <w:right w:val="single" w:sz="8" w:color="auto"/>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100" w:type="dxa"/>
            <w:vAlign w:val="bottom"/>
            <w:tcBorders>
              <w:top w:val="single" w:sz="8" w:color="F0FFFF"/>
              <w:bottom w:val="single" w:sz="8" w:color="F0FFFF"/>
              <w:right w:val="single" w:sz="8" w:color="auto"/>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 Financed sales of foreclosed property are accounted for in accordance with ASC 360-20, </w:t>
      </w:r>
      <w:r>
        <w:rPr>
          <w:rFonts w:ascii="Times New Roman" w:cs="Times New Roman" w:eastAsia="Times New Roman" w:hAnsi="Times New Roman"/>
          <w:sz w:val="18"/>
          <w:szCs w:val="18"/>
          <w:i w:val="1"/>
          <w:iCs w:val="1"/>
          <w:color w:val="auto"/>
        </w:rPr>
        <w:t>Real Estate Sales</w:t>
      </w:r>
      <w:r>
        <w:rPr>
          <w:rFonts w:ascii="Times New Roman" w:cs="Times New Roman" w:eastAsia="Times New Roman" w:hAnsi="Times New Roman"/>
          <w:sz w:val="18"/>
          <w:szCs w:val="18"/>
          <w:color w:val="auto"/>
        </w:rPr>
        <w:t>. For the first quarter of 2017, United transferred $561,000 of loans into foreclosed property through foreclosures. During the same period, proceeds from sales of foreclosed property were $3.08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including repurchase agreements.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2017 and December 31, 2016, United had securities held-to-maturity with a carrying amount of $330 million, and securities available-for-sale totaling $2.44 billion and $2.43 billion, respectively. At March 31, 2017 and December 31, 2016, the securities portfolio represented approximately 26% of total assets.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investment securities portfolio primarily consists of Treasury securities, U.S. government agency securities, U.S. government sponsored agency mortgage-backed securities, non-agency mortgage-backed securities, corporate securities, municipal securities and asset-backed securities. Mortgage-backed securities rely on the underlying pools of mortgage loans to provide a cash flow of principal and interest. The actual maturities of these securities will usually differ from contractual maturities because loans underlying the securities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collateralized loan obligations and securities backed by student loans.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evaluates its securities portfolio each quarter to determine if any security is considered to be other than temporarily impaired. In making this evaluation, management considers its ability and intent to hold securities to recover current market losses. Losses on United’s fixed income securities at March 31, 2017 primarily reflect the effect of changes in interest rates. United did not recognize any other than temporary impairment losses on its investment securities during the first quarter of 2017 or 2016.</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2017 and December 31, 2016, 22% of the securities portfolio was invested in floating-rate securities or fixed-rate securities that were swapped to floating rates in order to manage exposure to rising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Core Deposit Intangibles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represents the premium paid for acquired companies above the fair value of the assets acquired and liabilities assumed, including separately identifiable intangible assets.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3" w:name="page54"/>
    <w:bookmarkEnd w:id="53"/>
    <w:p>
      <w:pPr>
        <w:jc w:val="both"/>
        <w:spacing w:after="0" w:line="266" w:lineRule="auto"/>
        <w:rPr>
          <w:sz w:val="20"/>
          <w:szCs w:val="20"/>
          <w:color w:val="auto"/>
        </w:rPr>
      </w:pPr>
      <w:r>
        <w:rPr>
          <w:rFonts w:ascii="Times New Roman" w:cs="Times New Roman" w:eastAsia="Times New Roman" w:hAnsi="Times New Roman"/>
          <w:sz w:val="18"/>
          <w:szCs w:val="18"/>
          <w:color w:val="auto"/>
        </w:rPr>
        <w:t>Core deposit intangibles, representing the value of acquired deposit relationships, are amortizing intangible assets that are required to be tested for impairment only when events or circumstances indicate that impairment may exist. There were no events or circumstances that led management to believe that any impairment exists in goodwill or other intangible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customer deposits, excluding brokered deposits, as of March 31, 2017 were $8.39 billion, compared to $8.31 billion at December 31, 2016. Total core transaction deposits (demand, NOW, money market and savings deposits, excluding public funds deposits) of $6.10 billion at March 31, 2017 increased $189 million since December 31, 2016. United’s high level of service, as evidenced by its strong customer satisfaction scores, has been instrumental in attracting and retaining core transaction deposit accounts.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time deposits, excluding brokered deposits, as of March 31, 2017 were $1.26 billion, down $25.9 million from December 31, 2016. United continues to offer low rates on certificates of deposit, allowing organic balances to decline and shift to lower cost transaction account deposits.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Brokered deposits totaled $364 million as of March 31, 2017, an increase of $36.6 million from December 31, 2016 due to an increase in the balance of lower-cost brokered money market deposits and brokered time deposits which are generally swapped to LIBOR.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is a shareholder in the Federal Home Loan Bank of Atlanta (“FHLB”). Through this affiliation, FHLB secured advances totaled $569 million and $709 million, respectively, as of March 31, 2017 and December 31, 2016. United anticipates continued use of this short and long-term source of funds. Additional information regarding FHLB advances is provided in Note 13 to the consolidated financial statements included in United’s Annual Report on Form 10-K for the year ended December 31,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material changes to United’s contractual obligations since December 31, 2016.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United is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exposure to credit loss in the event of nonperformance by the other party to the commitments to extend credit, letters of credit and financial guarantees is represented by the contractual amount of these instruments. United uses the same credit underwriting procedures for making commitments, letters of credit and financial guarantees, as it uses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United is not involved in off-balance sheet contractual relationships, other than those disclosed in this report, that could result in liquidity needs or other commitments, or that could significantly affect earnings. See Note 13 to the consolidated financial statements for additional information on off-balance sheet arrangements.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absolute level and volatility of interest rates can have a significant effect on profitability. The objective of interest rate risk management is to identify and manage the sensitivity of net interest revenue to changing interest rates, consistent with United’s overall financial goals. Based on economic conditions, asset quality and various other considerations, management establishes tolerance ranges for interest rate sensitivity and manages within these ranges.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United’s net interest revenue, and the fair value of its financial instruments, are influenced by changes in the level of interest rates. United limits its exposure to fluctuations in interest rates through policies developed by the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interest rate sensitivity.</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4" w:name="page55"/>
    <w:bookmarkEnd w:id="54"/>
    <w:p>
      <w:pPr>
        <w:jc w:val="both"/>
        <w:spacing w:after="0" w:line="254" w:lineRule="auto"/>
        <w:rPr>
          <w:sz w:val="20"/>
          <w:szCs w:val="20"/>
          <w:color w:val="auto"/>
        </w:rPr>
      </w:pPr>
      <w:r>
        <w:rPr>
          <w:rFonts w:ascii="Times New Roman" w:cs="Times New Roman" w:eastAsia="Times New Roman" w:hAnsi="Times New Roman"/>
          <w:sz w:val="18"/>
          <w:szCs w:val="18"/>
          <w:color w:val="auto"/>
        </w:rPr>
        <w:t>One of the tools management uses to estimate and manage the sensitivity of net interest revenue to changes in interest rates is an asset/liability simulation model. Resulting estimates are based upon a number of assumptions for each scenario, including loan and deposit re-pricing characteristics and the rate of prepayments.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Another commonly analyzed scenario is a most-likely scenario that projects the expected change in rates based on the slope of the forward yield curve. Other scenarios analyzed may include delayed rate shocks, yield curve steepening or flattening, or other variations in rate movements. While the primary policy scenarios focus on a twelve month time frame, longer time horizons are also modeled.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United’s policy is based on the 12-month impact on net interest revenue of interest rate shocks and ramps that increase from 100 to 400 basis points or decrease 100 basis points from the base scenario. In the shock scenarios, rates immediately change the full amount at the scenario onset. In the ramp scenarios, rates change by 25 basis points per month. United’s policy limits the projected change in net interest revenue over the first 12 months to a 5% decrease for each 100 basis point change in the increasing and decreasing rate ramp and shock scenarios. Historically low rates on March 31, 2016 made use of the down scenarios irrelevant. The following table presents United’s interest sensitivity position at the dates indicated.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Table 12 - Interest Sensitivity</w:t>
      </w:r>
    </w:p>
    <w:p>
      <w:pPr>
        <w:spacing w:after="0" w:line="225" w:lineRule="exact"/>
        <w:rPr>
          <w:sz w:val="20"/>
          <w:szCs w:val="20"/>
          <w:color w:val="auto"/>
        </w:rPr>
      </w:pPr>
    </w:p>
    <w:p>
      <w:pPr>
        <w:jc w:val="center"/>
        <w:ind w:left="3600"/>
        <w:spacing w:after="0"/>
        <w:rPr>
          <w:sz w:val="20"/>
          <w:szCs w:val="20"/>
          <w:color w:val="auto"/>
        </w:rPr>
      </w:pPr>
      <w:r>
        <w:rPr>
          <w:rFonts w:ascii="Times New Roman" w:cs="Times New Roman" w:eastAsia="Times New Roman" w:hAnsi="Times New Roman"/>
          <w:sz w:val="18"/>
          <w:szCs w:val="18"/>
          <w:b w:val="1"/>
          <w:bCs w:val="1"/>
          <w:color w:val="auto"/>
        </w:rPr>
        <w:t>Increase (Decrease) in Net Interest Revenue from Base Scenario at</w:t>
      </w:r>
    </w:p>
    <w:p>
      <w:pPr>
        <w:spacing w:after="0" w:line="31" w:lineRule="exact"/>
        <w:rPr>
          <w:sz w:val="20"/>
          <w:szCs w:val="20"/>
          <w:color w:val="auto"/>
        </w:rPr>
      </w:pPr>
    </w:p>
    <w:p>
      <w:pPr>
        <w:jc w:val="center"/>
        <w:ind w:left="36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660" w:type="dxa"/>
        <w:tblCellMar>
          <w:top w:w="0" w:type="dxa"/>
          <w:left w:w="0" w:type="dxa"/>
          <w:bottom w:w="0" w:type="dxa"/>
          <w:right w:w="0" w:type="dxa"/>
        </w:tblCellMar>
      </w:tblPr>
      <w:tr>
        <w:trPr>
          <w:trHeight w:val="244"/>
        </w:trPr>
        <w:tc>
          <w:tcPr>
            <w:tcW w:w="4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2017</w:t>
            </w:r>
          </w:p>
        </w:tc>
        <w:tc>
          <w:tcPr>
            <w:tcW w:w="9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6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2016</w:t>
            </w:r>
          </w:p>
        </w:tc>
        <w:tc>
          <w:tcPr>
            <w:tcW w:w="920" w:type="dxa"/>
            <w:vAlign w:val="bottom"/>
            <w:tcBorders>
              <w:top w:val="single" w:sz="8" w:color="auto"/>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412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Change in Rates</w:t>
            </w:r>
          </w:p>
        </w:tc>
        <w:tc>
          <w:tcPr>
            <w:tcW w:w="100" w:type="dxa"/>
            <w:vAlign w:val="bottom"/>
            <w:tcBorders>
              <w:bottom w:val="single" w:sz="8" w:color="F0FFFF"/>
            </w:tcBorders>
          </w:tcPr>
          <w:p>
            <w:pPr>
              <w:spacing w:after="0"/>
              <w:rPr>
                <w:sz w:val="20"/>
                <w:szCs w:val="20"/>
                <w:color w:val="auto"/>
              </w:rPr>
            </w:pPr>
          </w:p>
        </w:tc>
        <w:tc>
          <w:tcPr>
            <w:tcW w:w="11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Shock</w:t>
            </w:r>
          </w:p>
        </w:tc>
        <w:tc>
          <w:tcPr>
            <w:tcW w:w="24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Ramp</w:t>
            </w:r>
          </w:p>
        </w:tc>
        <w:tc>
          <w:tcPr>
            <w:tcW w:w="300" w:type="dxa"/>
            <w:vAlign w:val="bottom"/>
            <w:tcBorders>
              <w:bottom w:val="single" w:sz="8" w:color="F0FFFF"/>
            </w:tcBorders>
          </w:tcPr>
          <w:p>
            <w:pPr>
              <w:spacing w:after="0"/>
              <w:rPr>
                <w:sz w:val="20"/>
                <w:szCs w:val="20"/>
                <w:color w:val="auto"/>
              </w:rPr>
            </w:pPr>
          </w:p>
        </w:tc>
        <w:tc>
          <w:tcPr>
            <w:tcW w:w="11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Shock</w:t>
            </w:r>
          </w:p>
        </w:tc>
        <w:tc>
          <w:tcPr>
            <w:tcW w:w="24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Ramp</w:t>
            </w:r>
          </w:p>
        </w:tc>
        <w:tc>
          <w:tcPr>
            <w:tcW w:w="220" w:type="dxa"/>
            <w:vAlign w:val="bottom"/>
            <w:tcBorders>
              <w:bottom w:val="single" w:sz="8" w:color="F0FFFF"/>
            </w:tcBorders>
          </w:tcPr>
          <w:p>
            <w:pPr>
              <w:spacing w:after="0"/>
              <w:rPr>
                <w:sz w:val="20"/>
                <w:szCs w:val="20"/>
                <w:color w:val="auto"/>
              </w:rPr>
            </w:pPr>
          </w:p>
        </w:tc>
      </w:tr>
      <w:tr>
        <w:trPr>
          <w:trHeight w:val="216"/>
        </w:trPr>
        <w:tc>
          <w:tcPr>
            <w:tcW w:w="41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100 basis point increase</w:t>
            </w:r>
          </w:p>
        </w:tc>
        <w:tc>
          <w:tcPr>
            <w:tcW w:w="10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ind w:left="640"/>
              <w:spacing w:after="0"/>
              <w:rPr>
                <w:sz w:val="20"/>
                <w:szCs w:val="20"/>
                <w:color w:val="auto"/>
              </w:rPr>
            </w:pPr>
            <w:r>
              <w:rPr>
                <w:rFonts w:ascii="Times New Roman" w:cs="Times New Roman" w:eastAsia="Times New Roman" w:hAnsi="Times New Roman"/>
                <w:sz w:val="18"/>
                <w:szCs w:val="18"/>
                <w:color w:val="auto"/>
              </w:rPr>
              <w:t>(0.3)%</w:t>
            </w:r>
          </w:p>
        </w:tc>
        <w:tc>
          <w:tcPr>
            <w:tcW w:w="1360" w:type="dxa"/>
            <w:vAlign w:val="bottom"/>
            <w:gridSpan w:val="2"/>
            <w:shd w:val="clear" w:color="auto" w:fill="F0FFFF"/>
          </w:tcPr>
          <w:p>
            <w:pPr>
              <w:ind w:left="880"/>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3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basis point decrease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(7.0)</w:t>
            </w:r>
          </w:p>
        </w:tc>
        <w:tc>
          <w:tcPr>
            <w:tcW w:w="156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has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manage interest rate sensitivity, management uses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(or fixed rate, as the case may be) and receives a fixed rate (or variable rate, as the case may be). In addition to derivative instruments, management uses a variety of balance sheet instruments to manage interest rate risk such as investment securities, wholesale funding, and bank-issued deposits.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United has other derivative financial instruments that are not designated as accounting hedges but are used for interest rate risk management purposes and as effective economic hedges. Derivative financial instruments that are not accounted for as accounting hedges are marked to market through earnings.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United will terminate hedging positions when conditions change and the position is no longer necessary to manage overall sensitivity to changes in interest rates. In those situations where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 line method of amortization. United expects that $625,000 will be reclassified as an increase to interest expense from other comprehensive income over the next twelve months related to these terminated cash flow hedges.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8"/>
          <w:szCs w:val="18"/>
          <w:color w:val="auto"/>
        </w:rPr>
        <w:t>United’s policy requires all non-customer facing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United may require the counterparties to derivative contracts to pledge cash and/or securities as collateral to cover the net exposure.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Management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objective of liquidity management is to ensure that sufficient funding is available, at a reasonable cost, to meet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To assist in determining the adequacy of its liquidity, United performs a variety of liquidity stress tests including idiosyncratic, systemic and combined scenarios for both moderate and severe events. 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United maintains an unencumbered liquid asset reserve to help ensure its ability to meet its obligations under normal conditions for at least a 12-month period and under severely adverse liquidity conditions for a minimum of 30 days.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 The Bank also maintains excess funds in short-term interest-bearing assets that provide additional liquidity.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Bank’s main source of liquidity is customer interest-bearing and noninterest-bearing deposit accounts. Liquidity is also available from wholesale funding sources consisting primarily of Federal funds purchased, FHLB advances, brokered deposits and securities sold under agreements to repurchase. These sources of liquidity are generally short-term in nature and are used as necessary to fund asset growth and meet other short-term liquidity needs.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because United’s holding company is a separate entity and apart from the Bank, it must provide for its own liquidity. United’s holding company is responsible for the payment of dividends declared for its common shareholders, and interest and principal on any outstanding debt or trust preferred securities. United’s holding company currently has internal capital resources to meet these obligations. While United’s holding company has access to the capital markets, the ultimate source of holding company liquidity is subsidiary service fees and dividends from the Bank, which are limited by applicable law and regulations.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2017, United had cash and cash equivalent balances of $231 million and had sufficient qualifying collateral to increase FHLB advances by $828 million and Federal Reserve discount window borrowing capacity of $1.22 billion. United also has the ability to raise substantial funds through brokered deposits. In addition to these wholesale sources, United has the ability to attract retail deposits by competing more aggressively on pricing.</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disclosed in the consolidated statement of cash flows, net cash provided by operating activities was $62.6 million for the three months ended March 31, 2017. Net income of $23.5 million for the three month period included deferred income tax expense of $19.1 million, and non-cash expenses for the following: depreciation, amortization and accretion of $6.39 million and stock-based compensation expense of $1.32 million. Other sources of cash from operating activities included a decrease in other assets and accrued interest receivable of $4.78 million and a decrease in mortgage loans held for sale of $13.4 million. These sources of cash from operating activities were offset by a decrease in accrued expenses and other liabilities of $5.12 million. Net cash used in investing activities of $12.4 million consisted primarily of a $15.9 million net increase in loans, purchases of investment securities available-for-sale totaling $148 million and purchases of investment securities held-to-maturity of $13.4 million. These uses of cash were partially offset by $13.4 million in proceeds from maturities and calls of investment securities held-to-maturity, $24.2 million in proceeds from the sale of investment securities available-for-sale and $137 million in proceeds from maturities and calls of investment securities available-for-sale. Net cash used in financing activities of $36.6 million consisted primarily of a net decrease in FHLB advances of $140 million and $5.76 million in dividends to common shareholders, partially offset by a net increase in deposits of $115 million. In the opinion of management, United’s liquidity position at March 31, 2017, was sufficient to meet its expected cash flow requirements.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Dividends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Shareholders’ equity at March 31, 2017 was $1.10 billion, an increase of $25.8 million from December 31, 2016 due to year-to-date earnings less dividends declared, an increase in the value of available-for-sale securities and the release of the disproportionate tax effect related to terminated cash flow hedges. Accumulated other comprehensive loss, which includes unrealized gains and losses on securities available-for-sale, the unrealized gains and losses on derivatives qualifying as cash flow hedges and unamortized prior service cost and actuarial gains and losses on United’s modified retirement plan, is excluded in the calculation of regulatory capital adequacy ratios.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6" w:name="page57"/>
    <w:bookmarkEnd w:id="5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United’s capital ratios, as calculated under applicable regulatory guidelines, at March 31, 2017 and December 31, 2016. As of March 31, 2017, capital levels remained characterized as “well-capitalized” under the Basel III Capital Rules in effect at the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13 - Capital Ratios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500" w:type="dxa"/>
            <w:vAlign w:val="bottom"/>
            <w:gridSpan w:val="4"/>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Basel III Guidelines</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40" w:type="dxa"/>
            <w:vAlign w:val="bottom"/>
            <w:gridSpan w:val="5"/>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United Community Bank</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50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left="188"/>
              <w:spacing w:after="0" w:line="137" w:lineRule="exact"/>
              <w:rPr>
                <w:sz w:val="20"/>
                <w:szCs w:val="20"/>
                <w:color w:val="auto"/>
              </w:rPr>
            </w:pPr>
            <w:r>
              <w:rPr>
                <w:rFonts w:ascii="Times New Roman" w:cs="Times New Roman" w:eastAsia="Times New Roman" w:hAnsi="Times New Roman"/>
                <w:sz w:val="14"/>
                <w:szCs w:val="14"/>
                <w:b w:val="1"/>
                <w:bCs w:val="1"/>
                <w:color w:val="auto"/>
                <w:w w:val="99"/>
              </w:rPr>
              <w:t>Well</w:t>
            </w:r>
          </w:p>
        </w:tc>
        <w:tc>
          <w:tcPr>
            <w:tcW w:w="2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540"/>
              <w:spacing w:after="0" w:line="13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28"/>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420"/>
              <w:spacing w:after="0" w:line="13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28"/>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20" w:type="dxa"/>
            <w:vAlign w:val="bottom"/>
            <w:tcBorders>
              <w:bottom w:val="single" w:sz="8" w:color="F0FFFF"/>
            </w:tcBorders>
          </w:tcPr>
          <w:p>
            <w:pPr>
              <w:spacing w:after="0"/>
              <w:rPr>
                <w:sz w:val="15"/>
                <w:szCs w:val="15"/>
                <w:color w:val="auto"/>
              </w:rPr>
            </w:pPr>
          </w:p>
        </w:tc>
        <w:tc>
          <w:tcPr>
            <w:tcW w:w="10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F0FFFF"/>
            </w:tcBorders>
          </w:tcPr>
          <w:p>
            <w:pPr>
              <w:spacing w:after="0"/>
              <w:rPr>
                <w:sz w:val="15"/>
                <w:szCs w:val="15"/>
                <w:color w:val="auto"/>
              </w:rPr>
            </w:pPr>
          </w:p>
        </w:tc>
        <w:tc>
          <w:tcPr>
            <w:tcW w:w="980" w:type="dxa"/>
            <w:vAlign w:val="bottom"/>
            <w:tcBorders>
              <w:bottom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F0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F0FF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F0FFFF"/>
            </w:tcBorders>
          </w:tcPr>
          <w:p>
            <w:pPr>
              <w:spacing w:after="0"/>
              <w:rPr>
                <w:sz w:val="15"/>
                <w:szCs w:val="15"/>
                <w:color w:val="auto"/>
              </w:rPr>
            </w:pPr>
          </w:p>
        </w:tc>
        <w:tc>
          <w:tcPr>
            <w:tcW w:w="60" w:type="dxa"/>
            <w:vAlign w:val="bottom"/>
            <w:tcBorders>
              <w:bottom w:val="single" w:sz="8" w:color="F0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F0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F0FF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98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0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Risk-based ratios: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F0FFFF"/>
          </w:tcPr>
          <w:p>
            <w:pPr>
              <w:ind w:left="320"/>
              <w:spacing w:after="0" w:line="149" w:lineRule="exact"/>
              <w:rPr>
                <w:sz w:val="20"/>
                <w:szCs w:val="20"/>
                <w:color w:val="auto"/>
              </w:rPr>
            </w:pPr>
            <w:r>
              <w:rPr>
                <w:rFonts w:ascii="Times New Roman" w:cs="Times New Roman" w:eastAsia="Times New Roman" w:hAnsi="Times New Roman"/>
                <w:sz w:val="14"/>
                <w:szCs w:val="14"/>
                <w:color w:val="auto"/>
              </w:rPr>
              <w:t>Common equity tier 1 capital</w:t>
            </w:r>
          </w:p>
        </w:tc>
        <w:tc>
          <w:tcPr>
            <w:tcW w:w="500" w:type="dxa"/>
            <w:vAlign w:val="bottom"/>
            <w:gridSpan w:val="2"/>
            <w:shd w:val="clear" w:color="auto" w:fill="F0FFFF"/>
          </w:tcPr>
          <w:p>
            <w:pPr>
              <w:ind w:left="8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980" w:type="dxa"/>
            <w:vAlign w:val="bottom"/>
            <w:shd w:val="clear" w:color="auto" w:fill="F0FFFF"/>
          </w:tcPr>
          <w:p>
            <w:pPr>
              <w:spacing w:after="0"/>
              <w:rPr>
                <w:sz w:val="12"/>
                <w:szCs w:val="12"/>
                <w:color w:val="auto"/>
              </w:rPr>
            </w:pPr>
          </w:p>
        </w:tc>
        <w:tc>
          <w:tcPr>
            <w:tcW w:w="50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80" w:type="dxa"/>
            <w:vAlign w:val="bottom"/>
            <w:shd w:val="clear" w:color="auto" w:fill="F0FFFF"/>
          </w:tcPr>
          <w:p>
            <w:pPr>
              <w:spacing w:after="0"/>
              <w:rPr>
                <w:sz w:val="12"/>
                <w:szCs w:val="12"/>
                <w:color w:val="auto"/>
              </w:rPr>
            </w:pPr>
          </w:p>
        </w:tc>
        <w:tc>
          <w:tcPr>
            <w:tcW w:w="130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11.44%</w:t>
            </w:r>
          </w:p>
        </w:tc>
        <w:tc>
          <w:tcPr>
            <w:tcW w:w="120" w:type="dxa"/>
            <w:vAlign w:val="bottom"/>
            <w:shd w:val="clear" w:color="auto" w:fill="F0FFFF"/>
          </w:tcPr>
          <w:p>
            <w:pPr>
              <w:spacing w:after="0"/>
              <w:rPr>
                <w:sz w:val="12"/>
                <w:szCs w:val="12"/>
                <w:color w:val="auto"/>
              </w:rPr>
            </w:pPr>
          </w:p>
        </w:tc>
        <w:tc>
          <w:tcPr>
            <w:tcW w:w="1280" w:type="dxa"/>
            <w:vAlign w:val="bottom"/>
            <w:gridSpan w:val="2"/>
            <w:shd w:val="clear" w:color="auto" w:fill="F0FF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11.23%</w:t>
            </w:r>
          </w:p>
        </w:tc>
        <w:tc>
          <w:tcPr>
            <w:tcW w:w="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12.30%</w:t>
            </w:r>
          </w:p>
        </w:tc>
        <w:tc>
          <w:tcPr>
            <w:tcW w:w="140" w:type="dxa"/>
            <w:vAlign w:val="bottom"/>
            <w:shd w:val="clear" w:color="auto" w:fill="F0FFFF"/>
          </w:tcPr>
          <w:p>
            <w:pPr>
              <w:spacing w:after="0"/>
              <w:rPr>
                <w:sz w:val="12"/>
                <w:szCs w:val="12"/>
                <w:color w:val="auto"/>
              </w:rPr>
            </w:pPr>
          </w:p>
        </w:tc>
        <w:tc>
          <w:tcPr>
            <w:tcW w:w="122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Tier I capital</w:t>
            </w:r>
          </w:p>
        </w:tc>
        <w:tc>
          <w:tcPr>
            <w:tcW w:w="5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98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11.23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12.30</w:t>
            </w:r>
          </w:p>
        </w:tc>
        <w:tc>
          <w:tcPr>
            <w:tcW w:w="14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F0FFFF"/>
          </w:tcPr>
          <w:p>
            <w:pPr>
              <w:ind w:left="320"/>
              <w:spacing w:after="0" w:line="149" w:lineRule="exact"/>
              <w:rPr>
                <w:sz w:val="20"/>
                <w:szCs w:val="20"/>
                <w:color w:val="auto"/>
              </w:rPr>
            </w:pPr>
            <w:r>
              <w:rPr>
                <w:rFonts w:ascii="Times New Roman" w:cs="Times New Roman" w:eastAsia="Times New Roman" w:hAnsi="Times New Roman"/>
                <w:sz w:val="14"/>
                <w:szCs w:val="14"/>
                <w:color w:val="auto"/>
              </w:rPr>
              <w:t>Total capital</w:t>
            </w:r>
          </w:p>
        </w:tc>
        <w:tc>
          <w:tcPr>
            <w:tcW w:w="500" w:type="dxa"/>
            <w:vAlign w:val="bottom"/>
            <w:gridSpan w:val="2"/>
            <w:shd w:val="clear" w:color="auto" w:fill="F0FFFF"/>
          </w:tcPr>
          <w:p>
            <w:pPr>
              <w:ind w:left="8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980" w:type="dxa"/>
            <w:vAlign w:val="bottom"/>
            <w:shd w:val="clear" w:color="auto" w:fill="F0FFFF"/>
          </w:tcPr>
          <w:p>
            <w:pPr>
              <w:spacing w:after="0"/>
              <w:rPr>
                <w:sz w:val="12"/>
                <w:szCs w:val="12"/>
                <w:color w:val="auto"/>
              </w:rPr>
            </w:pPr>
          </w:p>
        </w:tc>
        <w:tc>
          <w:tcPr>
            <w:tcW w:w="5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80" w:type="dxa"/>
            <w:vAlign w:val="bottom"/>
            <w:shd w:val="clear" w:color="auto" w:fill="F0FFFF"/>
          </w:tcPr>
          <w:p>
            <w:pPr>
              <w:spacing w:after="0"/>
              <w:rPr>
                <w:sz w:val="12"/>
                <w:szCs w:val="12"/>
                <w:color w:val="auto"/>
              </w:rPr>
            </w:pPr>
          </w:p>
        </w:tc>
        <w:tc>
          <w:tcPr>
            <w:tcW w:w="13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12.25</w:t>
            </w:r>
          </w:p>
        </w:tc>
        <w:tc>
          <w:tcPr>
            <w:tcW w:w="120" w:type="dxa"/>
            <w:vAlign w:val="bottom"/>
            <w:shd w:val="clear" w:color="auto" w:fill="F0FFFF"/>
          </w:tcPr>
          <w:p>
            <w:pPr>
              <w:spacing w:after="0"/>
              <w:rPr>
                <w:sz w:val="12"/>
                <w:szCs w:val="12"/>
                <w:color w:val="auto"/>
              </w:rPr>
            </w:pPr>
          </w:p>
        </w:tc>
        <w:tc>
          <w:tcPr>
            <w:tcW w:w="128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12.04</w:t>
            </w:r>
          </w:p>
        </w:tc>
        <w:tc>
          <w:tcPr>
            <w:tcW w:w="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13.10</w:t>
            </w:r>
          </w:p>
        </w:tc>
        <w:tc>
          <w:tcPr>
            <w:tcW w:w="140" w:type="dxa"/>
            <w:vAlign w:val="bottom"/>
            <w:shd w:val="clear" w:color="auto" w:fill="F0FFFF"/>
          </w:tcPr>
          <w:p>
            <w:pPr>
              <w:spacing w:after="0"/>
              <w:rPr>
                <w:sz w:val="12"/>
                <w:szCs w:val="12"/>
                <w:color w:val="auto"/>
              </w:rPr>
            </w:pPr>
          </w:p>
        </w:tc>
        <w:tc>
          <w:tcPr>
            <w:tcW w:w="122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Leverage ratio</w:t>
            </w:r>
          </w:p>
        </w:tc>
        <w:tc>
          <w:tcPr>
            <w:tcW w:w="5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98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8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8.63</w:t>
            </w:r>
          </w:p>
        </w:tc>
        <w:tc>
          <w:tcPr>
            <w:tcW w:w="12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8.54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9.26</w:t>
            </w:r>
          </w:p>
        </w:tc>
        <w:tc>
          <w:tcPr>
            <w:tcW w:w="14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9.63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98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0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 equity tier 1 capital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899,415</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874,452</w:t>
            </w:r>
          </w:p>
        </w:tc>
        <w:tc>
          <w:tcPr>
            <w:tcW w:w="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965,389</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984,529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Tier I capital</w:t>
            </w:r>
          </w:p>
        </w:tc>
        <w:tc>
          <w:tcPr>
            <w:tcW w:w="2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98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3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901,109</w:t>
            </w:r>
          </w:p>
        </w:tc>
        <w:tc>
          <w:tcPr>
            <w:tcW w:w="120" w:type="dxa"/>
            <w:vAlign w:val="bottom"/>
            <w:shd w:val="clear" w:color="auto" w:fill="F0FFFF"/>
          </w:tcPr>
          <w:p>
            <w:pPr>
              <w:spacing w:after="0"/>
              <w:rPr>
                <w:sz w:val="12"/>
                <w:szCs w:val="12"/>
                <w:color w:val="auto"/>
              </w:rPr>
            </w:pPr>
          </w:p>
        </w:tc>
        <w:tc>
          <w:tcPr>
            <w:tcW w:w="128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874,452</w:t>
            </w:r>
          </w:p>
        </w:tc>
        <w:tc>
          <w:tcPr>
            <w:tcW w:w="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965,389</w:t>
            </w:r>
          </w:p>
        </w:tc>
        <w:tc>
          <w:tcPr>
            <w:tcW w:w="140" w:type="dxa"/>
            <w:vAlign w:val="bottom"/>
            <w:shd w:val="clear" w:color="auto" w:fill="F0FFFF"/>
          </w:tcPr>
          <w:p>
            <w:pPr>
              <w:spacing w:after="0"/>
              <w:rPr>
                <w:sz w:val="12"/>
                <w:szCs w:val="12"/>
                <w:color w:val="auto"/>
              </w:rPr>
            </w:pPr>
          </w:p>
        </w:tc>
        <w:tc>
          <w:tcPr>
            <w:tcW w:w="122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984,529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Total capital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963,654</w:t>
            </w:r>
          </w:p>
        </w:tc>
        <w:tc>
          <w:tcPr>
            <w:tcW w:w="12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937,876</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1,027,934</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1,047,953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98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0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Risk-weighted assets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7,864,093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7,789,089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7,848,467</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7,775,352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Average total assets</w:t>
            </w:r>
          </w:p>
        </w:tc>
        <w:tc>
          <w:tcPr>
            <w:tcW w:w="2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98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0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10,437,698</w:t>
            </w:r>
          </w:p>
        </w:tc>
        <w:tc>
          <w:tcPr>
            <w:tcW w:w="2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1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10,236,868</w:t>
            </w:r>
          </w:p>
        </w:tc>
        <w:tc>
          <w:tcPr>
            <w:tcW w:w="1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10,422,612</w:t>
            </w: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10,221,318</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United’s common stock trades on the Nasdaq Global Select Market under the symbol “UCBI”. Below is a quarterly schedule of high, low and closing stock prices and average daily volume for 2017 and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14 - Stock Price Information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2017</w:t>
            </w:r>
          </w:p>
        </w:tc>
        <w:tc>
          <w:tcPr>
            <w:tcW w:w="7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7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Avg Daily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Avg Daily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Low</w:t>
            </w:r>
          </w:p>
        </w:tc>
        <w:tc>
          <w:tcPr>
            <w:tcW w:w="160" w:type="dxa"/>
            <w:vAlign w:val="bottom"/>
          </w:tcPr>
          <w:p>
            <w:pPr>
              <w:spacing w:after="0"/>
              <w:rPr>
                <w:sz w:val="21"/>
                <w:szCs w:val="21"/>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Close</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Volume</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00" w:type="dxa"/>
            <w:vAlign w:val="bottom"/>
          </w:tcPr>
          <w:p>
            <w:pPr>
              <w:spacing w:after="0"/>
              <w:rPr>
                <w:sz w:val="21"/>
                <w:szCs w:val="21"/>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Low</w:t>
            </w:r>
          </w:p>
        </w:tc>
        <w:tc>
          <w:tcPr>
            <w:tcW w:w="1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Close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Volume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8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30.47</w:t>
            </w:r>
          </w:p>
        </w:tc>
        <w:tc>
          <w:tcPr>
            <w:tcW w:w="3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25.29</w:t>
            </w:r>
          </w:p>
        </w:tc>
        <w:tc>
          <w:tcPr>
            <w:tcW w:w="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27.69</w:t>
            </w:r>
          </w:p>
        </w:tc>
        <w:tc>
          <w:tcPr>
            <w:tcW w:w="10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459,018</w:t>
            </w:r>
          </w:p>
        </w:tc>
        <w:tc>
          <w:tcPr>
            <w:tcW w:w="2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19.27</w:t>
            </w:r>
          </w:p>
        </w:tc>
        <w:tc>
          <w:tcPr>
            <w:tcW w:w="200" w:type="dxa"/>
            <w:vAlign w:val="bottom"/>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15.74</w:t>
            </w:r>
          </w:p>
        </w:tc>
        <w:tc>
          <w:tcPr>
            <w:tcW w:w="1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18.47</w:t>
            </w: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440,759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20.60</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17.07</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18.29</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6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21.13</w:t>
            </w: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17.42</w:t>
            </w: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21.02</w:t>
            </w: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379,492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30.22</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29.62</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532,944</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 and Changing Prices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United’s market risk as of March 31, 2017 from that presented in the Annual Report on Form 10-K for the year ended December 31, 2016. The interest rate sensitivity position at March 31, 2017 is included in management’s discussion and analysis on page 55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United’s management, including the Chief Executive Officer and Chief Financial Officer, supervised and participated in an evaluation of United’s disclosure controls and procedures as of March 31, 2017.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SEC’s rules and forms and that the disclosure controls and procedures are designed to ensure that the information required to be disclosed in reports that are filed or submitted by United under the Exchange Act is recorded, processed, summarized and reported within the time periods specified in the SEC’s rules and forms.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7" w:name="page58"/>
    <w:bookmarkEnd w:id="5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in the internal controls or in other factors that could significantly affect these controls subsequent to the date of their evaluation.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operations, United and the Bank are defendants in various legal proceedings. Additionally, in the ordinary course of business, United and the Bank are subject to regulatory examinations and investigations. Based on our current knowledge and advice of counsel, in the opinion of management there is no such pending or threatened legal matter which would result in a material adverse change in the consolidated financial condition or results of operations of United.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1A.</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United’s Annual Report on Form 10-K for the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22, 2016, United announced that its Board of Directors had authorized a program to repurchase up to $50 million of United’s outstanding common stock through December 31, 2017. Under the program, the shares may be repurchased periodically in open market transactions at prevailing market prices, in privately negotiated transactions, or by other means in accordance with federal securities laws. The actual timing, number and value of shares repurchased under the program depends on a number of factors, including the market price of United’s common stock, general market and economic conditions, and applicable legal requirements. As of March 31, 2017, the remaining authorization was $36.3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information for shares repurchased during the first quarter of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8"/>
                <w:szCs w:val="18"/>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 Number (or</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0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as Part of Publicly</w:t>
            </w:r>
          </w:p>
        </w:tc>
        <w:tc>
          <w:tcPr>
            <w:tcW w:w="2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Value) of Shares that May</w:t>
            </w: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for per share</w:t>
            </w:r>
          </w:p>
        </w:tc>
        <w:tc>
          <w:tcPr>
            <w:tcW w:w="10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2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Yet Be Purchased Under</w:t>
            </w:r>
          </w:p>
        </w:tc>
        <w:tc>
          <w:tcPr>
            <w:tcW w:w="0" w:type="dxa"/>
            <w:vAlign w:val="bottom"/>
          </w:tcPr>
          <w:p>
            <w:pPr>
              <w:spacing w:after="0"/>
              <w:rPr>
                <w:sz w:val="1"/>
                <w:szCs w:val="1"/>
                <w:color w:val="auto"/>
              </w:rPr>
            </w:pPr>
          </w:p>
        </w:tc>
      </w:tr>
      <w:tr>
        <w:trPr>
          <w:trHeight w:val="245"/>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amounts)</w:t>
            </w:r>
          </w:p>
        </w:tc>
        <w:tc>
          <w:tcPr>
            <w:tcW w:w="10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100" w:type="dxa"/>
            <w:vAlign w:val="bottom"/>
          </w:tcPr>
          <w:p>
            <w:pPr>
              <w:spacing w:after="0"/>
              <w:rPr>
                <w:sz w:val="21"/>
                <w:szCs w:val="21"/>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the Plans or Programs</w:t>
            </w:r>
          </w:p>
        </w:tc>
        <w:tc>
          <w:tcPr>
            <w:tcW w:w="0" w:type="dxa"/>
            <w:vAlign w:val="bottom"/>
          </w:tcPr>
          <w:p>
            <w:pPr>
              <w:spacing w:after="0"/>
              <w:rPr>
                <w:sz w:val="1"/>
                <w:szCs w:val="1"/>
                <w:color w:val="auto"/>
              </w:rPr>
            </w:pPr>
          </w:p>
        </w:tc>
      </w:tr>
      <w:tr>
        <w:trPr>
          <w:trHeight w:val="216"/>
        </w:trPr>
        <w:tc>
          <w:tcPr>
            <w:tcW w:w="4860" w:type="dxa"/>
            <w:vAlign w:val="bottom"/>
            <w:tcBorders>
              <w:top w:val="single" w:sz="8" w:color="auto"/>
            </w:tcBorders>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January 1, 2017 - January 31, 2017</w:t>
            </w:r>
          </w:p>
        </w:tc>
        <w:tc>
          <w:tcPr>
            <w:tcW w:w="100" w:type="dxa"/>
            <w:vAlign w:val="bottom"/>
            <w:tcBorders>
              <w:top w:val="single" w:sz="8" w:color="F0FFFF"/>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F0FFFF"/>
            </w:tcBorders>
            <w:shd w:val="clear" w:color="auto" w:fill="F0FFFF"/>
          </w:tcPr>
          <w:p>
            <w:pPr>
              <w:spacing w:after="0"/>
              <w:rPr>
                <w:sz w:val="18"/>
                <w:szCs w:val="18"/>
                <w:color w:val="auto"/>
              </w:rPr>
            </w:pPr>
          </w:p>
        </w:tc>
        <w:tc>
          <w:tcPr>
            <w:tcW w:w="14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36,342</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1, 2017 - February 28, 2017</w:t>
            </w:r>
          </w:p>
        </w:tc>
        <w:tc>
          <w:tcPr>
            <w:tcW w:w="10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36,342</w:t>
            </w:r>
          </w:p>
        </w:tc>
        <w:tc>
          <w:tcPr>
            <w:tcW w:w="0" w:type="dxa"/>
            <w:vAlign w:val="bottom"/>
          </w:tcPr>
          <w:p>
            <w:pPr>
              <w:spacing w:after="0"/>
              <w:rPr>
                <w:sz w:val="1"/>
                <w:szCs w:val="1"/>
                <w:color w:val="auto"/>
              </w:rPr>
            </w:pPr>
          </w:p>
        </w:tc>
      </w:tr>
      <w:tr>
        <w:trPr>
          <w:trHeight w:val="250"/>
        </w:trPr>
        <w:tc>
          <w:tcPr>
            <w:tcW w:w="496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March 1, 2017 - March 31, 2017</w:t>
            </w:r>
          </w:p>
        </w:tc>
        <w:tc>
          <w:tcPr>
            <w:tcW w:w="1040" w:type="dxa"/>
            <w:vAlign w:val="bottom"/>
            <w:shd w:val="clear" w:color="auto" w:fill="F0FFFF"/>
          </w:tcPr>
          <w:p>
            <w:pPr>
              <w:spacing w:after="0"/>
              <w:rPr>
                <w:sz w:val="21"/>
                <w:szCs w:val="21"/>
                <w:color w:val="auto"/>
              </w:rPr>
            </w:pP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spacing w:after="0"/>
              <w:rPr>
                <w:sz w:val="21"/>
                <w:szCs w:val="21"/>
                <w:color w:val="auto"/>
              </w:rPr>
            </w:pPr>
          </w:p>
        </w:tc>
        <w:tc>
          <w:tcPr>
            <w:tcW w:w="14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36,342</w:t>
            </w:r>
          </w:p>
        </w:tc>
        <w:tc>
          <w:tcPr>
            <w:tcW w:w="0" w:type="dxa"/>
            <w:vAlign w:val="bottom"/>
          </w:tcPr>
          <w:p>
            <w:pPr>
              <w:spacing w:after="0"/>
              <w:rPr>
                <w:sz w:val="1"/>
                <w:szCs w:val="1"/>
                <w:color w:val="auto"/>
              </w:rPr>
            </w:pPr>
          </w:p>
        </w:tc>
      </w:tr>
      <w:tr>
        <w:trPr>
          <w:trHeight w:val="217"/>
        </w:trPr>
        <w:tc>
          <w:tcPr>
            <w:tcW w:w="600" w:type="dxa"/>
            <w:vAlign w:val="bottom"/>
            <w:tcBorders>
              <w:top w:val="single" w:sz="8" w:color="F0FF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426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F0FFFF"/>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36,342</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Defaults upon Senior Securities – None</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00" w:type="dxa"/>
            <w:vAlign w:val="bottom"/>
            <w:vMerge w:val="continue"/>
          </w:tcPr>
          <w:p>
            <w:pPr>
              <w:spacing w:after="0"/>
              <w:rPr>
                <w:sz w:val="24"/>
                <w:szCs w:val="24"/>
                <w:color w:val="auto"/>
              </w:rPr>
            </w:pPr>
          </w:p>
        </w:tc>
        <w:tc>
          <w:tcPr>
            <w:tcW w:w="436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Mine Safety Disclosures – None</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4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 – None</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00" w:type="dxa"/>
            <w:vAlign w:val="bottom"/>
            <w:tcBorders>
              <w:bottom w:val="single" w:sz="8" w:color="DCDCDC"/>
            </w:tcBorders>
          </w:tcPr>
          <w:p>
            <w:pPr>
              <w:spacing w:after="0"/>
              <w:rPr>
                <w:sz w:val="24"/>
                <w:szCs w:val="24"/>
                <w:color w:val="auto"/>
              </w:rPr>
            </w:pPr>
          </w:p>
        </w:tc>
        <w:tc>
          <w:tcPr>
            <w:tcW w:w="42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4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9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7" w:right="2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9900" w:type="dxa"/>
            <w:vAlign w:val="bottom"/>
          </w:tcPr>
          <w:p>
            <w:pPr>
              <w:spacing w:after="0"/>
              <w:rPr>
                <w:sz w:val="20"/>
                <w:szCs w:val="20"/>
                <w:color w:val="auto"/>
              </w:rPr>
            </w:pPr>
          </w:p>
        </w:tc>
      </w:tr>
      <w:tr>
        <w:trPr>
          <w:trHeight w:val="43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Description</w:t>
            </w:r>
          </w:p>
        </w:tc>
      </w:tr>
      <w:tr>
        <w:trPr>
          <w:trHeight w:val="432"/>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w:t>
            </w:r>
          </w:p>
        </w:tc>
        <w:tc>
          <w:tcPr>
            <w:tcW w:w="9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Change in Control Severance Agreement for Senior Management.</w:t>
            </w:r>
          </w:p>
        </w:tc>
      </w:tr>
      <w:tr>
        <w:trPr>
          <w:trHeight w:val="414"/>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31.1</w:t>
            </w:r>
          </w:p>
        </w:tc>
        <w:tc>
          <w:tcPr>
            <w:tcW w:w="9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by Jimmy C. Tallent, Chairman and Chief Executive Officer of United Community Banks, Inc., pursuant to Exchange</w:t>
            </w:r>
          </w:p>
        </w:tc>
      </w:tr>
      <w:tr>
        <w:trPr>
          <w:trHeight w:val="234"/>
        </w:trPr>
        <w:tc>
          <w:tcPr>
            <w:tcW w:w="1520" w:type="dxa"/>
            <w:vAlign w:val="bottom"/>
          </w:tcPr>
          <w:p>
            <w:pPr>
              <w:spacing w:after="0"/>
              <w:rPr>
                <w:sz w:val="20"/>
                <w:szCs w:val="20"/>
                <w:color w:val="auto"/>
              </w:rPr>
            </w:pPr>
          </w:p>
        </w:tc>
        <w:tc>
          <w:tcPr>
            <w:tcW w:w="9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 Rules 13a-14(a) and 15d-14(a), as adopted pursuant to Section 302 of the Sarbanes-Oxley Act of 2002.</w:t>
            </w:r>
          </w:p>
        </w:tc>
      </w:tr>
      <w:tr>
        <w:trPr>
          <w:trHeight w:val="414"/>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31.2</w:t>
            </w:r>
          </w:p>
        </w:tc>
        <w:tc>
          <w:tcPr>
            <w:tcW w:w="9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by Jefferson L. Harralson, Executive Vice President and Chief Financial Officer of United Community Banks, Inc.,</w:t>
            </w:r>
          </w:p>
        </w:tc>
      </w:tr>
      <w:tr>
        <w:trPr>
          <w:trHeight w:val="234"/>
        </w:trPr>
        <w:tc>
          <w:tcPr>
            <w:tcW w:w="1520" w:type="dxa"/>
            <w:vAlign w:val="bottom"/>
          </w:tcPr>
          <w:p>
            <w:pPr>
              <w:spacing w:after="0"/>
              <w:rPr>
                <w:sz w:val="20"/>
                <w:szCs w:val="20"/>
                <w:color w:val="auto"/>
              </w:rPr>
            </w:pPr>
          </w:p>
        </w:tc>
        <w:tc>
          <w:tcPr>
            <w:tcW w:w="9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pursuant to Exchange Act Rules 13a-14(a) and 15d-14(a), as adopted pursuant to Section 302 of the Sarbanes-Oxley Act of 2002.</w:t>
            </w:r>
          </w:p>
        </w:tc>
      </w:tr>
      <w:tr>
        <w:trPr>
          <w:trHeight w:val="432"/>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w:t>
            </w:r>
          </w:p>
        </w:tc>
        <w:tc>
          <w:tcPr>
            <w:tcW w:w="9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432"/>
        </w:trPr>
        <w:tc>
          <w:tcPr>
            <w:tcW w:w="15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101.INS</w:t>
            </w:r>
          </w:p>
        </w:tc>
        <w:tc>
          <w:tcPr>
            <w:tcW w:w="9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5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101.SCH</w:t>
            </w:r>
          </w:p>
        </w:tc>
        <w:tc>
          <w:tcPr>
            <w:tcW w:w="9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5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101.CAL</w:t>
            </w:r>
          </w:p>
        </w:tc>
        <w:tc>
          <w:tcPr>
            <w:tcW w:w="9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101.DEF</w:t>
            </w:r>
          </w:p>
        </w:tc>
        <w:tc>
          <w:tcPr>
            <w:tcW w:w="9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15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101.LAB</w:t>
            </w:r>
          </w:p>
        </w:tc>
        <w:tc>
          <w:tcPr>
            <w:tcW w:w="9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101.PRE</w:t>
            </w:r>
          </w:p>
        </w:tc>
        <w:tc>
          <w:tcPr>
            <w:tcW w:w="9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540"/>
        </w:trPr>
        <w:tc>
          <w:tcPr>
            <w:tcW w:w="1520" w:type="dxa"/>
            <w:vAlign w:val="bottom"/>
            <w:tcBorders>
              <w:bottom w:val="single" w:sz="8" w:color="DCDCDC"/>
            </w:tcBorders>
          </w:tcPr>
          <w:p>
            <w:pPr>
              <w:spacing w:after="0"/>
              <w:rPr>
                <w:sz w:val="24"/>
                <w:szCs w:val="24"/>
                <w:color w:val="auto"/>
              </w:rPr>
            </w:pPr>
          </w:p>
        </w:tc>
        <w:tc>
          <w:tcPr>
            <w:tcW w:w="9900" w:type="dxa"/>
            <w:vAlign w:val="bottom"/>
            <w:tcBorders>
              <w:bottom w:val="single" w:sz="8" w:color="DCDCDC"/>
            </w:tcBorders>
          </w:tcPr>
          <w:p>
            <w:pPr>
              <w:ind w:left="4120"/>
              <w:spacing w:after="0"/>
              <w:rPr>
                <w:sz w:val="20"/>
                <w:szCs w:val="20"/>
                <w:color w:val="auto"/>
              </w:rPr>
            </w:pPr>
            <w:r>
              <w:rPr>
                <w:rFonts w:ascii="Times New Roman" w:cs="Times New Roman" w:eastAsia="Times New Roman" w:hAnsi="Times New Roman"/>
                <w:sz w:val="18"/>
                <w:szCs w:val="18"/>
                <w:color w:val="auto"/>
              </w:rPr>
              <w:t>59</w:t>
            </w:r>
          </w:p>
        </w:tc>
      </w:tr>
    </w:tbl>
    <w:p>
      <w:pPr>
        <w:sectPr>
          <w:pgSz w:w="11900" w:h="16838" w:orient="portrait"/>
          <w:cols w:equalWidth="0" w:num="1">
            <w:col w:w="11420"/>
          </w:cols>
          <w:pgMar w:left="240" w:top="792" w:right="2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i w:val="1"/>
          <w:iCs w:val="1"/>
          <w:color w:val="auto"/>
        </w:rPr>
        <w:t>/s/ Jimmy C. Tallent</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i w:val="1"/>
          <w:iCs w:val="1"/>
          <w:color w:val="auto"/>
        </w:rPr>
        <w:t>/s/ Jefferson L. Harralson</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i w:val="1"/>
          <w:iCs w:val="1"/>
          <w:color w:val="auto"/>
        </w:rPr>
        <w:t>/s/ Alan H. Kumler</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and</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Date: May 5, 2017</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CHANGE IN CONTROL SEVERANCE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(this “Agreement”), is made and entered into as of this ________ day of ________________ 20__, by and between</w:t>
      </w:r>
      <w:r>
        <w:rPr>
          <w:rFonts w:ascii="Times New Roman" w:cs="Times New Roman" w:eastAsia="Times New Roman" w:hAnsi="Times New Roman"/>
          <w:sz w:val="18"/>
          <w:szCs w:val="18"/>
          <w:b w:val="1"/>
          <w:bCs w:val="1"/>
          <w:color w:val="auto"/>
        </w:rPr>
        <w:t xml:space="preserve"> UNITED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COMMUNITY BANKS, INC.</w:t>
      </w:r>
      <w:r>
        <w:rPr>
          <w:rFonts w:ascii="Times New Roman" w:cs="Times New Roman" w:eastAsia="Times New Roman" w:hAnsi="Times New Roman"/>
          <w:sz w:val="18"/>
          <w:szCs w:val="18"/>
          <w:color w:val="auto"/>
        </w:rPr>
        <w:t>, a Georgia corporation (the “Company”), and ______________________ (“Executive”).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Executive is a key employee of the Company and an integral part of the Company’s management;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assure both itself and its key employees of continuity of management and objective judgment in the event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Change in Control of the Company, and to induce its key employees to remain employed by the Company; and</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provide certain compensation and benefits to Executive in the event of the termination of his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certain circumstances;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hereby agree as follows:</w:t>
      </w:r>
    </w:p>
    <w:p>
      <w:pPr>
        <w:spacing w:after="0" w:line="229" w:lineRule="exact"/>
        <w:rPr>
          <w:sz w:val="20"/>
          <w:szCs w:val="20"/>
          <w:color w:val="auto"/>
        </w:rPr>
      </w:pPr>
    </w:p>
    <w:p>
      <w:pPr>
        <w:jc w:val="both"/>
        <w:ind w:firstLine="8"/>
        <w:spacing w:after="0" w:line="256" w:lineRule="auto"/>
        <w:tabs>
          <w:tab w:leader="none" w:pos="7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AGREEMENT</w:t>
      </w:r>
      <w:r>
        <w:rPr>
          <w:rFonts w:ascii="Times New Roman" w:cs="Times New Roman" w:eastAsia="Times New Roman" w:hAnsi="Times New Roman"/>
          <w:sz w:val="18"/>
          <w:szCs w:val="18"/>
          <w:color w:val="auto"/>
        </w:rPr>
        <w:t>. This Agreement shall commence on the date hereof and shall terminate on the later of (i) Executive’s termination of employment without entitlement to any benefits hereunder and (ii) six (6) months after Executive’s termination of employment if there has been no Change in Control by that time; provided, however, this Agreement may be terminated by mutual written agreement of Executive and the Company. This Agreement shall not be considered an employment agreement and in no way guarantees Executive the right to continue in the employment of the Company or any of its Affiliates. Executive’s employment is considered employment at will, subject to Executive’s right to receive payments and benefits upon certain terminations of employment as provided below.</w:t>
      </w:r>
    </w:p>
    <w:p>
      <w:pPr>
        <w:spacing w:after="0" w:line="187"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shall have the meanings specified below:</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Any entity that is part of a controlled group of corporations or is under common control with the Company within the meaning of Sections 1563(a), 414(b) or 414(c) of the Code, except that, in making any such determination, fifty percent (50%) shall be substituted for eighty percent (80%) under such Code sections.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Executive’s annual salary in effect on his Date of Termination or, if greater, Executive’s highest rate of annual salary in effect during the six (6)-month period prior to his Date of Termination.</w:t>
      </w:r>
    </w:p>
    <w:p>
      <w:pPr>
        <w:spacing w:after="0" w:line="162"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The Board of Directors of the Company, or its successor.</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The involuntary termination of Executive by the Company for the following reasons shall constitute a termination for Cause:</w:t>
      </w:r>
    </w:p>
    <w:p>
      <w:pPr>
        <w:spacing w:after="0" w:line="225" w:lineRule="exact"/>
        <w:rPr>
          <w:sz w:val="20"/>
          <w:szCs w:val="20"/>
          <w:color w:val="auto"/>
        </w:rPr>
      </w:pPr>
    </w:p>
    <w:p>
      <w:pPr>
        <w:ind w:right="20" w:firstLine="1305"/>
        <w:spacing w:after="0" w:line="282" w:lineRule="auto"/>
        <w:tabs>
          <w:tab w:leader="none" w:pos="20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termination shall have been the result of an act or acts by Executive which have been found in an applicable court of law to constitute a felony (other than traffic-related offenses);</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21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termination shall have been the result of an act or acts by Executive which are in the good faith judgment of the Board determined to be in violation of law or of policies of the Company and which result in demonstrably material injury to the Company;</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202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termination shall have been the result of an act or acts of proven or undenied dishonesty by Executive resulting or intended to result directly or indirectly in significant gain or personal enrichment to Executive at the expense of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61" w:name="page62"/>
    <w:bookmarkEnd w:id="61"/>
    <w:p>
      <w:pPr>
        <w:jc w:val="both"/>
        <w:ind w:firstLine="1305"/>
        <w:spacing w:after="0" w:line="261" w:lineRule="auto"/>
        <w:tabs>
          <w:tab w:leader="none" w:pos="20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willful and continued failure by Executive substantially to perform his duties with the Company (other than any such failure resulting from incapacity due to mental or physical illness whether or not constituting a Disability) for a period of thirty (30) days after a demand in writing for substantial performance is delivered by the Board or President, which demand specifically identifies the manner in which the Board or President believes that Executive has not substantially performed his duties, and such failure results in demonstrably material injury to the Company.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 respect to clauses (b), (c) or (d) above of this Section 2.4, Executive shall not be deemed to have been involuntarily terminated for Cause unless and until there shall have been delivered to him a copy of a resolution duly adopted by the affirmative vote of not less than three-quarters (3/4) of the entire membership of the Board at a meeting of the Board, finding that, in the good faith opinion of the Board, Executive was guilty of conduct set forth above in clauses (b), (c) or (d) and specifying the particulars thereof in detail. For purposes of this Agreement, no act or failure to act by Executive shall be deemed to be “willful” unless done or omitted to be done by Executive not in good faith and without reasonable belief that Executive’s action or omission was in the best interests of the Company.</w:t>
      </w:r>
    </w:p>
    <w:p>
      <w:pPr>
        <w:spacing w:after="0" w:line="188" w:lineRule="exact"/>
        <w:rPr>
          <w:sz w:val="20"/>
          <w:szCs w:val="20"/>
          <w:color w:val="auto"/>
        </w:rPr>
      </w:pPr>
    </w:p>
    <w:p>
      <w:pPr>
        <w:ind w:left="740"/>
        <w:spacing w:after="0"/>
        <w:tabs>
          <w:tab w:leader="none" w:pos="130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A Change in Control of the Company means any one of the following events:</w:t>
      </w:r>
    </w:p>
    <w:p>
      <w:pPr>
        <w:spacing w:after="0" w:line="225" w:lineRule="exact"/>
        <w:rPr>
          <w:sz w:val="20"/>
          <w:szCs w:val="20"/>
          <w:color w:val="auto"/>
        </w:rPr>
      </w:pPr>
    </w:p>
    <w:p>
      <w:pPr>
        <w:jc w:val="both"/>
        <w:ind w:firstLine="1305"/>
        <w:spacing w:after="0" w:line="255" w:lineRule="auto"/>
        <w:tabs>
          <w:tab w:leader="none" w:pos="217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(other than from the Company) during the twelve (12)-month period ending on the date of the most recent acquisition by any Person of Beneficial Ownership of thirty percent (30%) or more of the combined voting power of the Company’s then outstanding voting securities; provided, however, that for purposes of this definition, Person shall not include any person who as of the date hereof owned ten percent (10%) or more of the Company’s outstanding securities, and a Change in Control shall not be deemed to occur solely because thirty percent (30%) or more of the combined voting power of the Company’s then outstanding securities is acquired by (i) a trustee or other fiduciary holding securities under one (1) or more employee benefit plans maintained by the Company or any of its subsidiaries, or (ii) any corporation, which, immediately prior to such acquisition, is owned directly or indirectly by the shareholders of the Company in the same proportion as their ownership of stock in the Company immediately prior to such acquisition.</w:t>
      </w:r>
    </w:p>
    <w:p>
      <w:pPr>
        <w:spacing w:after="0" w:line="185" w:lineRule="exact"/>
        <w:rPr>
          <w:rFonts w:ascii="Times New Roman" w:cs="Times New Roman" w:eastAsia="Times New Roman" w:hAnsi="Times New Roman"/>
          <w:sz w:val="18"/>
          <w:szCs w:val="18"/>
          <w:color w:val="auto"/>
        </w:rPr>
      </w:pPr>
    </w:p>
    <w:p>
      <w:pPr>
        <w:jc w:val="both"/>
        <w:ind w:firstLine="1305"/>
        <w:spacing w:after="0" w:line="255" w:lineRule="auto"/>
        <w:tabs>
          <w:tab w:leader="none" w:pos="20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shareholders of the Company of (1) a merger or consolidation involving the Company if the shareholders of the Company, immediately before such merger or consolidation do not, as a result of such merger or consolidation, own, directly or indirectly, more than fifty percent (50%) of the combined voting power of the then outstanding voting securities of the corporation resulting from such merger or consolidation in substantially the same proportion as their ownership of the combined voting power of the voting securities of the Company outstanding immediately before such merger or consolidation (and provided no person acquires Beneficial Ownership of the Company’s then outstanding voting securities as described in (a) above), or (2) a complete liquidation or dissolution of the Company or an agreement for the sale or other disposition of all or substantially all of the assets of the Company.</w:t>
      </w:r>
    </w:p>
    <w:p>
      <w:pPr>
        <w:spacing w:after="0" w:line="189" w:lineRule="exact"/>
        <w:rPr>
          <w:rFonts w:ascii="Times New Roman" w:cs="Times New Roman" w:eastAsia="Times New Roman" w:hAnsi="Times New Roman"/>
          <w:sz w:val="18"/>
          <w:szCs w:val="18"/>
          <w:color w:val="auto"/>
        </w:rPr>
      </w:pPr>
    </w:p>
    <w:p>
      <w:pPr>
        <w:jc w:val="both"/>
        <w:ind w:firstLine="1305"/>
        <w:spacing w:after="0" w:line="254" w:lineRule="auto"/>
        <w:tabs>
          <w:tab w:leader="none" w:pos="21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during any twelve (12)-month period such that the individuals who, as of the date hereof, constitute the Board (such Board shall be hereinafter referred to as the “Incumbent Board”) cease for any reason to constitute at least a majority of the Board; provided, however, for purposes of this definition that any individual who becomes a member of the Board subsequent to the date hereof whose election, or nomination for election by the Company’s shareholders,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but, provided, further, that any such individual whose initial assumption of office occurs as a result of either an actual or threatened election contest (as such terms are used in Rule 14a-11 of Regulation 14A promulgated under the Securities Exchange Act of 1934, including any successor to such Rule), or other actual or threatened solicitation of proxies or consents by or on behalf of a Person other than the Board, shall not be so considered as a member of the Incumbent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62" w:name="page63"/>
    <w:bookmarkEnd w:id="6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a Change in Control shall only be deemed to have occurred if the Change in Control otherwise constitutes a change in the ownership or effective control of the Company, or a change in the ownership of a substantial portion of the assets of the Company, within the meaning of Section 409A of the Code and the regulations and rulings thereunder (“Section 409A”).</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CIC Severance Period</w:t>
      </w:r>
      <w:r>
        <w:rPr>
          <w:rFonts w:ascii="Times New Roman" w:cs="Times New Roman" w:eastAsia="Times New Roman" w:hAnsi="Times New Roman"/>
          <w:sz w:val="18"/>
          <w:szCs w:val="18"/>
          <w:color w:val="auto"/>
        </w:rPr>
        <w:t>.” A period equal to [twelve (12)/twenty-four (24)] months following (i) the date of the Change in Control if Executive’s employment is terminated within six (6) months prior to the Change in Control or (ii) Executive’s Date of Termination if Executive’s employment is terminated on or within eighteen (18) months following the date of the Change in Control</w:t>
      </w:r>
    </w:p>
    <w:p>
      <w:pPr>
        <w:spacing w:after="0" w:line="176"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Internal Revenue Code of 1986, as it may be amended from time to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United Community Banks, Inc., a Georgia corporation, or any successor to its business and/or assets, and all of its and their respective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Company’s Business</w:t>
      </w:r>
      <w:r>
        <w:rPr>
          <w:rFonts w:ascii="Times New Roman" w:cs="Times New Roman" w:eastAsia="Times New Roman" w:hAnsi="Times New Roman"/>
          <w:sz w:val="18"/>
          <w:szCs w:val="18"/>
          <w:color w:val="auto"/>
        </w:rPr>
        <w:t>.” The business of operating a commercial or retail bank, savings association, mutual thrift, credit union, trust company, securities brokerage or insurance agency.</w:t>
      </w:r>
    </w:p>
    <w:p>
      <w:pPr>
        <w:spacing w:after="0" w:line="162"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Customers</w:t>
      </w:r>
      <w:r>
        <w:rPr>
          <w:rFonts w:ascii="Times New Roman" w:cs="Times New Roman" w:eastAsia="Times New Roman" w:hAnsi="Times New Roman"/>
          <w:sz w:val="18"/>
          <w:szCs w:val="18"/>
          <w:color w:val="auto"/>
        </w:rPr>
        <w:t>.” All Persons (i) provided products or services by the Company with whom Executive had material contact during the last two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years of Executive’s employment, or (ii) whose dealings with the Company were coordinated or supervised, in whole or in part, by Executive.</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The date specified in the Notice of Termination (which, unless otherwise required by this Agreement, may be immediate) on which Executive’s employment with the Company is to cease. In the case of termination by Executive for Good Reason, the Date of Termination shall not be less than thirty (30) days nor more than sixty (60) days from the date the notice of termination is given. For purposes of this Agreement, termination of employment shall mean a “separation from service” within the meaning of Section 409A where it is reasonably anticipated that no further services will be performed after such date or that the level of bona fide services Executive will perform after that date (whether as an employee or an independent contractor) will permanently decrease to no more than twenty percent (20%) of the average level of bona fide services performed over the immediately preceding thirty-six (36)-month period (or, if lesser, Executive’s period of service).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Disability shall have the meaning ascribed to such term in the Company’s long-term disability plan covering Executive, or in the absence of such plan or Executive’s participation therein, a meaning consistent with Section 22(e)(3) of the Code.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A Good Reason for termination by Executive of Executive’s employment shall mean the occurrence (without Executive’s express written consent) during the 6-month period prior to, or within the eighteen (18) month period following, the date of a Change in Control of any one of the following acts by the Company, or failures by the Company to act, unless, in the case of any act or failure to act described in paragraphs (a), (c), or (d) below, such act or failure to act is corrected prior to the Date of Termination specified in the Notice of Termination given in respect thereof:</w:t>
      </w:r>
    </w:p>
    <w:p>
      <w:pPr>
        <w:spacing w:after="0" w:line="180" w:lineRule="exact"/>
        <w:rPr>
          <w:sz w:val="20"/>
          <w:szCs w:val="20"/>
          <w:color w:val="auto"/>
        </w:rPr>
      </w:pPr>
    </w:p>
    <w:p>
      <w:pPr>
        <w:ind w:left="2180" w:hanging="875"/>
        <w:spacing w:after="0"/>
        <w:tabs>
          <w:tab w:leader="none" w:pos="2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adverse change in Executive’s responsibilities at the Company from those in effect immediately prior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Date;</w:t>
      </w:r>
    </w:p>
    <w:p>
      <w:pPr>
        <w:spacing w:after="0" w:line="20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relocation of Executive to a location outside of the market area of the Company on the Measurement Date;</w:t>
      </w:r>
    </w:p>
    <w:p>
      <w:pPr>
        <w:spacing w:after="0" w:line="225" w:lineRule="exact"/>
        <w:rPr>
          <w:rFonts w:ascii="Times New Roman" w:cs="Times New Roman" w:eastAsia="Times New Roman" w:hAnsi="Times New Roman"/>
          <w:sz w:val="18"/>
          <w:szCs w:val="18"/>
          <w:color w:val="auto"/>
        </w:rPr>
      </w:pPr>
    </w:p>
    <w:p>
      <w:pPr>
        <w:ind w:right="20" w:firstLine="1305"/>
        <w:spacing w:after="0" w:line="282" w:lineRule="auto"/>
        <w:tabs>
          <w:tab w:leader="none" w:pos="205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from those in effect on the Measurement Date in the levels of coverage of Executive under the Company’s director and officer liability insurance policy or indemnification commitments;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3" w:name="page64"/>
    <w:bookmarkEnd w:id="63"/>
    <w:p>
      <w:pPr>
        <w:jc w:val="both"/>
        <w:ind w:firstLine="1305"/>
        <w:spacing w:after="0" w:line="258" w:lineRule="auto"/>
        <w:tabs>
          <w:tab w:leader="none" w:pos="19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Measurement Date, a reduction in Executive’s Base Salary, a reduction in his incentive compensation or the failure by the Company to continue to provide Executive with benefits substantially similar to those enjoyed by Executive under any of the Company’s pension, deferred compensation, life insurance, medical, health and accident or disability plans in which Executive was participating at the Measurement Date, the taking of any action by the Company which would directly or indirectly reduce any of such benefits or deprive Executive of any material fringe benefit enjoyed by Executive at the Measurement Date.</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Executive’s right to terminate Executive’s employment for Good Reason shall not be affected by Executive’s incapacity due to physical or mental illness, except for a Disability. Executive’s continued employment shall not constitute consent to, or a waiver of rights with respect to, any act or failure to act constituting Good Reason hereunder.</w:t>
      </w:r>
    </w:p>
    <w:p>
      <w:pPr>
        <w:spacing w:after="0" w:line="176"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Measurement Date</w:t>
      </w:r>
      <w:r>
        <w:rPr>
          <w:rFonts w:ascii="Times New Roman" w:cs="Times New Roman" w:eastAsia="Times New Roman" w:hAnsi="Times New Roman"/>
          <w:sz w:val="17"/>
          <w:szCs w:val="17"/>
          <w:color w:val="auto"/>
        </w:rPr>
        <w:t>.” The date six (6) months prior to the date of a Change in Control.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 written notice from one party to the other party specifying the Date of Termination and which sets forth in reasonable detail the facts and circumstances relating to the basis for termination of Executive’s employment.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Any individual, corporation, bank, partnership, joint venture, association, joint-stock company, trust, unincorporated organization or other entity.</w:t>
      </w:r>
    </w:p>
    <w:p>
      <w:pPr>
        <w:spacing w:after="0" w:line="162" w:lineRule="exact"/>
        <w:rPr>
          <w:sz w:val="20"/>
          <w:szCs w:val="20"/>
          <w:color w:val="auto"/>
        </w:rPr>
      </w:pPr>
    </w:p>
    <w:p>
      <w:pPr>
        <w:jc w:val="both"/>
        <w:ind w:firstLine="8"/>
        <w:spacing w:after="0" w:line="256" w:lineRule="auto"/>
        <w:tabs>
          <w:tab w:leader="none" w:pos="7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SCOPE OF AGREEMENT</w:t>
      </w:r>
      <w:r>
        <w:rPr>
          <w:rFonts w:ascii="Times New Roman" w:cs="Times New Roman" w:eastAsia="Times New Roman" w:hAnsi="Times New Roman"/>
          <w:sz w:val="18"/>
          <w:szCs w:val="18"/>
          <w:color w:val="auto"/>
        </w:rPr>
        <w:t>. This Agreement provides for the payment of compensation to Executive in the event in connection with a Change in Control his employment is involuntarily terminated by the Company without Cause or if Executive terminates his employment for Good Reason. If Executive is terminated by the Company for Cause, dies, incurs a Disability or voluntarily terminates employment (other than for Good Reason), this Agreement shall terminate, and Executive shall be entitled to no payments of compensation pursuant to the terms of this Agreement; provided that in such event, Executive will be entitled to whatever benefits are payable pursuant to the terms of any health, life insurance, disability, welfare, retirement, deferred compensation, or other plan or program maintained by the Company, in which Executive participates, in accordance with the terms of such plans and programs.</w:t>
      </w:r>
    </w:p>
    <w:p>
      <w:pPr>
        <w:spacing w:after="0" w:line="187" w:lineRule="exact"/>
        <w:rPr>
          <w:rFonts w:ascii="Times New Roman" w:cs="Times New Roman" w:eastAsia="Times New Roman" w:hAnsi="Times New Roman"/>
          <w:sz w:val="18"/>
          <w:szCs w:val="18"/>
          <w:color w:val="auto"/>
        </w:rPr>
      </w:pPr>
    </w:p>
    <w:p>
      <w:pPr>
        <w:jc w:val="both"/>
        <w:ind w:firstLine="8"/>
        <w:spacing w:after="0" w:line="261" w:lineRule="auto"/>
        <w:tabs>
          <w:tab w:leader="none" w:pos="7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UPON TERMINATION IN CONNECTION WITH A CHANGE IN CONTROL</w:t>
      </w:r>
      <w:r>
        <w:rPr>
          <w:rFonts w:ascii="Times New Roman" w:cs="Times New Roman" w:eastAsia="Times New Roman" w:hAnsi="Times New Roman"/>
          <w:sz w:val="18"/>
          <w:szCs w:val="18"/>
          <w:color w:val="auto"/>
        </w:rPr>
        <w:t>. If a Change in Control occurs during the term of this Agreement and Executive’s employment is terminated within six (6) months prior to or eighteen (18) months following the date of the Change in Control, and if such termination is an involuntary termination by the Company without Cause (and does not arise as a result of Executive’s death or Disability) or a termination by Executive for Good Reason, Executive shall be entitled to the following compensation: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Executive shall continue to receive his Base Salary (subject to withholding of all applicable taxes) for the CIC Severance Period in accordance with the Company’s normal payroll practices (but no less frequently than monthly) beginning on (i) the date of the Change in Control if Executive’s employment is terminated within six (6) months prior to the Change in Control or (ii) Executive’s Date of Termination if Executive’s employment is terminated on or within eighteen (18) months following the date of the Change in Control.</w:t>
      </w:r>
    </w:p>
    <w:p>
      <w:pPr>
        <w:spacing w:after="0" w:line="180"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Annual Bonus</w:t>
      </w:r>
      <w:r>
        <w:rPr>
          <w:rFonts w:ascii="Times New Roman" w:cs="Times New Roman" w:eastAsia="Times New Roman" w:hAnsi="Times New Roman"/>
          <w:sz w:val="17"/>
          <w:szCs w:val="17"/>
          <w:color w:val="auto"/>
        </w:rPr>
        <w:t>. Executive shall be entitled to bonus payments from the Company as follows:</w:t>
      </w:r>
    </w:p>
    <w:p>
      <w:pPr>
        <w:spacing w:after="0" w:line="225" w:lineRule="exact"/>
        <w:rPr>
          <w:sz w:val="20"/>
          <w:szCs w:val="20"/>
          <w:color w:val="auto"/>
        </w:rPr>
      </w:pPr>
    </w:p>
    <w:p>
      <w:pPr>
        <w:jc w:val="both"/>
        <w:ind w:firstLine="1305"/>
        <w:spacing w:after="0" w:line="258" w:lineRule="auto"/>
        <w:tabs>
          <w:tab w:leader="none" w:pos="20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terms of any applicable plan to the contrary, for the fiscal year that ended immediately prior to Executive’s Date of Termination, but for which no annual bonus payments have been paid as of his Date of Termination, Executive shall receive a bonus calculated using the actual results for all performance criteria for such fiscal year. Such amount shall be paid (subject to withholding of all applicable taxes) on (i) the date of the Change in Control if Executive’s employment is terminated within six (6) months prior to the Change in Control or (ii) the Executive’s Date of Termination if Executive’s employment is terminated on or within eighteen (18) months following the date of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4" w:name="page65"/>
    <w:bookmarkEnd w:id="64"/>
    <w:p>
      <w:pPr>
        <w:jc w:val="both"/>
        <w:ind w:firstLine="1305"/>
        <w:spacing w:after="0" w:line="235" w:lineRule="auto"/>
        <w:tabs>
          <w:tab w:leader="none" w:pos="19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fiscal year during which Executive’s Date of Termination occurs after June 30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of such fiscal year, Executive shall receive a prorated bonus (based on the number of days that he was employed during such fiscal year), calculated as if Executive’s target award level (including any personal performance component) under the Company’s annual incentive plan had been achieved for such year. Such amount shall be paid (subject to withholding of all applicable taxes) on (i) the date of the Change in Control if Executive’s employment is terminated within six (6) months prior to the Change in Control or (ii) the Executive’s Date of Termination if Executive’s employment is terminated on or within eighteen (18) months following the date of the Change in Control.</w:t>
      </w:r>
    </w:p>
    <w:p>
      <w:pPr>
        <w:spacing w:after="0" w:line="198" w:lineRule="exact"/>
        <w:rPr>
          <w:rFonts w:ascii="Times New Roman" w:cs="Times New Roman" w:eastAsia="Times New Roman" w:hAnsi="Times New Roman"/>
          <w:sz w:val="18"/>
          <w:szCs w:val="18"/>
          <w:color w:val="auto"/>
        </w:rPr>
      </w:pPr>
    </w:p>
    <w:p>
      <w:pPr>
        <w:jc w:val="both"/>
        <w:ind w:firstLine="1305"/>
        <w:spacing w:after="0" w:line="254" w:lineRule="auto"/>
        <w:tabs>
          <w:tab w:leader="none" w:pos="207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bonus payment payable under subsection (a) or (b) above, if any, Executive shall be entitled to an additional bonus amount equal to the average of the bonuses paid to him with respect to the two fiscal years in which annual bonuses were paid to Executive most recently preceding the year in which his Date of Termination occurs, multiplied by [one (1)/two (2)]. If a bonus was not paid to Executive in two such prior years, for purposes of calculating Executive’s average bonus, an amount equal to Executive’s potential bonus for the fiscal year during which Executive’s Date of Termination occurs, calculated as if Executive’s target award level (including any personal performance criteria) under the Company’s annual incentive plan had been achieved for such year, shall be used for such years. Such bonus amount shall be paid (subject to withholding of all applicable taxes) in [twelve (12)/twenty-four (24)] equal monthly payments beginning on (i) the date of the Change in Control if Executive’s employment is terminated within six (6) months prior to the Change in Control or (ii) Executive’s Date of Termination if Executive’s employment is terminated on or within eighteen (18) months following the date of the Change in Control.</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Section 409A Compliance</w:t>
      </w:r>
      <w:r>
        <w:rPr>
          <w:rFonts w:ascii="Times New Roman" w:cs="Times New Roman" w:eastAsia="Times New Roman" w:hAnsi="Times New Roman"/>
          <w:sz w:val="18"/>
          <w:szCs w:val="18"/>
          <w:color w:val="auto"/>
        </w:rPr>
        <w:t>. This Agreement shall at all times be operated in accordance with the requirements of Section 409A. The Company shall have authority to take action, or refrain from taking any action, with respect to any payments under this Agreement that is reasonably necessary to comply with Section 409A. Notwithstanding any of the provisions of this Agreement, it is intended that any payment which is provided pursuant to or in connection with this Agreement which is considered to be non-qualified deferred compensation subject to Section 409A shall be provided and paid in a manner, and at such time, as complies with the applicable requirements of Section 409A to avoid the unfavorable tax consequences provided therein for non-compliance. For purposes of this Agreement, all rights to payments shall be treated as rights to receive a series of separate payments to the fullest extent permitted by Section 409A. If Executive is a key employee (as defined in Section 416(i) without regard to paragraph (5) thereof), and any of the Company’s stock is publicly traded on an established securities market or otherwise, then payment of any amount under this Agreement which is considered non-qualified deferred compensation subject to Section 409A shall be deferred for six (6) months after Executive’s Date of Termination or, if earlier, Executive’s death, as and to the extent required by Section 409A (the “409A Deferral Period”). In the event such payments are otherwise due to be made in installments or periodically during the 409A Deferral Period, the payments which would otherwise have been made in the 409A Deferral Period shall be accumulated and paid in a lump sum as soon as the 409A Deferral Period ends, and the balance of the payments shall be made as otherwise scheduled.</w:t>
      </w:r>
    </w:p>
    <w:p>
      <w:pPr>
        <w:spacing w:after="0" w:line="1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Except as expressly provided herein, all other benefits provided to Executive as an active employee of the Company (e.g., health insurance, life insurance, profit sharing, long-term disability, AD&amp;D, etc.), shall cease on his Date of Termination, provided that any conversion or extension rights applicable to such benefits shall be made available to Executive at his Date of Termination or when such coverages otherwise cease in accordance with the terms of the applicable plans or programs, including, with respect to any, options, restricted stock units or other awards granted under any equity compensation plan, the terms of such plan and any applicable award agreement.</w:t>
      </w:r>
    </w:p>
    <w:p>
      <w:pPr>
        <w:spacing w:after="0" w:line="184" w:lineRule="exact"/>
        <w:rPr>
          <w:sz w:val="20"/>
          <w:szCs w:val="20"/>
          <w:color w:val="auto"/>
        </w:rPr>
      </w:pPr>
    </w:p>
    <w:p>
      <w:pPr>
        <w:ind w:left="680" w:hanging="672"/>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0" w:firstLine="648"/>
        <w:spacing w:after="0" w:line="256" w:lineRule="auto"/>
        <w:rPr>
          <w:sz w:val="20"/>
          <w:szCs w:val="20"/>
          <w:color w:val="auto"/>
        </w:rPr>
      </w:pPr>
      <w:r>
        <w:rPr>
          <w:rFonts w:ascii="Times New Roman" w:cs="Times New Roman" w:eastAsia="Times New Roman" w:hAnsi="Times New Roman"/>
          <w:sz w:val="18"/>
          <w:szCs w:val="18"/>
          <w:color w:val="auto"/>
        </w:rPr>
        <w:t>5.1 Notwithstanding anything in this Agreement to the contrary, in the event it is determined that any Payment to be made to Executive by the Company, whether pursuant to this Agreement or otherwise, would constitute an “excess parachute payment” within the meaning of Section 280G of the Code and the regulations and rulings thereunder (“Section 280G”), then the Payments to be made to Executive by the Company shall be reduced, in the manner provided in Section 5.2 below, so that none of the Payments constitute “excess parachute payments” within the meaning of Section 280G. In making this computation, the parties shall take into account all provisions of Section 280G, including making appropriate adjustments to the calculations for amounts established to be exempt from characterization as parachute payments within the meaning of Section 280G.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5" w:name="page66"/>
    <w:bookmarkEnd w:id="6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5.2 In the event a reduction in the Payments to be made to Executive by the Company are required pursuant hereto, the order of reduction first shall be all payments to be made under this Agreement on a pro rata basis and then all other payments and benefits to be made or provided on a pro rata basis.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5.3 The purpose of this Section 5 is to avoid the imposition of any excise taxes on Executive under Section 4999 of the Code or the disallowance of any deduction to the Company pursuant to Section 280G(a) with respect to any amounts payable or benefits to be provided, to Executive under this Agreement or otherwise.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5.4 For purposes of this Section 5, “Payment” means any payment or distribution or provision of benefits by the Company to or for the benefit of Executive, whether paid or payable or distributed or distributable pursuant to this Agreement or otherwise and determined without regard any reductions required by this Section 5, which would constitute a “parachute payment” under Section 280G.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5.5 All determinations to be made under this Section 5 shall be made by the independent accounting firm used by the Company immediately prior to the Change in Control, which accounting firm will provide its determinations and any supporting calculations to the Company and Executive as necessary. Any determinations made by the accounting firm shall be binding upon the Company and Executive. All fees and expenses of the accounting firm in performing the determinations hereunder shall be borne solely by the Company.</w:t>
      </w:r>
    </w:p>
    <w:p>
      <w:pPr>
        <w:spacing w:after="0" w:line="180" w:lineRule="exact"/>
        <w:rPr>
          <w:sz w:val="20"/>
          <w:szCs w:val="20"/>
          <w:color w:val="auto"/>
        </w:rPr>
      </w:pPr>
    </w:p>
    <w:p>
      <w:pPr>
        <w:ind w:left="680" w:hanging="672"/>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BENEFIT; RETURN OF PREVIOUS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6.1 After Executive’s Date of Termination and until the expiration of the CIC Severance Period, if Executive is entitled to any payment or benefit under this Agreement, Executive will not directly or indirectly, individually, or on behalf of any Person (except on behalf of or with the prior written consent of the Company):</w:t>
      </w:r>
    </w:p>
    <w:p>
      <w:pPr>
        <w:spacing w:after="0" w:line="176" w:lineRule="exact"/>
        <w:rPr>
          <w:sz w:val="20"/>
          <w:szCs w:val="20"/>
          <w:color w:val="auto"/>
        </w:rPr>
      </w:pPr>
    </w:p>
    <w:p>
      <w:pPr>
        <w:jc w:val="both"/>
        <w:ind w:firstLine="1278"/>
        <w:spacing w:after="0" w:line="266" w:lineRule="auto"/>
        <w:tabs>
          <w:tab w:leader="none" w:pos="21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divert or appropriate or attempt to solicit, divert or appropriate, any business from any of the Company’s Customers, including prospective Customers actively sought by the Company, for purposes of providing products or services that are competitive with those provided by the Company;</w:t>
      </w:r>
    </w:p>
    <w:p>
      <w:pPr>
        <w:spacing w:after="0" w:line="176" w:lineRule="exact"/>
        <w:rPr>
          <w:rFonts w:ascii="Times New Roman" w:cs="Times New Roman" w:eastAsia="Times New Roman" w:hAnsi="Times New Roman"/>
          <w:sz w:val="18"/>
          <w:szCs w:val="18"/>
          <w:color w:val="auto"/>
        </w:rPr>
      </w:pPr>
    </w:p>
    <w:p>
      <w:pPr>
        <w:ind w:firstLine="1273"/>
        <w:spacing w:after="0" w:line="282" w:lineRule="auto"/>
        <w:tabs>
          <w:tab w:leader="none" w:pos="21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recruit or hire away or attempt to solicit, recruit or hire away, any employee of the Company, whether or not such employment is pursuant to a written contract with the Company is at will; or</w:t>
      </w:r>
    </w:p>
    <w:p>
      <w:pPr>
        <w:spacing w:after="0" w:line="161" w:lineRule="exact"/>
        <w:rPr>
          <w:rFonts w:ascii="Times New Roman" w:cs="Times New Roman" w:eastAsia="Times New Roman" w:hAnsi="Times New Roman"/>
          <w:sz w:val="18"/>
          <w:szCs w:val="18"/>
          <w:color w:val="auto"/>
        </w:rPr>
      </w:pPr>
    </w:p>
    <w:p>
      <w:pPr>
        <w:ind w:left="1920" w:hanging="647"/>
        <w:spacing w:after="0"/>
        <w:tabs>
          <w:tab w:leader="none" w:pos="1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or intentionally damage or destroy the goodwill and esteem of the Company or the Company’s Business.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6.2 Executive agrees that the restrictive covenants set forth in Section 6.1 of this Agreement are of the essence of this Agreement; that each of the covenants is reasonable and necessary to protect the business, interests and properties of the Company, and that irreparable loss and damage will be suffered by the Company should Executive breach any of such covenants. Therefore, if at any time after Executive’s Date of Termination and until the expiration of the CIC Severance Period, Executive violates the restrictive covenants set forth in Section 6.1, then notwithstanding any other provision in this Agreement to the contrary, (i) Executive shall immediately forfeit any payment that is or may become due under Section 4 and all such payments shall immediately terminate, and (ii) Executive shall immediately return to the Company the gross amount of any previous payments made to Executive pursuant to Section 4. In addition, Executive agrees and consents that the Company shall be entitled to a temporary restraining order and temporary and permanent injunctions to prevent a breach or contemplated breach of any of such covenants. The Company and Executive agree that all remedies shall be cumulative.</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6.3 If any term of this Section 6 shall be held to be illegal, invalid or unenforceable by a court of competent jurisdiction, the remaining terms shall remain in full force and effect. If any court of competent jurisdiction shall determine that the restrictions set forth in any provision of this Section 6 are overbroad or unreasonable as applied to Executive, the parties hereto acknowledge their mutual intention and agreement that those restrictions be enforced to the fullest extent the court deems reasonable, and this Agreement shall be modified to that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6" w:name="page67"/>
    <w:bookmarkEnd w:id="66"/>
    <w:p>
      <w:pPr>
        <w:ind w:left="680" w:hanging="672"/>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No Obligation to Mitigate</w:t>
      </w:r>
      <w:r>
        <w:rPr>
          <w:rFonts w:ascii="Times New Roman" w:cs="Times New Roman" w:eastAsia="Times New Roman" w:hAnsi="Times New Roman"/>
          <w:sz w:val="18"/>
          <w:szCs w:val="18"/>
          <w:color w:val="auto"/>
        </w:rPr>
        <w:t>. Executive shall not be required to mitigate the amount of any payment provided for under this Agreement by seeking other employment, nor shall the amount of any payment provided for under this Agreement be reduced by any compensation earned by Executive as a result of employment by another employer after the Date of Termination or otherwise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Contract Non-Assignable</w:t>
      </w:r>
      <w:r>
        <w:rPr>
          <w:rFonts w:ascii="Times New Roman" w:cs="Times New Roman" w:eastAsia="Times New Roman" w:hAnsi="Times New Roman"/>
          <w:sz w:val="18"/>
          <w:szCs w:val="18"/>
          <w:color w:val="auto"/>
        </w:rPr>
        <w:t>. The parties acknowledge that this Agreement has been entered into due to, among other things, the special skills and knowledge of Executive, and agree that this Agreement may not be assigned or transferred by Executive.</w:t>
      </w:r>
    </w:p>
    <w:p>
      <w:pPr>
        <w:spacing w:after="0" w:line="162"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u w:val="single" w:color="auto"/>
          <w:color w:val="auto"/>
        </w:rPr>
        <w:t>Successors; Binding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56" w:lineRule="auto"/>
        <w:tabs>
          <w:tab w:leader="none" w:pos="213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obligations imposed by law upon any successor to the Company, the Company will require any successor (whether direct or indirect, by purchase, merger, consolidation or otherwise) to all or substantially all of the business and/or assets of the Company or that acquires a controlling stock interest in the Company to expressly assume and agree to perform this Agreement, in the same manner and to the same extent that the Company would be required to perform it if no such succession had taken place. Failure of the Company to obtain such assumption and agreement prior to the effective date of such succession shall be a breach of this Agreement and shall entitle Executive to terminate his employment for Good Reason as described above.</w:t>
      </w:r>
    </w:p>
    <w:p>
      <w:pPr>
        <w:spacing w:after="0" w:line="187" w:lineRule="exact"/>
        <w:rPr>
          <w:rFonts w:ascii="Times New Roman" w:cs="Times New Roman" w:eastAsia="Times New Roman" w:hAnsi="Times New Roman"/>
          <w:sz w:val="18"/>
          <w:szCs w:val="18"/>
          <w:color w:val="auto"/>
        </w:rPr>
      </w:pPr>
    </w:p>
    <w:p>
      <w:pPr>
        <w:jc w:val="both"/>
        <w:ind w:firstLine="1305"/>
        <w:spacing w:after="0" w:line="261" w:lineRule="auto"/>
        <w:tabs>
          <w:tab w:leader="none" w:pos="21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inure to the benefit of and be enforceable by Executive’s personal or legal representative, executors, administrators, successors, heirs, distributees, devisees and legatees. If Executive shall die while any amount is still payable to Executive hereunder (other than amounts which, by their terms, terminate upon the death of Executive), all such amounts, unless otherwise provided herein, shall be paid in accordance with the terms of this Agreement to the executors, personal representatives or administrators of Executive’s estate.</w:t>
      </w:r>
    </w:p>
    <w:p>
      <w:pPr>
        <w:spacing w:after="0" w:line="1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required or permitted hereunder shall be in writing and shall be deemed to have been duly given when delivered or seven (7) days after mailing if mailed first class, certified mail, postage prepaid, addressed as follows:</w:t>
      </w:r>
    </w:p>
    <w:p>
      <w:pPr>
        <w:sectPr>
          <w:pgSz w:w="11900" w:h="16838" w:orient="portrait"/>
          <w:cols w:equalWidth="0" w:num="1">
            <w:col w:w="11420"/>
          </w:cols>
          <w:pgMar w:left="240" w:top="796" w:right="239" w:bottom="1440" w:gutter="0" w:footer="0" w:header="0"/>
        </w:sectPr>
      </w:pPr>
    </w:p>
    <w:p>
      <w:pPr>
        <w:spacing w:after="0" w:line="16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Community Banks,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 Highway 515 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Blairsville, GA 30512</w:t>
      </w:r>
    </w:p>
    <w:p>
      <w:pPr>
        <w:spacing w:after="0" w:line="200" w:lineRule="exact"/>
        <w:rPr>
          <w:sz w:val="20"/>
          <w:szCs w:val="20"/>
          <w:color w:val="auto"/>
        </w:rPr>
      </w:pPr>
    </w:p>
    <w:p>
      <w:pPr>
        <w:sectPr>
          <w:pgSz w:w="11900" w:h="16838" w:orient="portrait"/>
          <w:cols w:equalWidth="0" w:num="2">
            <w:col w:w="5000" w:space="720"/>
            <w:col w:w="5700"/>
          </w:cols>
          <w:pgMar w:left="240" w:top="796" w:right="239" w:bottom="1440" w:gutter="0" w:footer="0" w:header="0"/>
          <w:type w:val="continuous"/>
        </w:sectPr>
      </w:pPr>
    </w:p>
    <w:p>
      <w:pPr>
        <w:spacing w:after="0" w:line="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If 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00" w:lineRule="exact"/>
        <w:rPr>
          <w:sz w:val="20"/>
          <w:szCs w:val="20"/>
          <w:color w:val="auto"/>
        </w:rPr>
      </w:pPr>
    </w:p>
    <w:p>
      <w:pPr>
        <w:sectPr>
          <w:pgSz w:w="11900" w:h="16838" w:orient="portrait"/>
          <w:cols w:equalWidth="0" w:num="2">
            <w:col w:w="5000" w:space="720"/>
            <w:col w:w="5700"/>
          </w:cols>
          <w:pgMar w:left="240" w:top="796" w:right="239" w:bottom="1440" w:gutter="0" w:footer="0" w:header="0"/>
          <w:type w:val="continuous"/>
        </w:sectPr>
      </w:pPr>
    </w:p>
    <w:p>
      <w:pPr>
        <w:spacing w:after="0" w:line="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party may change the address to which notices, requests, demands and other communications shall be delivered or mailed by giving notice thereof to the other party in the same manner provided herein.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Provisions Severable</w:t>
      </w:r>
      <w:r>
        <w:rPr>
          <w:rFonts w:ascii="Times New Roman" w:cs="Times New Roman" w:eastAsia="Times New Roman" w:hAnsi="Times New Roman"/>
          <w:sz w:val="18"/>
          <w:szCs w:val="18"/>
          <w:color w:val="auto"/>
        </w:rPr>
        <w:t>. If any provision or covenant, or any part thereof, of this Agreement should be held by any court to be invalid, illegal or unenforceable, either in whole or in part, such invalidity, illegality or unenforceability shall not affect the validity, legality or enforceability of the remaining provisions or covenants, or any part thereof, of this Agreement, all of which shall remain in full force and effect.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Failure of either party to insist, in one or more instances, on performance by the other in strict accordance with the terms and conditions of this Agreement shall not be deemed a waiver or relinquishment of any right granted in this Agreement or the future performance of any such term or condition or of any other term or condition of this Agreement, unless such waiver is contained in a writing signed by the party making the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67" w:name="page68"/>
    <w:bookmarkEnd w:id="6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This Agreement may be amended or modified only by a writing signed by both parties hereto, which makes specific reference to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and effect of this Agreement shall be governed by and be construed and enforced in accordance with the laws of the State of Georgia.</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All claims by Executive for compensation under this Agreement shall be in writing and shall be directed to and be determined by the Board. Any denial by the Board of a claim for benefits under this Agreement shall be provided in writing to Executive within thirty (30) days of such decision and shall set forth the specific reasons for the denial and the specific provisions of this Agreement relied upon. The Board shall afford a reasonable opportunity to Executive for a review of its decision denying a claim and shall further allow Executive to appeal in writing to the Board a decision of the Board within sixty (60) days after notification by the Board that Executive’s claim has been denied. To the extent permitted by applicable law, any further dispute or controversy arising under or in connection with this Agreement shall be settled exclusively by arbitration in Atlanta, Georgia, in accordance with the rules of the American Arbitration Association then in effect. Judgment may be entered on the arbitrator’s award in any court having jurisdiction.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 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Agreement as of the day and year first above written.</w:t>
      </w:r>
    </w:p>
    <w:p>
      <w:pPr>
        <w:spacing w:after="0" w:line="23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17145</wp:posOffset>
            </wp:positionV>
            <wp:extent cx="31127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17145</wp:posOffset>
            </wp:positionV>
            <wp:extent cx="31127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b w:val="1"/>
          <w:bCs w:val="1"/>
          <w:color w:val="auto"/>
        </w:rPr>
        <w:t>UNITED COMMUNITY BANKS, INC.</w:t>
      </w:r>
    </w:p>
    <w:p>
      <w:pPr>
        <w:spacing w:after="0" w:line="24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17145</wp:posOffset>
            </wp:positionV>
            <wp:extent cx="31127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17145</wp:posOffset>
            </wp:positionV>
            <wp:extent cx="31127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17145</wp:posOffset>
            </wp:positionV>
            <wp:extent cx="31127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11277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386080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1009" w:right="1440"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Jimmy C. Tallent,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9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right="20" w:hanging="4"/>
        <w:spacing w:after="0" w:line="282" w:lineRule="auto"/>
        <w:tabs>
          <w:tab w:leader="none" w:pos="89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7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660" w:right="20" w:hanging="4"/>
        <w:spacing w:after="0" w:line="282" w:lineRule="auto"/>
        <w:tabs>
          <w:tab w:leader="none" w:pos="85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86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Jimmy C. Tallent</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Chairman and Chief Executive Officer of the Registrant</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Date: May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9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right="20" w:hanging="4"/>
        <w:spacing w:after="0" w:line="282" w:lineRule="auto"/>
        <w:tabs>
          <w:tab w:leader="none" w:pos="89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7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660" w:right="20" w:hanging="4"/>
        <w:spacing w:after="0" w:line="282" w:lineRule="auto"/>
        <w:tabs>
          <w:tab w:leader="none" w:pos="85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86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Jefferson L. Harralson</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the Registrant</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Date: May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United Community Banks, Inc. (“United”) on Form 10-Q for the period ending March 31, 2017 filed with the Securities and Exchange Commission on the date hereof (the “Report”), I, Jimmy C. Tallent, Chairman and Chief Executive Officer of United, and I, Jefferson L. Harralson, Executive Vice President and Chief Financial Officer of United, certify, pursuant to 18 U.S.C. Section 1350, as adopted pursuant to Section 906 of the Sarbanes-Oxley Act of 2002, that:</w:t>
      </w:r>
    </w:p>
    <w:p>
      <w:pPr>
        <w:spacing w:after="0" w:line="180"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United.</w:t>
      </w:r>
    </w:p>
    <w:p>
      <w:pPr>
        <w:spacing w:after="0" w:line="221"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Jimmy C. Tallent</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3"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Jefferson L. Harralson</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Date: May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lowerLetter"/>
      <w:start w:val="4"/>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lowerLetter"/>
      <w:start w:val="4"/>
    </w:lvl>
  </w:abstractNum>
  <w:abstractNum w:abstractNumId="14">
    <w:nsid w:val="62BBD95A"/>
    <w:multiLevelType w:val="hybridMultilevel"/>
    <w:lvl w:ilvl="0">
      <w:lvlJc w:val="left"/>
      <w:lvlText w:val="%1."/>
      <w:numFmt w:val="decimal"/>
      <w:start w:val="3"/>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2"/>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decimal"/>
      <w:start w:val="6"/>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decimal"/>
      <w:start w:val="7"/>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2019-12-29T05:45:32Z</dcterms:created>
  <dcterms:modified xsi:type="dcterms:W3CDTF">2019-12-29T05:45:32Z</dcterms:modified>
</cp:coreProperties>
</file>