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1316990</wp:posOffset>
            </wp:positionH>
            <wp:positionV relativeFrom="paragraph">
              <wp:posOffset>24130</wp:posOffset>
            </wp:positionV>
            <wp:extent cx="4631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5460" w:type="dxa"/>
            <w:vAlign w:val="bottom"/>
            <w:gridSpan w:val="4"/>
          </w:tcPr>
          <w:p>
            <w:pPr>
              <w:jc w:val="right"/>
              <w:ind w:right="12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6"/>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125 Highway 515 East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5460" w:type="dxa"/>
            <w:vAlign w:val="bottom"/>
            <w:gridSpan w:val="4"/>
          </w:tcPr>
          <w:p>
            <w:pPr>
              <w:jc w:val="right"/>
              <w:ind w:right="1510"/>
              <w:spacing w:after="0"/>
              <w:rPr>
                <w:sz w:val="20"/>
                <w:szCs w:val="20"/>
                <w:color w:val="auto"/>
              </w:rPr>
            </w:pPr>
            <w:r>
              <w:rPr>
                <w:rFonts w:ascii="Arial" w:cs="Arial" w:eastAsia="Arial" w:hAnsi="Arial"/>
                <w:sz w:val="18"/>
                <w:szCs w:val="18"/>
                <w:b w:val="1"/>
                <w:bCs w:val="1"/>
                <w:color w:val="auto"/>
              </w:rPr>
              <w:t>30512</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Address of Principal</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Offices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92"/>
        </w:trPr>
        <w:tc>
          <w:tcPr>
            <w:tcW w:w="36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(706) 781-2265</w:t>
            </w:r>
          </w:p>
        </w:tc>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5460" w:type="dxa"/>
            <w:vAlign w:val="bottom"/>
            <w:gridSpan w:val="4"/>
          </w:tcPr>
          <w:p>
            <w:pPr>
              <w:jc w:val="center"/>
              <w:ind w:right="359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198"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810" w:right="239" w:bottom="1440" w:gutter="0" w:footer="0" w:header="0"/>
        </w:sectPr>
      </w:pPr>
    </w:p>
    <w:p>
      <w:pPr>
        <w:spacing w:after="0" w:line="110"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810"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8280" w:space="720"/>
            <w:col w:w="2420"/>
          </w:cols>
          <w:pgMar w:left="240" w:top="810" w:right="239" w:bottom="1440" w:gutter="0" w:footer="0" w:header="0"/>
          <w:type w:val="continuous"/>
        </w:sectPr>
      </w:pP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ectPr>
          <w:pgSz w:w="11900" w:h="16838" w:orient="portrait"/>
          <w:cols w:equalWidth="0" w:num="1">
            <w:col w:w="11420"/>
          </w:cols>
          <w:pgMar w:left="240" w:top="810" w:right="239" w:bottom="1440" w:gutter="0" w:footer="0" w:header="0"/>
          <w:type w:val="continuous"/>
        </w:sectPr>
      </w:pPr>
    </w:p>
    <w:p>
      <w:pPr>
        <w:spacing w:after="0" w:line="220" w:lineRule="exact"/>
        <w:rPr>
          <w:sz w:val="24"/>
          <w:szCs w:val="24"/>
          <w:color w:val="auto"/>
        </w:rPr>
      </w:pPr>
    </w:p>
    <w:p>
      <w:pPr>
        <w:ind w:left="516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5700" w:space="100"/>
            <w:col w:w="5620"/>
          </w:cols>
          <w:pgMar w:left="240" w:top="810" w:right="2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63,193,854 shares voting and 8,285,516 shares non-voting outstanding as of October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28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60" w:type="dxa"/>
            <w:vAlign w:val="bottom"/>
            <w:tcBorders>
              <w:bottom w:val="single" w:sz="8" w:color="0000EE"/>
            </w:tcBorders>
            <w:gridSpan w:val="10"/>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Consolidated Statement of Income (unaudited) for the Three and Nine Months Ended September 30, 2015 and 2014</w:t>
              </w:r>
            </w:hyperlink>
          </w:p>
        </w:tc>
        <w:tc>
          <w:tcPr>
            <w:tcW w:w="42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60" w:type="dxa"/>
            <w:vAlign w:val="bottom"/>
            <w:tcBorders>
              <w:bottom w:val="single" w:sz="8" w:color="0000EE"/>
            </w:tcBorders>
            <w:gridSpan w:val="11"/>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Comprehensive Income (unaudited) for the Three and Nine Months Ended September 30,</w:t>
              </w:r>
            </w:hyperlink>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gridSpan w:val="11"/>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2015 and 2014</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gridSpan w:val="1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Consolidated Balance Sheet (unaudited) at September 30, 2015, December 31, 2014 and September 30, 2014</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gridSpan w:val="12"/>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Consolidated Statement of Changes in Shareholders’ Equity (unaudited) for the Nine Months Ended September 30,</w:t>
              </w:r>
            </w:hyperlink>
          </w:p>
        </w:tc>
        <w:tc>
          <w:tcPr>
            <w:tcW w:w="52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72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2015 and 2014</w:t>
              </w:r>
            </w:hyperlink>
          </w:p>
        </w:tc>
        <w:tc>
          <w:tcPr>
            <w:tcW w:w="44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4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 of Cash Flows (unaudited) for the Nine Months Ended September 30, 2015 and 2014</w:t>
              </w:r>
            </w:hyperlink>
          </w:p>
        </w:tc>
        <w:tc>
          <w:tcPr>
            <w:tcW w:w="94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59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2.</w:t>
              </w:r>
            </w:hyperlink>
          </w:p>
        </w:tc>
        <w:tc>
          <w:tcPr>
            <w:tcW w:w="380" w:type="dxa"/>
            <w:vAlign w:val="bottom"/>
          </w:tcPr>
          <w:p>
            <w:pPr>
              <w:spacing w:after="0"/>
              <w:rPr>
                <w:sz w:val="24"/>
                <w:szCs w:val="24"/>
                <w:color w:val="auto"/>
              </w:rPr>
            </w:pPr>
          </w:p>
        </w:tc>
        <w:tc>
          <w:tcPr>
            <w:tcW w:w="688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46">
              <w:r>
                <w:rPr>
                  <w:rFonts w:ascii="Arial" w:cs="Arial" w:eastAsia="Arial" w:hAnsi="Arial"/>
                  <w:sz w:val="18"/>
                  <w:szCs w:val="18"/>
                  <w:b w:val="1"/>
                  <w:bCs w:val="1"/>
                  <w:color w:val="0000EE"/>
                  <w:w w:val="89"/>
                </w:rPr>
                <w:t>Management’s Discussion and Analysis of Financial Condition and Results of Operations.</w:t>
              </w:r>
            </w:hyperlink>
          </w:p>
        </w:tc>
        <w:tc>
          <w:tcPr>
            <w:tcW w:w="240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40" w:type="dxa"/>
            <w:vAlign w:val="bottom"/>
          </w:tcPr>
          <w:p>
            <w:pPr>
              <w:spacing w:after="0"/>
              <w:rPr>
                <w:rFonts w:ascii="Arial" w:cs="Arial" w:eastAsia="Arial" w:hAnsi="Arial"/>
                <w:sz w:val="18"/>
                <w:szCs w:val="18"/>
                <w:b w:val="1"/>
                <w:bCs w:val="1"/>
                <w:color w:val="0000EE"/>
                <w:w w:val="91"/>
              </w:rPr>
            </w:pPr>
            <w:hyperlink w:anchor="page72">
              <w:r>
                <w:rPr>
                  <w:rFonts w:ascii="Arial" w:cs="Arial" w:eastAsia="Arial" w:hAnsi="Arial"/>
                  <w:sz w:val="18"/>
                  <w:szCs w:val="18"/>
                  <w:b w:val="1"/>
                  <w:bCs w:val="1"/>
                  <w:color w:val="0000EE"/>
                  <w:w w:val="91"/>
                </w:rPr>
                <w:t>Item 3.</w:t>
              </w:r>
            </w:hyperlink>
          </w:p>
        </w:tc>
        <w:tc>
          <w:tcPr>
            <w:tcW w:w="380" w:type="dxa"/>
            <w:vAlign w:val="bottom"/>
          </w:tcPr>
          <w:p>
            <w:pPr>
              <w:spacing w:after="0"/>
              <w:rPr>
                <w:sz w:val="24"/>
                <w:szCs w:val="24"/>
                <w:color w:val="auto"/>
              </w:rPr>
            </w:pPr>
          </w:p>
        </w:tc>
        <w:tc>
          <w:tcPr>
            <w:tcW w:w="9280" w:type="dxa"/>
            <w:vAlign w:val="bottom"/>
            <w:gridSpan w:val="12"/>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72">
              <w:r>
                <w:rPr>
                  <w:rFonts w:ascii="Arial" w:cs="Arial" w:eastAsia="Arial" w:hAnsi="Arial"/>
                  <w:sz w:val="18"/>
                  <w:szCs w:val="18"/>
                  <w:b w:val="1"/>
                  <w:bCs w:val="1"/>
                  <w:color w:val="0000EE"/>
                  <w:w w:val="91"/>
                </w:rPr>
                <w:t>Item 4.</w:t>
              </w:r>
            </w:hyperlink>
          </w:p>
        </w:tc>
        <w:tc>
          <w:tcPr>
            <w:tcW w:w="38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72">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PART II -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b w:val="1"/>
                <w:bCs w:val="1"/>
                <w:color w:val="0000EE"/>
                <w:w w:val="91"/>
              </w:rPr>
            </w:pPr>
            <w:hyperlink w:anchor="page72">
              <w:r>
                <w:rPr>
                  <w:rFonts w:ascii="Arial" w:cs="Arial" w:eastAsia="Arial" w:hAnsi="Arial"/>
                  <w:sz w:val="18"/>
                  <w:szCs w:val="18"/>
                  <w:b w:val="1"/>
                  <w:bCs w:val="1"/>
                  <w:color w:val="0000EE"/>
                  <w:w w:val="91"/>
                </w:rPr>
                <w:t>Item 1.</w:t>
              </w:r>
            </w:hyperlink>
          </w:p>
        </w:tc>
        <w:tc>
          <w:tcPr>
            <w:tcW w:w="380" w:type="dxa"/>
            <w:vAlign w:val="bottom"/>
            <w:gridSpan w:val="2"/>
          </w:tcPr>
          <w:p>
            <w:pPr>
              <w:spacing w:after="0"/>
              <w:rPr>
                <w:sz w:val="18"/>
                <w:szCs w:val="18"/>
                <w:color w:val="auto"/>
              </w:rPr>
            </w:pPr>
          </w:p>
        </w:tc>
        <w:tc>
          <w:tcPr>
            <w:tcW w:w="7120" w:type="dxa"/>
            <w:vAlign w:val="bottom"/>
            <w:gridSpan w:val="8"/>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Legal Proceedings.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20" w:type="dxa"/>
            <w:vAlign w:val="bottom"/>
            <w:gridSpan w:val="3"/>
          </w:tcPr>
          <w:p>
            <w:pPr>
              <w:spacing w:after="0" w:line="19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Item 1A.</w:t>
              </w:r>
            </w:hyperlink>
          </w:p>
        </w:tc>
        <w:tc>
          <w:tcPr>
            <w:tcW w:w="7120" w:type="dxa"/>
            <w:vAlign w:val="bottom"/>
            <w:gridSpan w:val="8"/>
          </w:tcPr>
          <w:p>
            <w:pPr>
              <w:spacing w:after="0" w:line="19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Risk Factors.</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73">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20" w:type="dxa"/>
            <w:vAlign w:val="bottom"/>
            <w:gridSpan w:val="8"/>
          </w:tcPr>
          <w:p>
            <w:pPr>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Unregistered Sales of Equity Securities and Use of Proceeds.</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73">
              <w:r>
                <w:rPr>
                  <w:rFonts w:ascii="Arial" w:cs="Arial" w:eastAsia="Arial" w:hAnsi="Arial"/>
                  <w:sz w:val="18"/>
                  <w:szCs w:val="18"/>
                  <w:b w:val="1"/>
                  <w:bCs w:val="1"/>
                  <w:color w:val="0000EE"/>
                  <w:w w:val="91"/>
                </w:rPr>
                <w:t>Item 3.</w:t>
              </w:r>
            </w:hyperlink>
          </w:p>
        </w:tc>
        <w:tc>
          <w:tcPr>
            <w:tcW w:w="380" w:type="dxa"/>
            <w:vAlign w:val="bottom"/>
            <w:gridSpan w:val="2"/>
          </w:tcPr>
          <w:p>
            <w:pPr>
              <w:spacing w:after="0"/>
              <w:rPr>
                <w:sz w:val="17"/>
                <w:szCs w:val="17"/>
                <w:color w:val="auto"/>
              </w:rPr>
            </w:pPr>
          </w:p>
        </w:tc>
        <w:tc>
          <w:tcPr>
            <w:tcW w:w="460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Defaults Upon Senior Securities.</w:t>
              </w:r>
            </w:hyperlink>
          </w:p>
        </w:tc>
        <w:tc>
          <w:tcPr>
            <w:tcW w:w="2520" w:type="dxa"/>
            <w:vAlign w:val="bottom"/>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73">
              <w:r>
                <w:rPr>
                  <w:rFonts w:ascii="Arial" w:cs="Arial" w:eastAsia="Arial" w:hAnsi="Arial"/>
                  <w:sz w:val="18"/>
                  <w:szCs w:val="18"/>
                  <w:b w:val="1"/>
                  <w:bCs w:val="1"/>
                  <w:color w:val="0000EE"/>
                  <w:w w:val="91"/>
                </w:rPr>
                <w:t>Item 4.</w:t>
              </w:r>
            </w:hyperlink>
          </w:p>
        </w:tc>
        <w:tc>
          <w:tcPr>
            <w:tcW w:w="380" w:type="dxa"/>
            <w:vAlign w:val="bottom"/>
            <w:gridSpan w:val="2"/>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87"/>
              </w:rPr>
            </w:pPr>
            <w:hyperlink w:anchor="page73">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tcPr>
          <w:p>
            <w:pPr>
              <w:spacing w:after="0"/>
              <w:rPr>
                <w:sz w:val="17"/>
                <w:szCs w:val="17"/>
                <w:color w:val="auto"/>
              </w:rPr>
            </w:pPr>
          </w:p>
        </w:tc>
        <w:tc>
          <w:tcPr>
            <w:tcW w:w="4640" w:type="dxa"/>
            <w:vAlign w:val="bottom"/>
            <w:gridSpan w:val="2"/>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73">
              <w:r>
                <w:rPr>
                  <w:rFonts w:ascii="Arial" w:cs="Arial" w:eastAsia="Arial" w:hAnsi="Arial"/>
                  <w:sz w:val="18"/>
                  <w:szCs w:val="18"/>
                  <w:b w:val="1"/>
                  <w:bCs w:val="1"/>
                  <w:color w:val="0000EE"/>
                  <w:w w:val="91"/>
                </w:rPr>
                <w:t>Item 5.</w:t>
              </w:r>
            </w:hyperlink>
          </w:p>
        </w:tc>
        <w:tc>
          <w:tcPr>
            <w:tcW w:w="380" w:type="dxa"/>
            <w:vAlign w:val="bottom"/>
            <w:gridSpan w:val="2"/>
          </w:tcPr>
          <w:p>
            <w:pPr>
              <w:spacing w:after="0"/>
              <w:rPr>
                <w:sz w:val="17"/>
                <w:szCs w:val="17"/>
                <w:color w:val="auto"/>
              </w:rPr>
            </w:pPr>
          </w:p>
        </w:tc>
        <w:tc>
          <w:tcPr>
            <w:tcW w:w="7120" w:type="dxa"/>
            <w:vAlign w:val="bottom"/>
            <w:gridSpan w:val="8"/>
          </w:tcPr>
          <w:p>
            <w:pPr>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Other Information.</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74">
              <w:r>
                <w:rPr>
                  <w:rFonts w:ascii="Arial" w:cs="Arial" w:eastAsia="Arial" w:hAnsi="Arial"/>
                  <w:sz w:val="18"/>
                  <w:szCs w:val="18"/>
                  <w:b w:val="1"/>
                  <w:bCs w:val="1"/>
                  <w:color w:val="0000EE"/>
                  <w:w w:val="91"/>
                </w:rPr>
                <w:t>Item 6.</w:t>
              </w:r>
            </w:hyperlink>
          </w:p>
        </w:tc>
        <w:tc>
          <w:tcPr>
            <w:tcW w:w="380" w:type="dxa"/>
            <w:vAlign w:val="bottom"/>
            <w:gridSpan w:val="2"/>
          </w:tcPr>
          <w:p>
            <w:pPr>
              <w:spacing w:after="0"/>
              <w:rPr>
                <w:sz w:val="17"/>
                <w:szCs w:val="17"/>
                <w:color w:val="auto"/>
              </w:rPr>
            </w:pPr>
          </w:p>
        </w:tc>
        <w:tc>
          <w:tcPr>
            <w:tcW w:w="148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Exhibits.</w:t>
              </w:r>
            </w:hyperlink>
          </w:p>
        </w:tc>
        <w:tc>
          <w:tcPr>
            <w:tcW w:w="5640" w:type="dxa"/>
            <w:vAlign w:val="bottom"/>
            <w:gridSpan w:val="4"/>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669"/>
        </w:trPr>
        <w:tc>
          <w:tcPr>
            <w:tcW w:w="700" w:type="dxa"/>
            <w:vAlign w:val="bottom"/>
            <w:tcBorders>
              <w:bottom w:val="single" w:sz="8" w:color="DCDCDC"/>
            </w:tcBorders>
          </w:tcPr>
          <w:p>
            <w:pPr>
              <w:spacing w:after="0"/>
              <w:rPr>
                <w:sz w:val="24"/>
                <w:szCs w:val="24"/>
                <w:color w:val="auto"/>
              </w:rPr>
            </w:pPr>
          </w:p>
        </w:tc>
        <w:tc>
          <w:tcPr>
            <w:tcW w:w="540" w:type="dxa"/>
            <w:vAlign w:val="bottom"/>
            <w:tcBorders>
              <w:top w:val="single" w:sz="8" w:color="0000EE"/>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680" w:type="dxa"/>
            <w:vAlign w:val="bottom"/>
            <w:tcBorders>
              <w:top w:val="single" w:sz="8" w:color="0000EE"/>
              <w:bottom w:val="single" w:sz="8" w:color="DCDCDC"/>
            </w:tcBorders>
          </w:tcPr>
          <w:p>
            <w:pPr>
              <w:spacing w:after="0"/>
              <w:rPr>
                <w:sz w:val="24"/>
                <w:szCs w:val="24"/>
                <w:color w:val="auto"/>
              </w:rPr>
            </w:pPr>
          </w:p>
        </w:tc>
        <w:tc>
          <w:tcPr>
            <w:tcW w:w="3920" w:type="dxa"/>
            <w:vAlign w:val="bottom"/>
            <w:tcBorders>
              <w:bottom w:val="single" w:sz="8" w:color="DCDCDC"/>
            </w:tcBorders>
            <w:gridSpan w:val="6"/>
          </w:tcPr>
          <w:p>
            <w:pPr>
              <w:jc w:val="right"/>
              <w:ind w:right="460"/>
              <w:spacing w:after="0"/>
              <w:rPr>
                <w:sz w:val="20"/>
                <w:szCs w:val="20"/>
                <w:color w:val="auto"/>
              </w:rPr>
            </w:pPr>
            <w:r>
              <w:rPr>
                <w:rFonts w:ascii="Arial" w:cs="Arial" w:eastAsia="Arial" w:hAnsi="Arial"/>
                <w:sz w:val="18"/>
                <w:szCs w:val="18"/>
                <w:color w:val="auto"/>
              </w:rPr>
              <w:t>2</w:t>
            </w:r>
          </w:p>
        </w:tc>
        <w:tc>
          <w:tcPr>
            <w:tcW w:w="2520" w:type="dxa"/>
            <w:vAlign w:val="bottom"/>
            <w:tcBorders>
              <w:bottom w:val="single" w:sz="8" w:color="DCDCDC"/>
            </w:tcBorders>
          </w:tcPr>
          <w:p>
            <w:pPr>
              <w:spacing w:after="0"/>
              <w:rPr>
                <w:sz w:val="24"/>
                <w:szCs w:val="24"/>
                <w:color w:val="auto"/>
              </w:rPr>
            </w:pPr>
          </w:p>
        </w:tc>
        <w:tc>
          <w:tcPr>
            <w:tcW w:w="2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Interest revenue:</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44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Loans, including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57,174</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49,653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159,814</w:t>
            </w: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w w:val="99"/>
              </w:rPr>
              <w:t>Investment securities, including tax exempt of $177, $177, $516 and</w:t>
            </w:r>
          </w:p>
        </w:tc>
        <w:tc>
          <w:tcPr>
            <w:tcW w:w="2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12,801</w:t>
            </w:r>
          </w:p>
        </w:tc>
        <w:tc>
          <w:tcPr>
            <w:tcW w:w="8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12,346</w:t>
            </w: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36,896</w:t>
            </w:r>
          </w:p>
        </w:tc>
        <w:tc>
          <w:tcPr>
            <w:tcW w:w="60" w:type="dxa"/>
            <w:vAlign w:val="bottom"/>
            <w:shd w:val="clear" w:color="auto" w:fill="F0FFFF"/>
          </w:tcPr>
          <w:p>
            <w:pPr>
              <w:spacing w:after="0"/>
              <w:rPr>
                <w:sz w:val="20"/>
                <w:szCs w:val="20"/>
                <w:color w:val="auto"/>
              </w:rPr>
            </w:pPr>
          </w:p>
        </w:tc>
        <w:tc>
          <w:tcPr>
            <w:tcW w:w="46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36,118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Deposits in banks and short-term investments</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2,460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gridSpan w:val="2"/>
            <w:shd w:val="clear" w:color="auto" w:fill="F0FFFF"/>
          </w:tcPr>
          <w:p>
            <w:pPr>
              <w:ind w:left="480"/>
              <w:spacing w:after="0"/>
              <w:rPr>
                <w:sz w:val="20"/>
                <w:szCs w:val="20"/>
                <w:color w:val="auto"/>
              </w:rPr>
            </w:pPr>
            <w:r>
              <w:rPr>
                <w:rFonts w:ascii="Arial" w:cs="Arial" w:eastAsia="Arial" w:hAnsi="Arial"/>
                <w:sz w:val="18"/>
                <w:szCs w:val="18"/>
                <w:color w:val="auto"/>
              </w:rPr>
              <w:t>Total interest revenue</w:t>
            </w: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70,828</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44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62,933</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199,170</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460" w:type="dxa"/>
            <w:vAlign w:val="bottom"/>
            <w:tcBorders>
              <w:top w:val="single" w:sz="8" w:color="auto"/>
              <w:bottom w:val="single" w:sz="8" w:color="auto"/>
            </w:tcBorders>
            <w:shd w:val="clear" w:color="auto" w:fill="F0FFFF"/>
          </w:tcPr>
          <w:p>
            <w:pPr>
              <w:spacing w:after="0"/>
              <w:rPr>
                <w:sz w:val="19"/>
                <w:szCs w:val="19"/>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184,477</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NOW</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1,079</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2,460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Savings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Time</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2,834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F0FFFF"/>
            </w:tcBorders>
            <w:gridSpan w:val="2"/>
            <w:shd w:val="clear" w:color="auto" w:fill="F0FFFF"/>
          </w:tcPr>
          <w:p>
            <w:pPr>
              <w:ind w:left="480"/>
              <w:spacing w:after="0"/>
              <w:rPr>
                <w:sz w:val="20"/>
                <w:szCs w:val="20"/>
                <w:color w:val="auto"/>
              </w:rPr>
            </w:pPr>
            <w:r>
              <w:rPr>
                <w:rFonts w:ascii="Arial" w:cs="Arial" w:eastAsia="Arial" w:hAnsi="Arial"/>
                <w:sz w:val="18"/>
                <w:szCs w:val="18"/>
                <w:color w:val="auto"/>
              </w:rPr>
              <w:t>Total deposit interest expense</w:t>
            </w: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44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6,444</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Federal Home Loan Bank advances</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1,307</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7,481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gridSpan w:val="2"/>
            <w:shd w:val="clear" w:color="auto" w:fill="F0FFFF"/>
          </w:tcPr>
          <w:p>
            <w:pPr>
              <w:ind w:left="32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5,402</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44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6,371</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15,511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46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19,530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Net interest revenue</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65,426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56,562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183,659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164,947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gridSpan w:val="2"/>
          </w:tcPr>
          <w:p>
            <w:pPr>
              <w:ind w:left="320"/>
              <w:spacing w:after="0" w:line="203" w:lineRule="exact"/>
              <w:rPr>
                <w:sz w:val="20"/>
                <w:szCs w:val="20"/>
                <w:color w:val="auto"/>
              </w:rPr>
            </w:pPr>
            <w:r>
              <w:rPr>
                <w:rFonts w:ascii="Arial" w:cs="Arial" w:eastAsia="Arial" w:hAnsi="Arial"/>
                <w:sz w:val="18"/>
                <w:szCs w:val="18"/>
                <w:color w:val="auto"/>
              </w:rPr>
              <w:t>Net interest revenue after provision for credit losses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64,726</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54,562</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180,259</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158,247</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Service charges and fees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9,335</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8,202</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25,325</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 and other related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10,302</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Brokerage fees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3,983</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Gains from sales of SBA loans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4,281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Securities gains, net</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1,877</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Loss from prepayment of debt</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2,207</w:t>
            </w:r>
          </w:p>
        </w:tc>
        <w:tc>
          <w:tcPr>
            <w:tcW w:w="1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6,771</w:t>
            </w:r>
          </w:p>
        </w:tc>
        <w:tc>
          <w:tcPr>
            <w:tcW w:w="6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gridSpan w:val="2"/>
          </w:tcPr>
          <w:p>
            <w:pPr>
              <w:ind w:left="320"/>
              <w:spacing w:after="0" w:line="203" w:lineRule="exact"/>
              <w:rPr>
                <w:sz w:val="20"/>
                <w:szCs w:val="20"/>
                <w:color w:val="auto"/>
              </w:rPr>
            </w:pPr>
            <w:r>
              <w:rPr>
                <w:rFonts w:ascii="Arial" w:cs="Arial" w:eastAsia="Arial" w:hAnsi="Arial"/>
                <w:sz w:val="18"/>
                <w:szCs w:val="18"/>
                <w:color w:val="auto"/>
              </w:rPr>
              <w:t>Total fee revenue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18,297</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14,412</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51,245</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40,731</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83,023</w:t>
            </w:r>
          </w:p>
        </w:tc>
        <w:tc>
          <w:tcPr>
            <w:tcW w:w="1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44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68,974</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231,504</w:t>
            </w:r>
          </w:p>
        </w:tc>
        <w:tc>
          <w:tcPr>
            <w:tcW w:w="14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46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198,978</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Salaries and employee benefits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29,342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25,666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83,749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Communications and equipment</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3,963</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10,538</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10,706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Advertising and public relations</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2,689</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Postage, printing and supplies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2,980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2,668</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6,844</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3,643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Merger-related charges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5,744</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8,917</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15,684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gridSpan w:val="2"/>
            <w:shd w:val="clear" w:color="auto" w:fill="F0FF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54,269</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44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41,364</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145,750</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46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120,946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Net income before income taxes</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28,754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27,610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85,754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78,032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10,867</w:t>
            </w:r>
          </w:p>
        </w:tc>
        <w:tc>
          <w:tcPr>
            <w:tcW w:w="8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9,994</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32,384</w:t>
            </w:r>
          </w:p>
        </w:tc>
        <w:tc>
          <w:tcPr>
            <w:tcW w:w="6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F0FFFF"/>
            </w:tcBorders>
            <w:gridSpan w:val="2"/>
          </w:tcPr>
          <w:p>
            <w:pPr>
              <w:ind w:left="320"/>
              <w:spacing w:after="0" w:line="203" w:lineRule="exact"/>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17,887</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17,616</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53,370</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49,373</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Preferred stock dividends and discount accretion</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gridSpan w:val="2"/>
          </w:tcPr>
          <w:p>
            <w:pPr>
              <w:ind w:left="320"/>
              <w:spacing w:after="0"/>
              <w:rPr>
                <w:sz w:val="20"/>
                <w:szCs w:val="20"/>
                <w:color w:val="auto"/>
              </w:rPr>
            </w:pPr>
            <w:r>
              <w:rPr>
                <w:rFonts w:ascii="Arial" w:cs="Arial" w:eastAsia="Arial" w:hAnsi="Arial"/>
                <w:sz w:val="18"/>
                <w:szCs w:val="18"/>
                <w:b w:val="1"/>
                <w:bCs w:val="1"/>
                <w:color w:val="auto"/>
              </w:rPr>
              <w:t>Net income available to common shareholders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17,862</w:t>
            </w:r>
          </w:p>
        </w:tc>
        <w:tc>
          <w:tcPr>
            <w:tcW w:w="1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17,616</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53,328</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48,934</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w:t>
            </w:r>
          </w:p>
        </w:tc>
        <w:tc>
          <w:tcPr>
            <w:tcW w:w="38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.84</w:t>
            </w:r>
          </w:p>
        </w:tc>
        <w:tc>
          <w:tcPr>
            <w:tcW w:w="520" w:type="dxa"/>
            <w:vAlign w:val="bottom"/>
            <w:gridSpan w:val="2"/>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66,294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60,776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63,297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66,300</w:t>
            </w:r>
          </w:p>
        </w:tc>
        <w:tc>
          <w:tcPr>
            <w:tcW w:w="8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60,779</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63,302</w:t>
            </w: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60,513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40" w:type="dxa"/>
            <w:vAlign w:val="bottom"/>
            <w:tcBorders>
              <w:top w:val="single" w:sz="8" w:color="auto"/>
            </w:tcBorders>
            <w:gridSpan w:val="10"/>
          </w:tcPr>
          <w:p>
            <w:pPr>
              <w:jc w:val="center"/>
              <w:ind w:right="140"/>
              <w:spacing w:after="0"/>
              <w:rPr>
                <w:sz w:val="20"/>
                <w:szCs w:val="20"/>
                <w:color w:val="auto"/>
              </w:rPr>
            </w:pPr>
            <w:r>
              <w:rPr>
                <w:rFonts w:ascii="Arial" w:cs="Arial" w:eastAsia="Arial" w:hAnsi="Arial"/>
                <w:sz w:val="18"/>
                <w:szCs w:val="18"/>
                <w:b w:val="1"/>
                <w:bCs w:val="1"/>
                <w:color w:val="auto"/>
                <w:w w:val="90"/>
              </w:rPr>
              <w:t>Three Months Ended September 30,</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80" w:type="dxa"/>
            <w:vAlign w:val="bottom"/>
            <w:tcBorders>
              <w:top w:val="single" w:sz="8" w:color="auto"/>
            </w:tcBorders>
            <w:gridSpan w:val="11"/>
          </w:tcPr>
          <w:p>
            <w:pPr>
              <w:jc w:val="center"/>
              <w:ind w:right="20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Tax</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Tax</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Before-tax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Net of Tax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Before-tax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Net of Tax</w:t>
            </w: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Benefit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28,754</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(10,867)</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17,887</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85,754</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(32,384)</w:t>
            </w:r>
          </w:p>
        </w:tc>
        <w:tc>
          <w:tcPr>
            <w:tcW w:w="100" w:type="dxa"/>
            <w:vAlign w:val="bottom"/>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53,370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5"/>
              </w:rPr>
              <w:t>Unrealized gains on available-for-sale securities: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w w:val="96"/>
              </w:rPr>
              <w:t>Unrealized holding gains arising during period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F0FFFF"/>
          </w:tcPr>
          <w:p>
            <w:pPr>
              <w:ind w:left="320"/>
              <w:spacing w:after="0" w:line="201" w:lineRule="exact"/>
              <w:rPr>
                <w:sz w:val="20"/>
                <w:szCs w:val="20"/>
                <w:color w:val="auto"/>
              </w:rPr>
            </w:pPr>
            <w:r>
              <w:rPr>
                <w:rFonts w:ascii="Arial" w:cs="Arial" w:eastAsia="Arial" w:hAnsi="Arial"/>
                <w:sz w:val="18"/>
                <w:szCs w:val="18"/>
                <w:color w:val="auto"/>
                <w:w w:val="92"/>
              </w:rPr>
              <w:t>Reclassification adjustment for gains included in</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shd w:val="clear" w:color="auto" w:fill="F0FFFF"/>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(1,877)</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724</w:t>
            </w: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10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Net unrealized gains</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1,988</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(749)</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1,239</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3,549</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(1,419)</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2,130</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w w:val="96"/>
              </w:rPr>
              <w:t>Amortization of losses included in net income on</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w w:val="94"/>
              </w:rPr>
              <w:t>available- for-sale securities transferred to held-</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to-maturity</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Net amortization</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269</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170</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1,041</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(387)</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w w:val="96"/>
              </w:rPr>
              <w:t>Amortization of losses included in net income on</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w w:val="96"/>
              </w:rPr>
              <w:t>terminated derivative financial instruments that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were previously accounted for as cash flow</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hedges</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(556)</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874</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160"/>
              <w:spacing w:after="0" w:line="201" w:lineRule="exact"/>
              <w:rPr>
                <w:sz w:val="20"/>
                <w:szCs w:val="20"/>
                <w:color w:val="auto"/>
              </w:rPr>
            </w:pPr>
            <w:r>
              <w:rPr>
                <w:rFonts w:ascii="Arial" w:cs="Arial" w:eastAsia="Arial" w:hAnsi="Arial"/>
                <w:sz w:val="18"/>
                <w:szCs w:val="18"/>
                <w:color w:val="auto"/>
              </w:rPr>
              <w:t>Unrealized losses on derivative financial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w w:val="95"/>
              </w:rPr>
              <w:t>instruments accounted for as cash flow hedges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Net cash flow hedge activity</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586</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prior service cost and actuarial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w w:val="96"/>
              </w:rPr>
              <w:t>losses included in net periodic pension cost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rPr>
              <w:t>defined benefit pension plan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Net defined benefit pension plan activity</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F0FFFF"/>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F0FFFF"/>
            </w:tcBorders>
          </w:tcPr>
          <w:p>
            <w:pPr>
              <w:ind w:left="480"/>
              <w:spacing w:after="0" w:line="203" w:lineRule="exact"/>
              <w:rPr>
                <w:sz w:val="20"/>
                <w:szCs w:val="20"/>
                <w:color w:val="auto"/>
              </w:rPr>
            </w:pPr>
            <w:r>
              <w:rPr>
                <w:rFonts w:ascii="Arial" w:cs="Arial" w:eastAsia="Arial" w:hAnsi="Arial"/>
                <w:sz w:val="18"/>
                <w:szCs w:val="18"/>
                <w:color w:val="auto"/>
              </w:rPr>
              <w:t>Total other comprehensive income</w:t>
            </w:r>
          </w:p>
        </w:tc>
        <w:tc>
          <w:tcPr>
            <w:tcW w:w="12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2,966</w:t>
            </w:r>
          </w:p>
        </w:tc>
        <w:tc>
          <w:tcPr>
            <w:tcW w:w="16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(1,124</w:t>
            </w:r>
          </w:p>
        </w:tc>
        <w:tc>
          <w:tcPr>
            <w:tcW w:w="160" w:type="dxa"/>
            <w:vAlign w:val="bottom"/>
            <w:tcBorders>
              <w:bottom w:val="single" w:sz="8" w:color="F0FF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1,842</w:t>
            </w:r>
          </w:p>
        </w:tc>
        <w:tc>
          <w:tcPr>
            <w:tcW w:w="14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6,027</w:t>
            </w:r>
          </w:p>
        </w:tc>
        <w:tc>
          <w:tcPr>
            <w:tcW w:w="14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(2,365</w:t>
            </w:r>
          </w:p>
        </w:tc>
        <w:tc>
          <w:tcPr>
            <w:tcW w:w="220" w:type="dxa"/>
            <w:vAlign w:val="bottom"/>
            <w:tcBorders>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F0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3,662</w:t>
            </w:r>
          </w:p>
        </w:tc>
        <w:tc>
          <w:tcPr>
            <w:tcW w:w="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880" w:type="dxa"/>
            <w:vAlign w:val="bottom"/>
            <w:tcBorders>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31,720</w:t>
            </w:r>
          </w:p>
        </w:tc>
        <w:tc>
          <w:tcPr>
            <w:tcW w:w="16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(11,991</w:t>
            </w:r>
          </w:p>
        </w:tc>
        <w:tc>
          <w:tcPr>
            <w:tcW w:w="16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19,729</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91,781</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(34,749</w:t>
            </w:r>
          </w:p>
        </w:tc>
        <w:tc>
          <w:tcPr>
            <w:tcW w:w="220" w:type="dxa"/>
            <w:vAlign w:val="bottom"/>
            <w:tcBorders>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57,032</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9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27,610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(9,994)</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17,616</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78,032</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(28,659)</w:t>
            </w:r>
          </w:p>
        </w:tc>
        <w:tc>
          <w:tcPr>
            <w:tcW w:w="100" w:type="dxa"/>
            <w:vAlign w:val="bottom"/>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49,373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5"/>
              </w:rPr>
              <w:t>Unrealized gains on available-for-sale securities: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320"/>
              <w:spacing w:after="0" w:line="201" w:lineRule="exact"/>
              <w:rPr>
                <w:sz w:val="20"/>
                <w:szCs w:val="20"/>
                <w:color w:val="auto"/>
              </w:rPr>
            </w:pPr>
            <w:r>
              <w:rPr>
                <w:rFonts w:ascii="Arial" w:cs="Arial" w:eastAsia="Arial" w:hAnsi="Arial"/>
                <w:sz w:val="18"/>
                <w:szCs w:val="18"/>
                <w:color w:val="auto"/>
                <w:w w:val="93"/>
              </w:rPr>
              <w:t>Unrealized holding gains (losses) arising during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F0FFFF"/>
          </w:tcPr>
          <w:p>
            <w:pPr>
              <w:ind w:left="320"/>
              <w:spacing w:after="0" w:line="201" w:lineRule="exact"/>
              <w:rPr>
                <w:sz w:val="20"/>
                <w:szCs w:val="20"/>
                <w:color w:val="auto"/>
              </w:rPr>
            </w:pPr>
            <w:r>
              <w:rPr>
                <w:rFonts w:ascii="Arial" w:cs="Arial" w:eastAsia="Arial" w:hAnsi="Arial"/>
                <w:sz w:val="18"/>
                <w:szCs w:val="18"/>
                <w:color w:val="auto"/>
                <w:w w:val="92"/>
              </w:rPr>
              <w:t>Reclassification adjustment for gains included in</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shd w:val="clear" w:color="auto" w:fill="F0FFFF"/>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(4,663)</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1,821</w:t>
            </w: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10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Net unrealized gains (losses)</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(4,368)</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1,630</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(2,738)</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6,033</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(2,210)</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3,823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w w:val="96"/>
              </w:rPr>
              <w:t>Amortization of losses included in net income on</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w w:val="94"/>
              </w:rPr>
              <w:t>available- for-sale securities transferred to held-</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to-maturity</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(453)</w:t>
            </w: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754</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Net amortization</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468</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w:t>
            </w: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292</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1,207</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(453)</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754</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w w:val="96"/>
              </w:rPr>
              <w:t>Amortization of losses included in net income on</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w w:val="96"/>
              </w:rPr>
              <w:t>terminated derivative financial instruments that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were previously accounted for as cash flow</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hedges</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(538)</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160"/>
              <w:spacing w:after="0" w:line="201" w:lineRule="exact"/>
              <w:rPr>
                <w:sz w:val="20"/>
                <w:szCs w:val="20"/>
                <w:color w:val="auto"/>
              </w:rPr>
            </w:pPr>
            <w:r>
              <w:rPr>
                <w:rFonts w:ascii="Arial" w:cs="Arial" w:eastAsia="Arial" w:hAnsi="Arial"/>
                <w:sz w:val="18"/>
                <w:szCs w:val="18"/>
                <w:color w:val="auto"/>
                <w:w w:val="97"/>
              </w:rPr>
              <w:t>Unrealized gains (losses) on derivative financial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Arial" w:cs="Arial" w:eastAsia="Arial" w:hAnsi="Arial"/>
                <w:sz w:val="18"/>
                <w:szCs w:val="18"/>
                <w:color w:val="auto"/>
                <w:w w:val="95"/>
              </w:rPr>
              <w:t>instruments accounted for as cash flow hedges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Net cash flow hedge activity</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1,123</w:t>
            </w: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(4,586)</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1,784</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top w:val="single" w:sz="8" w:color="F0FFFF"/>
            </w:tcBorders>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3"/>
              </w:rPr>
              <w:t>Net actuarial gain on defined benefit pension plan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rPr>
              <w:t>Amortization of prior service cost and actuarial</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w w:val="96"/>
              </w:rPr>
              <w:t>losses included in net periodic pension cost for</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shd w:val="clear" w:color="auto" w:fill="F0FFFF"/>
          </w:tcPr>
          <w:p>
            <w:pPr>
              <w:ind w:left="280"/>
              <w:spacing w:after="0"/>
              <w:rPr>
                <w:sz w:val="20"/>
                <w:szCs w:val="20"/>
                <w:color w:val="auto"/>
              </w:rPr>
            </w:pPr>
            <w:r>
              <w:rPr>
                <w:rFonts w:ascii="Arial" w:cs="Arial" w:eastAsia="Arial" w:hAnsi="Arial"/>
                <w:sz w:val="18"/>
                <w:szCs w:val="18"/>
                <w:color w:val="auto"/>
              </w:rPr>
              <w:t>defined benefit pension plan</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Net defined benefit pension plan activity</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w:t>
            </w:r>
          </w:p>
        </w:tc>
        <w:tc>
          <w:tcPr>
            <w:tcW w:w="16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w:t>
            </w:r>
          </w:p>
        </w:tc>
        <w:tc>
          <w:tcPr>
            <w:tcW w:w="160" w:type="dxa"/>
            <w:vAlign w:val="bottom"/>
            <w:tcBorders>
              <w:top w:val="single" w:sz="8" w:color="F0FFFF"/>
              <w:bottom w:val="single" w:sz="8" w:color="F0FF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570</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348</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tcBorders>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(2,686</w:t>
            </w:r>
          </w:p>
        </w:tc>
        <w:tc>
          <w:tcPr>
            <w:tcW w:w="16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3,224</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Borders>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2,123</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99"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93,975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77,180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112,964</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89,074</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117,399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26,401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23,397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206,939</w:t>
            </w: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192,655</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216,064</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2,099,868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1,782,734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1,789,667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Securities held to maturity (fair value $368,096, $425,233 and $440,311)</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357,549</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415,267</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432,418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23,088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13,737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 of unearned income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6,023,585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4,672,119</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4,568,886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(69,062)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(71,619)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5,954,523</w:t>
            </w: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4,600,500</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4,496,958</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192,992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159,390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160,454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Bank owned life insurance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105,368</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81,294</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81,101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24,563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20,103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deferred tax asset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197,116</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215,503</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224,734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19,906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20,599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141,415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3,641</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3,910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90,669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61,563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58,450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jc w:val="right"/>
              <w:ind w:right="1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9,413,996</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7,566,986</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7,525,889</w:t>
            </w: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98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16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980" w:type="dxa"/>
            <w:vAlign w:val="bottom"/>
            <w:shd w:val="clear" w:color="auto" w:fill="F0FFFF"/>
          </w:tcPr>
          <w:p>
            <w:pPr>
              <w:spacing w:after="0" w:line="20" w:lineRule="exact"/>
              <w:rPr>
                <w:sz w:val="1"/>
                <w:szCs w:val="1"/>
                <w:color w:val="auto"/>
              </w:rPr>
            </w:pPr>
          </w:p>
        </w:tc>
        <w:tc>
          <w:tcPr>
            <w:tcW w:w="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Demand</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2,174,799</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1,574,317</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1,561,020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1,754,614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1,504,887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1,399,449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1,651,592</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1,273,283</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1,281,526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459,323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292,308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287,797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Less than $100,000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865,369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748,478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774,201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480"/>
              <w:spacing w:after="0"/>
              <w:rPr>
                <w:sz w:val="20"/>
                <w:szCs w:val="20"/>
                <w:color w:val="auto"/>
              </w:rPr>
            </w:pPr>
            <w:r>
              <w:rPr>
                <w:rFonts w:ascii="Arial" w:cs="Arial" w:eastAsia="Arial" w:hAnsi="Arial"/>
                <w:sz w:val="18"/>
                <w:szCs w:val="18"/>
                <w:color w:val="auto"/>
              </w:rPr>
              <w:t>Greater than $100,000</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482,567</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508,228</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531,428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516,748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425,011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405,308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F0FFFF"/>
            </w:tcBorders>
            <w:shd w:val="clear" w:color="auto" w:fill="F0FFFF"/>
          </w:tcPr>
          <w:p>
            <w:pPr>
              <w:ind w:left="640"/>
              <w:spacing w:after="0"/>
              <w:rPr>
                <w:sz w:val="20"/>
                <w:szCs w:val="20"/>
                <w:color w:val="auto"/>
              </w:rPr>
            </w:pPr>
            <w:r>
              <w:rPr>
                <w:rFonts w:ascii="Arial" w:cs="Arial" w:eastAsia="Arial" w:hAnsi="Arial"/>
                <w:sz w:val="18"/>
                <w:szCs w:val="18"/>
                <w:color w:val="auto"/>
              </w:rPr>
              <w:t>Total deposits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7,905,012</w:t>
            </w: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6,326,512</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6,240,729</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18,839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200,125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270,125</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330,125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165,620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129,865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27,401</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31,997</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36,171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5,425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83,862</w:t>
            </w:r>
          </w:p>
        </w:tc>
        <w:tc>
          <w:tcPr>
            <w:tcW w:w="10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57,485</w:t>
            </w:r>
          </w:p>
        </w:tc>
        <w:tc>
          <w:tcPr>
            <w:tcW w:w="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46,573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8,400,859</w:t>
            </w: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6,827,409</w:t>
            </w:r>
          </w:p>
        </w:tc>
        <w:tc>
          <w:tcPr>
            <w:tcW w:w="20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6,789,464</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$1 par value; 10,000,000 shares authorized;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Series H; $1,000 stated value; 9,992, 0, and 0 shares issued and outstanding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rPr>
              <w:t>Common stock, $1 par value; 100,000,000 shares authorized;</w:t>
            </w:r>
          </w:p>
        </w:tc>
        <w:tc>
          <w:tcPr>
            <w:tcW w:w="1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F0FFFF"/>
          </w:tcPr>
          <w:p>
            <w:pPr>
              <w:ind w:left="280"/>
              <w:spacing w:after="0"/>
              <w:rPr>
                <w:sz w:val="20"/>
                <w:szCs w:val="20"/>
                <w:color w:val="auto"/>
              </w:rPr>
            </w:pPr>
            <w:r>
              <w:rPr>
                <w:rFonts w:ascii="Arial" w:cs="Arial" w:eastAsia="Arial" w:hAnsi="Arial"/>
                <w:sz w:val="18"/>
                <w:szCs w:val="18"/>
                <w:color w:val="auto"/>
              </w:rPr>
              <w:t>63,186,437, 50,178,605 and 50,167,191 shares issued and outstanding</w:t>
            </w: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63,186</w:t>
            </w:r>
          </w:p>
        </w:tc>
        <w:tc>
          <w:tcPr>
            <w:tcW w:w="10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50,178</w:t>
            </w:r>
          </w:p>
        </w:tc>
        <w:tc>
          <w:tcPr>
            <w:tcW w:w="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50,167</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60"/>
              <w:spacing w:after="0" w:line="201" w:lineRule="exact"/>
              <w:rPr>
                <w:sz w:val="20"/>
                <w:szCs w:val="20"/>
                <w:color w:val="auto"/>
              </w:rPr>
            </w:pPr>
            <w:r>
              <w:rPr>
                <w:rFonts w:ascii="Arial" w:cs="Arial" w:eastAsia="Arial" w:hAnsi="Arial"/>
                <w:sz w:val="18"/>
                <w:szCs w:val="18"/>
                <w:color w:val="auto"/>
              </w:rPr>
              <w:t>Common stock, non-voting, $1 par value; 26,000,000 shares authorized;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280"/>
              <w:spacing w:after="0"/>
              <w:rPr>
                <w:sz w:val="20"/>
                <w:szCs w:val="20"/>
                <w:color w:val="auto"/>
              </w:rPr>
            </w:pPr>
            <w:r>
              <w:rPr>
                <w:rFonts w:ascii="Arial" w:cs="Arial" w:eastAsia="Arial" w:hAnsi="Arial"/>
                <w:sz w:val="18"/>
                <w:szCs w:val="18"/>
                <w:color w:val="auto"/>
              </w:rPr>
              <w:t>8,285,516, 10,080,787 and 10,080,787 shares issued and outstanding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8,286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10,081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stock issuable; 454,870, 357,983 and 354,961 shares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5,168</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5,116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1,284,877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1,080,508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1,091,555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(344,746)</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(387,568)</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(402,773)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(15,128)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(18,790)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(17,721)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1,013,137</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739,577</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736,425</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7,566,986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7,525,889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Non-Voting</w:t>
            </w:r>
          </w:p>
        </w:tc>
        <w:tc>
          <w:tcPr>
            <w:tcW w:w="8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148"/>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00" w:type="dxa"/>
            <w:vAlign w:val="bottom"/>
            <w:gridSpan w:val="3"/>
          </w:tcPr>
          <w:p>
            <w:pPr>
              <w:spacing w:after="0" w:line="139" w:lineRule="exact"/>
              <w:rPr>
                <w:sz w:val="20"/>
                <w:szCs w:val="20"/>
                <w:color w:val="auto"/>
              </w:rPr>
            </w:pPr>
            <w:r>
              <w:rPr>
                <w:rFonts w:ascii="Arial" w:cs="Arial" w:eastAsia="Arial" w:hAnsi="Arial"/>
                <w:sz w:val="14"/>
                <w:szCs w:val="14"/>
                <w:i w:val="1"/>
                <w:iCs w:val="1"/>
                <w:color w:val="auto"/>
              </w:rPr>
              <w:t>(in thousands, except share</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line="139" w:lineRule="exact"/>
              <w:rPr>
                <w:sz w:val="20"/>
                <w:szCs w:val="20"/>
                <w:color w:val="auto"/>
              </w:rPr>
            </w:pPr>
            <w:r>
              <w:rPr>
                <w:rFonts w:ascii="Arial" w:cs="Arial" w:eastAsia="Arial" w:hAnsi="Arial"/>
                <w:sz w:val="14"/>
                <w:szCs w:val="14"/>
                <w:b w:val="1"/>
                <w:bCs w:val="1"/>
                <w:color w:val="auto"/>
                <w:w w:val="95"/>
              </w:rPr>
              <w:t>Series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39" w:lineRule="exact"/>
              <w:rPr>
                <w:sz w:val="20"/>
                <w:szCs w:val="20"/>
                <w:color w:val="auto"/>
              </w:rPr>
            </w:pPr>
            <w:r>
              <w:rPr>
                <w:rFonts w:ascii="Arial" w:cs="Arial" w:eastAsia="Arial" w:hAnsi="Arial"/>
                <w:sz w:val="14"/>
                <w:szCs w:val="14"/>
                <w:b w:val="1"/>
                <w:bCs w:val="1"/>
                <w:color w:val="auto"/>
                <w:w w:val="90"/>
              </w:rPr>
              <w:t>Series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0"/>
              </w:rPr>
              <w:t>Series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line="139" w:lineRule="exact"/>
              <w:rPr>
                <w:sz w:val="20"/>
                <w:szCs w:val="20"/>
                <w:color w:val="auto"/>
              </w:rPr>
            </w:pPr>
            <w:r>
              <w:rPr>
                <w:rFonts w:ascii="Arial" w:cs="Arial" w:eastAsia="Arial" w:hAnsi="Arial"/>
                <w:sz w:val="14"/>
                <w:szCs w:val="14"/>
                <w:b w:val="1"/>
                <w:bCs w:val="1"/>
                <w:color w:val="auto"/>
              </w:rPr>
              <w:t>Common</w:t>
            </w:r>
          </w:p>
        </w:tc>
        <w:tc>
          <w:tcPr>
            <w:tcW w:w="92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39" w:lineRule="exact"/>
              <w:rPr>
                <w:sz w:val="20"/>
                <w:szCs w:val="20"/>
                <w:color w:val="auto"/>
              </w:rPr>
            </w:pPr>
            <w:r>
              <w:rPr>
                <w:rFonts w:ascii="Arial" w:cs="Arial" w:eastAsia="Arial" w:hAnsi="Arial"/>
                <w:sz w:val="14"/>
                <w:szCs w:val="14"/>
                <w:b w:val="1"/>
                <w:bCs w:val="1"/>
                <w:color w:val="auto"/>
              </w:rPr>
              <w:t>Capital</w:t>
            </w:r>
          </w:p>
        </w:tc>
        <w:tc>
          <w:tcPr>
            <w:tcW w:w="9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Accumulated</w:t>
            </w:r>
          </w:p>
        </w:tc>
        <w:tc>
          <w:tcPr>
            <w:tcW w:w="1240" w:type="dxa"/>
            <w:vAlign w:val="bottom"/>
            <w:gridSpan w:val="4"/>
          </w:tcPr>
          <w:p>
            <w:pPr>
              <w:ind w:left="80"/>
              <w:spacing w:after="0" w:line="13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00" w:type="dxa"/>
            <w:vAlign w:val="bottom"/>
            <w:gridSpan w:val="3"/>
          </w:tcPr>
          <w:p>
            <w:pPr>
              <w:spacing w:after="0"/>
              <w:rPr>
                <w:sz w:val="20"/>
                <w:szCs w:val="20"/>
                <w:color w:val="auto"/>
              </w:rPr>
            </w:pPr>
            <w:r>
              <w:rPr>
                <w:rFonts w:ascii="Arial" w:cs="Arial" w:eastAsia="Arial" w:hAnsi="Arial"/>
                <w:sz w:val="14"/>
                <w:szCs w:val="14"/>
                <w:i w:val="1"/>
                <w:iCs w:val="1"/>
                <w:color w:val="auto"/>
              </w:rPr>
              <w:t>and per share data)</w:t>
            </w:r>
          </w:p>
        </w:tc>
        <w:tc>
          <w:tcPr>
            <w:tcW w:w="120" w:type="dxa"/>
            <w:vAlign w:val="bottom"/>
          </w:tcPr>
          <w:p>
            <w:pPr>
              <w:spacing w:after="0"/>
              <w:rPr>
                <w:sz w:val="15"/>
                <w:szCs w:val="15"/>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H</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Issuable</w:t>
            </w:r>
          </w:p>
        </w:tc>
        <w:tc>
          <w:tcPr>
            <w:tcW w:w="10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Surplus</w:t>
            </w:r>
          </w:p>
        </w:tc>
        <w:tc>
          <w:tcPr>
            <w:tcW w:w="140" w:type="dxa"/>
            <w:vAlign w:val="bottom"/>
          </w:tcPr>
          <w:p>
            <w:pPr>
              <w:spacing w:after="0"/>
              <w:rPr>
                <w:sz w:val="15"/>
                <w:szCs w:val="15"/>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1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Balance, December 31, 2013</w:t>
            </w:r>
          </w:p>
        </w:tc>
        <w:tc>
          <w:tcPr>
            <w:tcW w:w="1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105,000</w:t>
            </w:r>
          </w:p>
        </w:tc>
        <w:tc>
          <w:tcPr>
            <w:tcW w:w="2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16,613</w:t>
            </w:r>
          </w:p>
        </w:tc>
        <w:tc>
          <w:tcPr>
            <w:tcW w:w="2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46,243</w:t>
            </w:r>
          </w:p>
        </w:tc>
        <w:tc>
          <w:tcPr>
            <w:tcW w:w="1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13,188</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3,930</w:t>
            </w:r>
          </w:p>
        </w:tc>
        <w:tc>
          <w:tcPr>
            <w:tcW w:w="7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$ 1,078,676</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8"/>
              <w:spacing w:after="0" w:line="149" w:lineRule="exact"/>
              <w:rPr>
                <w:sz w:val="20"/>
                <w:szCs w:val="20"/>
                <w:color w:val="auto"/>
              </w:rPr>
            </w:pPr>
            <w:r>
              <w:rPr>
                <w:rFonts w:ascii="Arial" w:cs="Arial" w:eastAsia="Arial" w:hAnsi="Arial"/>
                <w:sz w:val="14"/>
                <w:szCs w:val="14"/>
                <w:color w:val="auto"/>
              </w:rPr>
              <w:t>(448,091)</w:t>
            </w:r>
          </w:p>
        </w:tc>
        <w:tc>
          <w:tcPr>
            <w:tcW w:w="26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(19,844)</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795,715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49,373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2,123</w:t>
            </w: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2,123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Redemption of Series B preferred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stock (105,000 shares)</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Redemption of Series D preferred</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stock (16,613 shares)</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(16,613)</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(16,613)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Common stock issued at market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(640,000 shares)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11,566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12,206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Common stock issued to dividend</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ind w:left="120"/>
              <w:spacing w:after="0" w:line="149" w:lineRule="exact"/>
              <w:rPr>
                <w:sz w:val="20"/>
                <w:szCs w:val="20"/>
                <w:color w:val="auto"/>
              </w:rPr>
            </w:pPr>
            <w:r>
              <w:rPr>
                <w:rFonts w:ascii="Arial" w:cs="Arial" w:eastAsia="Arial" w:hAnsi="Arial"/>
                <w:sz w:val="14"/>
                <w:szCs w:val="14"/>
                <w:color w:val="auto"/>
              </w:rPr>
              <w:t>reinvestment plan and employee</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benefit plans (25,284 shares)</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w:t>
            </w: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399</w:t>
            </w: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Conversion of non-voting common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w w:val="96"/>
              </w:rPr>
              <w:t>stock to voting (3,107,419 shares)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3,107</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(3,107)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Amortization of stock option and</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restricted stock awards</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3,315</w:t>
            </w: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3,315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Vesting of restricted stock, net 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shares surrendered to cover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payroll taxes (137,920 shares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w w:val="99"/>
              </w:rPr>
              <w:t>issued, 115,609 shares deferred)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1,275</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(2,658)</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Deferred compensation plan, net,</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including dividend equivalents</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Shares issued from deferred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compensation plan (13,223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(271)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w w:val="99"/>
              </w:rPr>
              <w:t>Common stock dividends ($.06 per</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share)</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8"/>
              <w:spacing w:after="0"/>
              <w:rPr>
                <w:sz w:val="20"/>
                <w:szCs w:val="20"/>
                <w:color w:val="auto"/>
              </w:rPr>
            </w:pPr>
            <w:r>
              <w:rPr>
                <w:rFonts w:ascii="Arial" w:cs="Arial" w:eastAsia="Arial" w:hAnsi="Arial"/>
                <w:sz w:val="14"/>
                <w:szCs w:val="14"/>
                <w:color w:val="auto"/>
              </w:rPr>
              <w:t>(3,616)</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dividends: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Series B</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8"/>
              <w:spacing w:after="0" w:line="149" w:lineRule="exact"/>
              <w:rPr>
                <w:sz w:val="20"/>
                <w:szCs w:val="20"/>
                <w:color w:val="auto"/>
              </w:rPr>
            </w:pPr>
            <w:r>
              <w:rPr>
                <w:rFonts w:ascii="Arial" w:cs="Arial" w:eastAsia="Arial" w:hAnsi="Arial"/>
                <w:sz w:val="14"/>
                <w:szCs w:val="14"/>
                <w:color w:val="auto"/>
              </w:rPr>
              <w:t>(159)</w:t>
            </w: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color w:val="auto"/>
              </w:rPr>
              <w:t>Series 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18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4"/>
                <w:szCs w:val="14"/>
                <w:b w:val="1"/>
                <w:bCs w:val="1"/>
                <w:color w:val="auto"/>
              </w:rPr>
              <w:t>Balance, September 30, 2014</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50,167</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10,081</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5,116</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89"/>
              </w:rPr>
              <w:t>$ 1,091,555</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(402,773</w:t>
            </w:r>
          </w:p>
        </w:tc>
        <w:tc>
          <w:tcPr>
            <w:tcW w:w="140" w:type="dxa"/>
            <w:vAlign w:val="bottom"/>
            <w:tcBorders>
              <w:top w:val="single" w:sz="8" w:color="F0FFFF"/>
              <w:bottom w:val="single" w:sz="8" w:color="F0FFFF"/>
            </w:tcBorders>
            <w:shd w:val="clear" w:color="auto" w:fill="F0FF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(17,721</w:t>
            </w:r>
          </w:p>
        </w:tc>
        <w:tc>
          <w:tcPr>
            <w:tcW w:w="220" w:type="dxa"/>
            <w:vAlign w:val="bottom"/>
            <w:tcBorders>
              <w:top w:val="single" w:sz="8" w:color="F0FFFF"/>
              <w:bottom w:val="single" w:sz="8" w:color="F0FFFF"/>
            </w:tcBorders>
            <w:shd w:val="clear" w:color="auto" w:fill="F0FFFF"/>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736,425</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Balance, December 31, 2014</w:t>
            </w:r>
          </w:p>
        </w:tc>
        <w:tc>
          <w:tcPr>
            <w:tcW w:w="1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2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50,178</w:t>
            </w:r>
          </w:p>
        </w:tc>
        <w:tc>
          <w:tcPr>
            <w:tcW w:w="1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10,081</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5,168</w:t>
            </w:r>
          </w:p>
        </w:tc>
        <w:tc>
          <w:tcPr>
            <w:tcW w:w="7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$ 1,080,508</w:t>
            </w: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8"/>
              <w:spacing w:after="0" w:line="149" w:lineRule="exact"/>
              <w:rPr>
                <w:sz w:val="20"/>
                <w:szCs w:val="20"/>
                <w:color w:val="auto"/>
              </w:rPr>
            </w:pPr>
            <w:r>
              <w:rPr>
                <w:rFonts w:ascii="Arial" w:cs="Arial" w:eastAsia="Arial" w:hAnsi="Arial"/>
                <w:sz w:val="14"/>
                <w:szCs w:val="14"/>
                <w:color w:val="auto"/>
              </w:rPr>
              <w:t>(387,568)</w:t>
            </w:r>
          </w:p>
        </w:tc>
        <w:tc>
          <w:tcPr>
            <w:tcW w:w="26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(18,790)</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739,577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53,370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3,662</w:t>
            </w:r>
          </w:p>
        </w:tc>
        <w:tc>
          <w:tcPr>
            <w:tcW w:w="10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3,662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Common stock issued to dividend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reinvestment plan and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employee benefit plans (11,761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Conversion of non-voting common</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ind w:left="120"/>
              <w:spacing w:after="0" w:line="149" w:lineRule="exact"/>
              <w:rPr>
                <w:sz w:val="20"/>
                <w:szCs w:val="20"/>
                <w:color w:val="auto"/>
              </w:rPr>
            </w:pPr>
            <w:r>
              <w:rPr>
                <w:rFonts w:ascii="Arial" w:cs="Arial" w:eastAsia="Arial" w:hAnsi="Arial"/>
                <w:sz w:val="14"/>
                <w:szCs w:val="14"/>
                <w:color w:val="auto"/>
              </w:rPr>
              <w:t>stock to voting common stock</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(1,795,271 shares)</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1,795</w:t>
            </w: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(1,795)</w:t>
            </w: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w w:val="95"/>
              </w:rPr>
              <w:t>Common and preferred stock issued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 acquisition (11,058,515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common shares and 9,992</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preferred shares)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9,992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11,059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203,092</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224,143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Amortization of stock option and</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restricted stock awards</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3,343</w:t>
            </w: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Vesting of restricted stock, net 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shares surrendered to cover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payroll taxes (118,672 shares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w w:val="99"/>
              </w:rPr>
              <w:t>issued, 106,935 shares deferred)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1,444</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(3,009)</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Deferred compensation plan, net,</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including dividend equivalents</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274</w:t>
            </w:r>
          </w:p>
        </w:tc>
        <w:tc>
          <w:tcPr>
            <w:tcW w:w="1000" w:type="dxa"/>
            <w:vAlign w:val="bottom"/>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Shares issued from deferred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compensation plan (23,613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193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w w:val="99"/>
              </w:rPr>
              <w:t>Common stock dividends ($.16 per</w:t>
            </w: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share)</w:t>
            </w: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8"/>
              <w:spacing w:after="0"/>
              <w:rPr>
                <w:sz w:val="20"/>
                <w:szCs w:val="20"/>
                <w:color w:val="auto"/>
              </w:rPr>
            </w:pPr>
            <w:r>
              <w:rPr>
                <w:rFonts w:ascii="Arial" w:cs="Arial" w:eastAsia="Arial" w:hAnsi="Arial"/>
                <w:sz w:val="14"/>
                <w:szCs w:val="14"/>
                <w:color w:val="auto"/>
              </w:rPr>
              <w:t>(10,506)</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(10,506)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Tax on option exercise and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restricted stock vesting</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559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Preferred stock dividends:</w:t>
            </w: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color w:val="auto"/>
              </w:rPr>
              <w:t>Series H</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18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4"/>
                <w:szCs w:val="14"/>
                <w:b w:val="1"/>
                <w:bCs w:val="1"/>
                <w:color w:val="auto"/>
              </w:rPr>
              <w:t>Balance, September 30, 2015</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9,992</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63,186</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8,286</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6,670</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89"/>
              </w:rPr>
              <w:t>$ 1,284,877</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(344,746</w:t>
            </w:r>
          </w:p>
        </w:tc>
        <w:tc>
          <w:tcPr>
            <w:tcW w:w="140" w:type="dxa"/>
            <w:vAlign w:val="bottom"/>
            <w:tcBorders>
              <w:top w:val="single" w:sz="8" w:color="F0FFFF"/>
              <w:bottom w:val="single" w:sz="8" w:color="F0FFFF"/>
            </w:tcBorders>
            <w:shd w:val="clear" w:color="auto" w:fill="F0FF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(15,128</w:t>
            </w:r>
          </w:p>
        </w:tc>
        <w:tc>
          <w:tcPr>
            <w:tcW w:w="220" w:type="dxa"/>
            <w:vAlign w:val="bottom"/>
            <w:tcBorders>
              <w:top w:val="single" w:sz="8" w:color="F0FFFF"/>
              <w:bottom w:val="single" w:sz="8" w:color="F0FFFF"/>
            </w:tcBorders>
            <w:shd w:val="clear" w:color="auto" w:fill="F0FFFF"/>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3"/>
              </w:rPr>
              <w:t>1,013,137</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4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53,370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16,788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3,343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Deferred income tax benefit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28,495</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Gains from sales of government guaranteed loans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(4,281)</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Net gains on sale of 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Net gains and write downs on sales of other real estate owned</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Loss on prepayment of borrowings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4,232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4,191</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(5,562)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102,588</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44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63,031</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57,721</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securities held to maturity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sales of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274,519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212,383</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(476,917)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increase in loans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(324,868)</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(220,061)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Funds (paid to) collected from FDIC under loss sharing agreements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2,127</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(7,191)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cash received (paid) for acquisition</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35,497</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sale of notes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3,184</w:t>
            </w:r>
          </w:p>
        </w:tc>
        <w:tc>
          <w:tcPr>
            <w:tcW w:w="6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(224,743</w:t>
            </w:r>
          </w:p>
        </w:tc>
        <w:tc>
          <w:tcPr>
            <w:tcW w:w="14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(161,396</w:t>
            </w:r>
          </w:p>
        </w:tc>
        <w:tc>
          <w:tcPr>
            <w:tcW w:w="10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change in deposits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219,454</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(16,238)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Repayments of trust preferred securities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(48,521)</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FHLB advances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1,495,000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Repayments of FHLB advances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(1,587,070)</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issuance of senior debt, net of issuance costs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84,141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 of issuance costs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Retirement of preferred stock</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(10,506)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preferred stock</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136,439</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85,531</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14,284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192,655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228,898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206,939</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440" w:type="dxa"/>
            <w:vAlign w:val="bottom"/>
            <w:tcBorders>
              <w:top w:val="single" w:sz="8" w:color="auto"/>
              <w:bottom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216,064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16,567</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3,453</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Significant non-cash investing and financing transactions: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Unsettled government guaranteed loan sales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11,020</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Transfers of loans to foreclosed properties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3,428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Assets acquired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1,736,203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1,427,358</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308,845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Common stock issued in acquisitions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214,151</w:t>
            </w:r>
          </w:p>
        </w:tc>
        <w:tc>
          <w:tcPr>
            <w:tcW w:w="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Preferred stock issued in acquisitions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9,992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25" w:orient="portrait"/>
          <w:cols w:equalWidth="0" w:num="1">
            <w:col w:w="11420"/>
          </w:cols>
          <w:pgMar w:left="240" w:top="904" w:right="23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Certain 2014 amounts have been reclassified to conform to the 2015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2015, the Financial Accounting Standards Board (“FASB”) issued Accounting Standards Update (“ASU”) No. 2015-02, </w:t>
      </w:r>
      <w:r>
        <w:rPr>
          <w:rFonts w:ascii="Arial" w:cs="Arial" w:eastAsia="Arial" w:hAnsi="Arial"/>
          <w:sz w:val="18"/>
          <w:szCs w:val="18"/>
          <w:i w:val="1"/>
          <w:iCs w:val="1"/>
          <w:color w:val="auto"/>
        </w:rPr>
        <w:t>Consolidation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810): Amendments to the Consolidation Analysis</w:t>
      </w:r>
      <w:r>
        <w:rPr>
          <w:rFonts w:ascii="Arial" w:cs="Arial" w:eastAsia="Arial" w:hAnsi="Arial"/>
          <w:sz w:val="18"/>
          <w:szCs w:val="18"/>
          <w:color w:val="auto"/>
        </w:rPr>
        <w:t>, effective for fiscal years beginning after December 15, 2015 and interim periods within those years with</w:t>
      </w:r>
      <w:r>
        <w:rPr>
          <w:rFonts w:ascii="Arial" w:cs="Arial" w:eastAsia="Arial" w:hAnsi="Arial"/>
          <w:sz w:val="18"/>
          <w:szCs w:val="18"/>
          <w:i w:val="1"/>
          <w:iCs w:val="1"/>
          <w:color w:val="auto"/>
        </w:rPr>
        <w:t xml:space="preserve"> </w:t>
      </w:r>
      <w:r>
        <w:rPr>
          <w:rFonts w:ascii="Arial" w:cs="Arial" w:eastAsia="Arial" w:hAnsi="Arial"/>
          <w:sz w:val="18"/>
          <w:szCs w:val="18"/>
          <w:color w:val="auto"/>
        </w:rPr>
        <w:t>early adoption permitted. The new standard is intended to improve targeted areas of the consolidation guidance for legal entities such as limited partnerships, limited liability corporations, and securitization structures. The amendments in the ASU affect the consolidation evaluation for reporting organizations. In addition, the amendments in this ASU simplify and improve current GAAP by reducing the number of consolidation models. United is currently evaluating the impact of this guidance on its consolidated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To simplify presentation of debt issuance costs, the amendments in this update require that debt issuance costs related to a recognized debt liability be presented in the balance sheet as a direct deduction from the carrying amount of that debt liability consistent with debt discounts. The standard will be effective for the United’s fiscal year beginning after December 15, 2015 and subsequent interim periods. The adoption of ASU 2015-03 is not expected to have a material effect on United’s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2015, the FASB issued ASU 2015-07, </w:t>
      </w:r>
      <w:r>
        <w:rPr>
          <w:rFonts w:ascii="Arial" w:cs="Arial" w:eastAsia="Arial" w:hAnsi="Arial"/>
          <w:sz w:val="17"/>
          <w:szCs w:val="17"/>
          <w:i w:val="1"/>
          <w:iCs w:val="1"/>
          <w:color w:val="auto"/>
        </w:rPr>
        <w:t>Disclosures for Investments in Certain Entities that Calculate Net Asset Value Per Share (or its Equivalent)</w:t>
      </w:r>
      <w:r>
        <w:rPr>
          <w:rFonts w:ascii="Arial" w:cs="Arial" w:eastAsia="Arial" w:hAnsi="Arial"/>
          <w:sz w:val="17"/>
          <w:szCs w:val="17"/>
          <w:color w:val="auto"/>
        </w:rPr>
        <w:t>. ASU 2015-07 removes the requirement to categorize within the fair value hierarchy investments for which fair values are estimated using the net asset value practical expedient provided by ASC 820. Disclosures about investments in certain entities that calculate net asset value per share are limited under ASU 2015-07 to those investments for which the entity has elected to estimate the fair value using the net asset value practical expedient. ASU 2015-07 is effective for fiscal years beginning after December 15, 2015, with retrospective application to all periods presented. Early application is permitted. The adoption of this update is not expected to have a material impact on United’s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2015, the FASB issued ASU 2015-10: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The amendments in this Update cover a wide range of topics in the Codification including guidance clarification and reference corrections, simplification and minor improvements. Transition guidance varies based on the amendments. The amendments that require transition guidance are effective for all entities for fiscal years, and interim periods within those fiscal years, beginning after December 15, 2015. Early adoption is permitted, including adoption in an interim period. All other amendments will be effective upon issuance. United retrospectively applied the provisions of ASU 2015-10 during the second quarter of 2015, with no material impact on United’s financial position or results of operations. The adoption of ASU 2015-10 did affect certain disclosures related to nonrecurring fair value measurements as presented in Note 14.</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July 2015, the FASB issued ASU 2015-12, </w:t>
      </w:r>
      <w:r>
        <w:rPr>
          <w:rFonts w:ascii="Arial" w:cs="Arial" w:eastAsia="Arial" w:hAnsi="Arial"/>
          <w:sz w:val="17"/>
          <w:szCs w:val="17"/>
          <w:i w:val="1"/>
          <w:iCs w:val="1"/>
          <w:color w:val="auto"/>
        </w:rPr>
        <w:t>Plan Accounting: Defined Benefit Pension Plans (Topic 960), Defined Contribution Pension Plans (Topic 962),</w:t>
      </w:r>
      <w:r>
        <w:rPr>
          <w:rFonts w:ascii="Arial" w:cs="Arial" w:eastAsia="Arial" w:hAnsi="Arial"/>
          <w:sz w:val="17"/>
          <w:szCs w:val="17"/>
          <w:color w:val="auto"/>
        </w:rPr>
        <w:t xml:space="preserve"> </w:t>
      </w:r>
      <w:r>
        <w:rPr>
          <w:rFonts w:ascii="Arial" w:cs="Arial" w:eastAsia="Arial" w:hAnsi="Arial"/>
          <w:sz w:val="17"/>
          <w:szCs w:val="17"/>
          <w:i w:val="1"/>
          <w:iCs w:val="1"/>
          <w:color w:val="auto"/>
        </w:rPr>
        <w:t>and Health and Welfare Benefit Plans (Topic 965)</w:t>
      </w:r>
      <w:r>
        <w:rPr>
          <w:rFonts w:ascii="Arial" w:cs="Arial" w:eastAsia="Arial" w:hAnsi="Arial"/>
          <w:sz w:val="17"/>
          <w:szCs w:val="17"/>
          <w:color w:val="auto"/>
        </w:rPr>
        <w:t>. The guidance in the update designates contract value as the only required measure for fully benefit-responsive investment contracts and simplifies the disclosure of investments by requiring that investments be grouped only by general type rather than disaggregated in multiple ways. The amendments are effective for fiscal years beginning after December 15, 2015, with earlier application permitted. The adoption of this update is not expected to have a material impact on United’s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2015, the FASB issued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The guidance in this update delays the effective date of ASU 2014-09, </w:t>
      </w:r>
      <w:r>
        <w:rPr>
          <w:rFonts w:ascii="Arial" w:cs="Arial" w:eastAsia="Arial" w:hAnsi="Arial"/>
          <w:sz w:val="16"/>
          <w:szCs w:val="16"/>
          <w:i w:val="1"/>
          <w:iCs w:val="1"/>
          <w:color w:val="auto"/>
        </w:rPr>
        <w:t>Revenue from Contracts with Customers (Topic 606): Summary and Amendments that Create Revenue from Contracts with Customers (Topic</w:t>
      </w:r>
    </w:p>
    <w:p>
      <w:pPr>
        <w:jc w:val="both"/>
        <w:ind w:firstLine="8"/>
        <w:spacing w:after="0" w:line="253" w:lineRule="auto"/>
        <w:tabs>
          <w:tab w:leader="none" w:pos="391"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Other Assets and Deferred Costs—Contracts with Customers (Subtopic 340-40), </w:t>
      </w:r>
      <w:r>
        <w:rPr>
          <w:rFonts w:ascii="Arial" w:cs="Arial" w:eastAsia="Arial" w:hAnsi="Arial"/>
          <w:sz w:val="18"/>
          <w:szCs w:val="18"/>
          <w:color w:val="auto"/>
        </w:rPr>
        <w:t>which supersedes the revenue recognition requirements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605, Revenue Recognition, and most industry-specific guidance throughout the industry topics of the codification. For public companies, ASU 2014-09 was originally effective for interim and annual periods beginning after December 15, 2016. ASU 2015-14 delays the effective date for public companies to interim and annual reporting periods beginning after December 15, 2017. United is currently assessing the impact that this guidance will have on its consolidated financial statements.</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 Simplifying the Accounting for Measurement-Period Adjustments</w:t>
      </w:r>
      <w:r>
        <w:rPr>
          <w:rFonts w:ascii="Arial" w:cs="Arial" w:eastAsia="Arial" w:hAnsi="Arial"/>
          <w:sz w:val="16"/>
          <w:szCs w:val="16"/>
          <w:color w:val="auto"/>
        </w:rPr>
        <w:t>. The guidance in this update requires that an acquirer recognize adjustments to provisional amounts that are identified during the measurement period in the reporting period in which the adjustment amounts are determined. In addition, the acquirer will record, in the same period financial statements, the effect on earnings of changes in depreciation, amortization or other income effects, if any, as a result of the change to the provisional amounts, calculated as if the accounting had been completed at the acquisition date. The update requires disclosure of amounts recorded in current-period earnings that would have been recorded in previous reporting periods if the adjustment to the provisional amounts had been recognized as of the acquisition date. For public entities, this update is effective for fiscal years beginning after December 15, 2015 with early application permitted. United applied the provisions of ASU 2015-16 during the third quarter of 2015, with no material impact on United’s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Palmetto Bancshares,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United completed the acquisition of Palmetto Bancshares, Inc. (“Palmetto”) and its wholly-owned bank subsidiary The Palmetto Bank. Palmetto operated 25 branches in South Carolina. In connection with the acquisition, United acquired $1.15 billion of assets and assumed $1.02 billion of liabilities. Total consideration transferred was $244 million of common equity and cash. The fair value of consideration paid exceeded the fair value of the identifiable assets and liabilities acquired and resulted in the establishment of goodwill in the amount of $108 million, which consisted largely of the intangible value of Palmetto’s business and reputation within the market it serves. None of the goodwill recognized is expected to be deductible for income tax purposes. United will amortize the related core deposit intangible of $12.9 million using the sum-of-the-years-digits method over 12 years, which represents the expected useful life of the asset.</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8.7 million common shares issued as part of the consideration paid for Palmetto was determined on the basis of the closing market price of United’s common shares on the acquisition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As Recorded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Fair Value</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4"/>
              </w:rPr>
              <w:t>As Recorded by</w:t>
            </w:r>
          </w:p>
        </w:tc>
        <w:tc>
          <w:tcPr>
            <w:tcW w:w="0" w:type="dxa"/>
            <w:vAlign w:val="bottom"/>
          </w:tcPr>
          <w:p>
            <w:pPr>
              <w:spacing w:after="0"/>
              <w:rPr>
                <w:sz w:val="1"/>
                <w:szCs w:val="1"/>
                <w:color w:val="auto"/>
              </w:rPr>
            </w:pPr>
          </w:p>
        </w:tc>
      </w:tr>
      <w:tr>
        <w:trPr>
          <w:trHeight w:val="278"/>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w w:val="90"/>
              </w:rPr>
              <w:t>by Palmetto</w:t>
            </w:r>
          </w:p>
        </w:tc>
        <w:tc>
          <w:tcPr>
            <w:tcW w:w="1560" w:type="dxa"/>
            <w:vAlign w:val="bottom"/>
            <w:gridSpan w:val="4"/>
          </w:tcPr>
          <w:p>
            <w:pPr>
              <w:ind w:left="180"/>
              <w:spacing w:after="0" w:line="271" w:lineRule="exact"/>
              <w:rPr>
                <w:sz w:val="20"/>
                <w:szCs w:val="20"/>
                <w:color w:val="auto"/>
              </w:rPr>
            </w:pPr>
            <w:r>
              <w:rPr>
                <w:rFonts w:ascii="Arial" w:cs="Arial" w:eastAsia="Arial" w:hAnsi="Arial"/>
                <w:sz w:val="18"/>
                <w:szCs w:val="18"/>
                <w:b w:val="1"/>
                <w:bCs w:val="1"/>
                <w:color w:val="auto"/>
                <w:w w:val="96"/>
              </w:rPr>
              <w:t xml:space="preserve">Adjustments </w:t>
            </w:r>
            <w:r>
              <w:rPr>
                <w:rFonts w:ascii="Arial" w:cs="Arial" w:eastAsia="Arial" w:hAnsi="Arial"/>
                <w:sz w:val="30"/>
                <w:szCs w:val="30"/>
                <w:b w:val="1"/>
                <w:bCs w:val="1"/>
                <w:color w:val="auto"/>
                <w:w w:val="96"/>
                <w:vertAlign w:val="superscript"/>
              </w:rPr>
              <w:t>(1)</w:t>
            </w:r>
          </w:p>
        </w:tc>
        <w:tc>
          <w:tcPr>
            <w:tcW w:w="22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United</w:t>
            </w:r>
          </w:p>
        </w:tc>
        <w:tc>
          <w:tcPr>
            <w:tcW w:w="0" w:type="dxa"/>
            <w:vAlign w:val="bottom"/>
          </w:tcPr>
          <w:p>
            <w:pPr>
              <w:spacing w:after="0"/>
              <w:rPr>
                <w:sz w:val="1"/>
                <w:szCs w:val="1"/>
                <w:color w:val="auto"/>
              </w:rPr>
            </w:pPr>
          </w:p>
        </w:tc>
      </w:tr>
      <w:tr>
        <w:trPr>
          <w:trHeight w:val="216"/>
        </w:trPr>
        <w:tc>
          <w:tcPr>
            <w:tcW w:w="4920" w:type="dxa"/>
            <w:vAlign w:val="bottom"/>
            <w:tcBorders>
              <w:top w:val="single" w:sz="8" w:color="F0FFFF"/>
            </w:tcBorders>
            <w:gridSpan w:val="6"/>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right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64,906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shd w:val="clear" w:color="auto" w:fill="F0FFFF"/>
          </w:tcPr>
          <w:p>
            <w:pPr>
              <w:spacing w:after="0"/>
              <w:rPr>
                <w:sz w:val="20"/>
                <w:szCs w:val="20"/>
                <w:color w:val="auto"/>
              </w:rPr>
            </w:pPr>
            <w:r>
              <w:rPr>
                <w:rFonts w:ascii="Arial" w:cs="Arial" w:eastAsia="Arial" w:hAnsi="Arial"/>
                <w:sz w:val="18"/>
                <w:szCs w:val="18"/>
                <w:color w:val="auto"/>
              </w:rPr>
              <w:t>Securities</w:t>
            </w:r>
          </w:p>
        </w:tc>
        <w:tc>
          <w:tcPr>
            <w:tcW w:w="1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208,407</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207,783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tcPr>
          <w:p>
            <w:pPr>
              <w:spacing w:after="0"/>
              <w:rPr>
                <w:sz w:val="20"/>
                <w:szCs w:val="20"/>
                <w:color w:val="auto"/>
              </w:rPr>
            </w:pPr>
            <w:r>
              <w:rPr>
                <w:rFonts w:ascii="Arial" w:cs="Arial" w:eastAsia="Arial" w:hAnsi="Arial"/>
                <w:sz w:val="18"/>
                <w:szCs w:val="18"/>
                <w:color w:val="auto"/>
              </w:rPr>
              <w:t>Loans held for sale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shd w:val="clear" w:color="auto" w:fill="F0FFFF"/>
          </w:tcPr>
          <w:p>
            <w:pPr>
              <w:spacing w:after="0"/>
              <w:rPr>
                <w:sz w:val="20"/>
                <w:szCs w:val="20"/>
                <w:color w:val="auto"/>
              </w:rPr>
            </w:pPr>
            <w:r>
              <w:rPr>
                <w:rFonts w:ascii="Arial" w:cs="Arial" w:eastAsia="Arial" w:hAnsi="Arial"/>
                <w:sz w:val="18"/>
                <w:szCs w:val="18"/>
                <w:color w:val="auto"/>
              </w:rPr>
              <w:t>Loans, net</w:t>
            </w:r>
          </w:p>
        </w:tc>
        <w:tc>
          <w:tcPr>
            <w:tcW w:w="1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802,111</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(6,087)</w:t>
            </w: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796,024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tcPr>
          <w:p>
            <w:pPr>
              <w:spacing w:after="0"/>
              <w:rPr>
                <w:sz w:val="20"/>
                <w:szCs w:val="20"/>
                <w:color w:val="auto"/>
              </w:rPr>
            </w:pPr>
            <w:r>
              <w:rPr>
                <w:rFonts w:ascii="Arial" w:cs="Arial" w:eastAsia="Arial" w:hAnsi="Arial"/>
                <w:sz w:val="18"/>
                <w:szCs w:val="18"/>
                <w:color w:val="auto"/>
              </w:rPr>
              <w:t>Premises and equipment, net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shd w:val="clear" w:color="auto" w:fill="F0FFFF"/>
          </w:tcPr>
          <w:p>
            <w:pPr>
              <w:spacing w:after="0"/>
              <w:rPr>
                <w:sz w:val="20"/>
                <w:szCs w:val="20"/>
                <w:color w:val="auto"/>
              </w:rPr>
            </w:pPr>
            <w:r>
              <w:rPr>
                <w:rFonts w:ascii="Arial" w:cs="Arial" w:eastAsia="Arial" w:hAnsi="Arial"/>
                <w:sz w:val="18"/>
                <w:szCs w:val="18"/>
                <w:color w:val="auto"/>
              </w:rPr>
              <w:t>Bank owned life insurance</w:t>
            </w:r>
          </w:p>
        </w:tc>
        <w:tc>
          <w:tcPr>
            <w:tcW w:w="1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12,133</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tcPr>
          <w:p>
            <w:pPr>
              <w:spacing w:after="0"/>
              <w:rPr>
                <w:sz w:val="20"/>
                <w:szCs w:val="20"/>
                <w:color w:val="auto"/>
              </w:rPr>
            </w:pPr>
            <w:r>
              <w:rPr>
                <w:rFonts w:ascii="Arial" w:cs="Arial" w:eastAsia="Arial" w:hAnsi="Arial"/>
                <w:sz w:val="18"/>
                <w:szCs w:val="18"/>
                <w:color w:val="auto"/>
              </w:rPr>
              <w:t>Accrued interest receivable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shd w:val="clear" w:color="auto" w:fill="F0FFFF"/>
          </w:tcPr>
          <w:p>
            <w:pPr>
              <w:spacing w:after="0"/>
              <w:rPr>
                <w:sz w:val="20"/>
                <w:szCs w:val="20"/>
                <w:color w:val="auto"/>
              </w:rPr>
            </w:pPr>
            <w:r>
              <w:rPr>
                <w:rFonts w:ascii="Arial" w:cs="Arial" w:eastAsia="Arial" w:hAnsi="Arial"/>
                <w:sz w:val="18"/>
                <w:szCs w:val="18"/>
                <w:color w:val="auto"/>
              </w:rPr>
              <w:t>Net deferred tax asset</w:t>
            </w:r>
          </w:p>
        </w:tc>
        <w:tc>
          <w:tcPr>
            <w:tcW w:w="1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14,798</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tcPr>
          <w:p>
            <w:pPr>
              <w:spacing w:after="0"/>
              <w:rPr>
                <w:sz w:val="20"/>
                <w:szCs w:val="20"/>
                <w:color w:val="auto"/>
              </w:rPr>
            </w:pPr>
            <w:r>
              <w:rPr>
                <w:rFonts w:ascii="Arial" w:cs="Arial" w:eastAsia="Arial" w:hAnsi="Arial"/>
                <w:sz w:val="18"/>
                <w:szCs w:val="18"/>
                <w:color w:val="auto"/>
              </w:rPr>
              <w:t>Core deposit intangible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auto"/>
            </w:tcBorders>
            <w:gridSpan w:val="2"/>
            <w:shd w:val="clear" w:color="auto" w:fill="F0FFFF"/>
          </w:tcPr>
          <w:p>
            <w:pPr>
              <w:spacing w:after="0" w:line="156" w:lineRule="exact"/>
              <w:rPr>
                <w:sz w:val="20"/>
                <w:szCs w:val="20"/>
                <w:color w:val="auto"/>
              </w:rPr>
            </w:pPr>
            <w:r>
              <w:rPr>
                <w:rFonts w:ascii="Arial" w:cs="Arial" w:eastAsia="Arial" w:hAnsi="Arial"/>
                <w:sz w:val="18"/>
                <w:szCs w:val="18"/>
                <w:color w:val="auto"/>
                <w:w w:val="84"/>
              </w:rPr>
              <w:t>Other assets</w:t>
            </w:r>
          </w:p>
        </w:tc>
        <w:tc>
          <w:tcPr>
            <w:tcW w:w="4040" w:type="dxa"/>
            <w:vAlign w:val="bottom"/>
            <w:tcBorders>
              <w:bottom w:val="single" w:sz="8" w:color="F0FFFF"/>
            </w:tcBorders>
            <w:gridSpan w:val="4"/>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line="156" w:lineRule="exact"/>
              <w:rPr>
                <w:sz w:val="20"/>
                <w:szCs w:val="20"/>
                <w:color w:val="auto"/>
              </w:rPr>
            </w:pPr>
            <w:r>
              <w:rPr>
                <w:rFonts w:ascii="Arial" w:cs="Arial" w:eastAsia="Arial" w:hAnsi="Arial"/>
                <w:sz w:val="18"/>
                <w:szCs w:val="18"/>
                <w:color w:val="auto"/>
              </w:rPr>
              <w:t>18,439</w:t>
            </w:r>
          </w:p>
        </w:tc>
        <w:tc>
          <w:tcPr>
            <w:tcW w:w="1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60" w:type="dxa"/>
            <w:vAlign w:val="bottom"/>
            <w:tcBorders>
              <w:bottom w:val="single" w:sz="8" w:color="auto"/>
            </w:tcBorders>
            <w:shd w:val="clear" w:color="auto" w:fill="F0FFFF"/>
          </w:tcPr>
          <w:p>
            <w:pPr>
              <w:jc w:val="right"/>
              <w:spacing w:after="0" w:line="156" w:lineRule="exact"/>
              <w:rPr>
                <w:sz w:val="20"/>
                <w:szCs w:val="20"/>
                <w:color w:val="auto"/>
              </w:rPr>
            </w:pPr>
            <w:r>
              <w:rPr>
                <w:rFonts w:ascii="Arial" w:cs="Arial" w:eastAsia="Arial" w:hAnsi="Arial"/>
                <w:sz w:val="18"/>
                <w:szCs w:val="18"/>
                <w:color w:val="auto"/>
              </w:rPr>
              <w:t>1,080</w:t>
            </w:r>
          </w:p>
        </w:tc>
        <w:tc>
          <w:tcPr>
            <w:tcW w:w="180" w:type="dxa"/>
            <w:vAlign w:val="bottom"/>
            <w:tcBorders>
              <w:bottom w:val="single" w:sz="8" w:color="F0FFFF"/>
              <w:right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jc w:val="right"/>
              <w:spacing w:after="0" w:line="156" w:lineRule="exact"/>
              <w:rPr>
                <w:sz w:val="20"/>
                <w:szCs w:val="20"/>
                <w:color w:val="auto"/>
              </w:rPr>
            </w:pPr>
            <w:r>
              <w:rPr>
                <w:rFonts w:ascii="Arial" w:cs="Arial" w:eastAsia="Arial" w:hAnsi="Arial"/>
                <w:sz w:val="18"/>
                <w:szCs w:val="18"/>
                <w:color w:val="auto"/>
              </w:rPr>
              <w:t>19,519</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600" w:type="dxa"/>
            <w:vAlign w:val="bottom"/>
            <w:tcBorders>
              <w:bottom w:val="single" w:sz="8" w:color="auto"/>
            </w:tcBorders>
            <w:gridSpan w:val="3"/>
          </w:tcPr>
          <w:p>
            <w:pPr>
              <w:spacing w:after="0" w:line="136" w:lineRule="exact"/>
              <w:rPr>
                <w:sz w:val="20"/>
                <w:szCs w:val="20"/>
                <w:color w:val="auto"/>
              </w:rPr>
            </w:pPr>
            <w:r>
              <w:rPr>
                <w:rFonts w:ascii="Arial" w:cs="Arial" w:eastAsia="Arial" w:hAnsi="Arial"/>
                <w:sz w:val="15"/>
                <w:szCs w:val="15"/>
                <w:b w:val="1"/>
                <w:bCs w:val="1"/>
                <w:color w:val="auto"/>
              </w:rPr>
              <w:t>Total assets acquired</w:t>
            </w:r>
          </w:p>
        </w:tc>
        <w:tc>
          <w:tcPr>
            <w:tcW w:w="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50" w:lineRule="exact"/>
              <w:rPr>
                <w:sz w:val="20"/>
                <w:szCs w:val="20"/>
                <w:color w:val="auto"/>
              </w:rPr>
            </w:pPr>
            <w:r>
              <w:rPr>
                <w:rFonts w:ascii="Arial" w:cs="Arial" w:eastAsia="Arial" w:hAnsi="Arial"/>
                <w:sz w:val="17"/>
                <w:szCs w:val="17"/>
                <w:color w:val="auto"/>
              </w:rPr>
              <w:t>1,148,265</w:t>
            </w:r>
          </w:p>
        </w:tc>
        <w:tc>
          <w:tcPr>
            <w:tcW w:w="180" w:type="dxa"/>
            <w:vAlign w:val="bottom"/>
          </w:tcPr>
          <w:p>
            <w:pPr>
              <w:spacing w:after="0"/>
              <w:rPr>
                <w:sz w:val="12"/>
                <w:szCs w:val="12"/>
                <w:color w:val="auto"/>
              </w:rPr>
            </w:pPr>
          </w:p>
        </w:tc>
        <w:tc>
          <w:tcPr>
            <w:tcW w:w="140" w:type="dxa"/>
            <w:vAlign w:val="bottom"/>
          </w:tcPr>
          <w:p>
            <w:pPr>
              <w:spacing w:after="0" w:line="150"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50" w:lineRule="exact"/>
              <w:rPr>
                <w:sz w:val="20"/>
                <w:szCs w:val="20"/>
                <w:color w:val="auto"/>
              </w:rPr>
            </w:pPr>
            <w:r>
              <w:rPr>
                <w:rFonts w:ascii="Arial" w:cs="Arial" w:eastAsia="Arial" w:hAnsi="Arial"/>
                <w:sz w:val="17"/>
                <w:szCs w:val="17"/>
                <w:color w:val="auto"/>
              </w:rPr>
              <w:t>5,938</w:t>
            </w:r>
          </w:p>
        </w:tc>
        <w:tc>
          <w:tcPr>
            <w:tcW w:w="180" w:type="dxa"/>
            <w:vAlign w:val="bottom"/>
          </w:tcPr>
          <w:p>
            <w:pPr>
              <w:spacing w:after="0"/>
              <w:rPr>
                <w:sz w:val="12"/>
                <w:szCs w:val="12"/>
                <w:color w:val="auto"/>
              </w:rPr>
            </w:pPr>
          </w:p>
        </w:tc>
        <w:tc>
          <w:tcPr>
            <w:tcW w:w="220" w:type="dxa"/>
            <w:vAlign w:val="bottom"/>
          </w:tcPr>
          <w:p>
            <w:pPr>
              <w:spacing w:after="0" w:line="150"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50" w:lineRule="exact"/>
              <w:rPr>
                <w:sz w:val="20"/>
                <w:szCs w:val="20"/>
                <w:color w:val="auto"/>
              </w:rPr>
            </w:pPr>
            <w:r>
              <w:rPr>
                <w:rFonts w:ascii="Arial" w:cs="Arial" w:eastAsia="Arial" w:hAnsi="Arial"/>
                <w:sz w:val="17"/>
                <w:szCs w:val="17"/>
                <w:color w:val="auto"/>
              </w:rPr>
              <w:t>1,154,203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F0FFFF"/>
            </w:tcBorders>
          </w:tcPr>
          <w:p>
            <w:pPr>
              <w:spacing w:after="0" w:line="20" w:lineRule="exact"/>
              <w:rPr>
                <w:sz w:val="1"/>
                <w:szCs w:val="1"/>
                <w:color w:val="auto"/>
              </w:rPr>
            </w:pPr>
          </w:p>
        </w:tc>
        <w:tc>
          <w:tcPr>
            <w:tcW w:w="7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6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920" w:type="dxa"/>
            <w:vAlign w:val="bottom"/>
            <w:tcBorders>
              <w:bottom w:val="single" w:sz="8" w:color="F0FFFF"/>
            </w:tcBorders>
          </w:tcPr>
          <w:p>
            <w:pPr>
              <w:spacing w:after="0" w:line="20" w:lineRule="exact"/>
              <w:rPr>
                <w:sz w:val="1"/>
                <w:szCs w:val="1"/>
                <w:color w:val="auto"/>
              </w:rPr>
            </w:pPr>
          </w:p>
        </w:tc>
        <w:tc>
          <w:tcPr>
            <w:tcW w:w="136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6"/>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1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tcPr>
          <w:p>
            <w:pPr>
              <w:spacing w:after="0"/>
              <w:rPr>
                <w:sz w:val="20"/>
                <w:szCs w:val="20"/>
                <w:color w:val="auto"/>
              </w:rPr>
            </w:pPr>
            <w:r>
              <w:rPr>
                <w:rFonts w:ascii="Arial" w:cs="Arial" w:eastAsia="Arial" w:hAnsi="Arial"/>
                <w:sz w:val="18"/>
                <w:szCs w:val="18"/>
                <w:color w:val="auto"/>
              </w:rPr>
              <w:t>Deposits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989,296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989,296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6"/>
            <w:shd w:val="clear" w:color="auto" w:fill="F0FFFF"/>
          </w:tcPr>
          <w:p>
            <w:pPr>
              <w:spacing w:after="0"/>
              <w:rPr>
                <w:sz w:val="20"/>
                <w:szCs w:val="20"/>
                <w:color w:val="auto"/>
              </w:rPr>
            </w:pPr>
            <w:r>
              <w:rPr>
                <w:rFonts w:ascii="Arial" w:cs="Arial" w:eastAsia="Arial" w:hAnsi="Arial"/>
                <w:sz w:val="18"/>
                <w:szCs w:val="18"/>
                <w:color w:val="auto"/>
              </w:rPr>
              <w:t>Short-term borrowings</w:t>
            </w:r>
          </w:p>
        </w:tc>
        <w:tc>
          <w:tcPr>
            <w:tcW w:w="1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13,537</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gridSpan w:val="6"/>
          </w:tcPr>
          <w:p>
            <w:pPr>
              <w:spacing w:after="0" w:line="156" w:lineRule="exact"/>
              <w:rPr>
                <w:sz w:val="20"/>
                <w:szCs w:val="20"/>
                <w:color w:val="auto"/>
              </w:rPr>
            </w:pPr>
            <w:r>
              <w:rPr>
                <w:rFonts w:ascii="Arial" w:cs="Arial" w:eastAsia="Arial" w:hAnsi="Arial"/>
                <w:sz w:val="18"/>
                <w:szCs w:val="18"/>
                <w:color w:val="auto"/>
              </w:rPr>
              <w:t>Other liabilities</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8"/>
                <w:szCs w:val="18"/>
                <w:color w:val="auto"/>
              </w:rPr>
              <w:t>11,994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8"/>
                <w:szCs w:val="18"/>
                <w:color w:val="auto"/>
              </w:rPr>
              <w:t>3,037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8"/>
                <w:szCs w:val="18"/>
                <w:color w:val="auto"/>
              </w:rPr>
              <w:t>15,031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60" w:type="dxa"/>
            <w:vAlign w:val="bottom"/>
            <w:tcBorders>
              <w:top w:val="single" w:sz="8" w:color="auto"/>
              <w:bottom w:val="single" w:sz="8" w:color="F0FFFF"/>
            </w:tcBorders>
          </w:tcPr>
          <w:p>
            <w:pPr>
              <w:spacing w:after="0"/>
              <w:rPr>
                <w:sz w:val="3"/>
                <w:szCs w:val="3"/>
                <w:color w:val="auto"/>
              </w:rPr>
            </w:pPr>
          </w:p>
        </w:tc>
        <w:tc>
          <w:tcPr>
            <w:tcW w:w="720" w:type="dxa"/>
            <w:vAlign w:val="bottom"/>
            <w:tcBorders>
              <w:top w:val="single" w:sz="8" w:color="auto"/>
              <w:bottom w:val="single" w:sz="8" w:color="F0FFFF"/>
            </w:tcBorders>
          </w:tcPr>
          <w:p>
            <w:pPr>
              <w:spacing w:after="0"/>
              <w:rPr>
                <w:sz w:val="3"/>
                <w:szCs w:val="3"/>
                <w:color w:val="auto"/>
              </w:rPr>
            </w:pPr>
          </w:p>
        </w:tc>
        <w:tc>
          <w:tcPr>
            <w:tcW w:w="240" w:type="dxa"/>
            <w:vAlign w:val="bottom"/>
            <w:tcBorders>
              <w:top w:val="single" w:sz="8" w:color="auto"/>
              <w:bottom w:val="single" w:sz="8" w:color="F0FFFF"/>
            </w:tcBorders>
          </w:tcPr>
          <w:p>
            <w:pPr>
              <w:spacing w:after="0"/>
              <w:rPr>
                <w:sz w:val="3"/>
                <w:szCs w:val="3"/>
                <w:color w:val="auto"/>
              </w:rPr>
            </w:pPr>
          </w:p>
        </w:tc>
        <w:tc>
          <w:tcPr>
            <w:tcW w:w="640" w:type="dxa"/>
            <w:vAlign w:val="bottom"/>
            <w:tcBorders>
              <w:bottom w:val="single" w:sz="8" w:color="F0FFFF"/>
            </w:tcBorders>
          </w:tcPr>
          <w:p>
            <w:pPr>
              <w:spacing w:after="0"/>
              <w:rPr>
                <w:sz w:val="3"/>
                <w:szCs w:val="3"/>
                <w:color w:val="auto"/>
              </w:rPr>
            </w:pPr>
          </w:p>
        </w:tc>
        <w:tc>
          <w:tcPr>
            <w:tcW w:w="240" w:type="dxa"/>
            <w:vAlign w:val="bottom"/>
            <w:tcBorders>
              <w:bottom w:val="single" w:sz="8" w:color="F0FFFF"/>
            </w:tcBorders>
          </w:tcPr>
          <w:p>
            <w:pPr>
              <w:spacing w:after="0"/>
              <w:rPr>
                <w:sz w:val="3"/>
                <w:szCs w:val="3"/>
                <w:color w:val="auto"/>
              </w:rPr>
            </w:pPr>
          </w:p>
        </w:tc>
        <w:tc>
          <w:tcPr>
            <w:tcW w:w="2920" w:type="dxa"/>
            <w:vAlign w:val="bottom"/>
            <w:tcBorders>
              <w:bottom w:val="single" w:sz="8" w:color="F0FFFF"/>
            </w:tcBorders>
          </w:tcPr>
          <w:p>
            <w:pPr>
              <w:spacing w:after="0"/>
              <w:rPr>
                <w:sz w:val="3"/>
                <w:szCs w:val="3"/>
                <w:color w:val="auto"/>
              </w:rPr>
            </w:pPr>
          </w:p>
        </w:tc>
        <w:tc>
          <w:tcPr>
            <w:tcW w:w="1360" w:type="dxa"/>
            <w:vAlign w:val="bottom"/>
            <w:tcBorders>
              <w:bottom w:val="single" w:sz="8" w:color="F0FF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F0FF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F0FFFF"/>
          </w:tcPr>
          <w:p>
            <w:pPr>
              <w:spacing w:after="0"/>
              <w:rPr>
                <w:sz w:val="17"/>
                <w:szCs w:val="17"/>
                <w:color w:val="auto"/>
              </w:rPr>
            </w:pPr>
          </w:p>
        </w:tc>
        <w:tc>
          <w:tcPr>
            <w:tcW w:w="4760" w:type="dxa"/>
            <w:vAlign w:val="bottom"/>
            <w:gridSpan w:val="5"/>
            <w:shd w:val="clear" w:color="auto" w:fill="F0FFFF"/>
          </w:tcPr>
          <w:p>
            <w:pPr>
              <w:spacing w:after="0" w:line="142" w:lineRule="exact"/>
              <w:rPr>
                <w:sz w:val="20"/>
                <w:szCs w:val="20"/>
                <w:color w:val="auto"/>
              </w:rPr>
            </w:pPr>
            <w:r>
              <w:rPr>
                <w:rFonts w:ascii="Arial" w:cs="Arial" w:eastAsia="Arial" w:hAnsi="Arial"/>
                <w:sz w:val="16"/>
                <w:szCs w:val="16"/>
                <w:b w:val="1"/>
                <w:bCs w:val="1"/>
                <w:color w:val="auto"/>
              </w:rPr>
              <w:t>Total liabilities assumed</w:t>
            </w:r>
          </w:p>
        </w:tc>
        <w:tc>
          <w:tcPr>
            <w:tcW w:w="13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line="142" w:lineRule="exact"/>
              <w:rPr>
                <w:sz w:val="20"/>
                <w:szCs w:val="20"/>
                <w:color w:val="auto"/>
              </w:rPr>
            </w:pPr>
            <w:r>
              <w:rPr>
                <w:rFonts w:ascii="Arial" w:cs="Arial" w:eastAsia="Arial" w:hAnsi="Arial"/>
                <w:sz w:val="16"/>
                <w:szCs w:val="16"/>
                <w:color w:val="auto"/>
              </w:rPr>
              <w:t>1,014,827</w:t>
            </w:r>
          </w:p>
        </w:tc>
        <w:tc>
          <w:tcPr>
            <w:tcW w:w="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line="142" w:lineRule="exact"/>
              <w:rPr>
                <w:sz w:val="20"/>
                <w:szCs w:val="20"/>
                <w:color w:val="auto"/>
              </w:rPr>
            </w:pPr>
            <w:r>
              <w:rPr>
                <w:rFonts w:ascii="Arial" w:cs="Arial" w:eastAsia="Arial" w:hAnsi="Arial"/>
                <w:sz w:val="16"/>
                <w:szCs w:val="16"/>
                <w:color w:val="auto"/>
              </w:rPr>
              <w:t>3,037</w:t>
            </w:r>
          </w:p>
        </w:tc>
        <w:tc>
          <w:tcPr>
            <w:tcW w:w="180" w:type="dxa"/>
            <w:vAlign w:val="bottom"/>
            <w:tcBorders>
              <w:right w:val="single" w:sz="8" w:color="F0FFFF"/>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line="142" w:lineRule="exact"/>
              <w:rPr>
                <w:sz w:val="20"/>
                <w:szCs w:val="20"/>
                <w:color w:val="auto"/>
              </w:rPr>
            </w:pPr>
            <w:r>
              <w:rPr>
                <w:rFonts w:ascii="Arial" w:cs="Arial" w:eastAsia="Arial" w:hAnsi="Arial"/>
                <w:sz w:val="16"/>
                <w:szCs w:val="16"/>
                <w:color w:val="auto"/>
              </w:rPr>
              <w:t>1,017,864</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64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F0FFFF"/>
          </w:tcPr>
          <w:p>
            <w:pPr>
              <w:spacing w:after="0" w:line="20" w:lineRule="exact"/>
              <w:rPr>
                <w:sz w:val="1"/>
                <w:szCs w:val="1"/>
                <w:color w:val="auto"/>
              </w:rPr>
            </w:pPr>
          </w:p>
        </w:tc>
        <w:tc>
          <w:tcPr>
            <w:tcW w:w="2920" w:type="dxa"/>
            <w:vAlign w:val="bottom"/>
            <w:tcBorders>
              <w:top w:val="single" w:sz="8" w:color="F0FFFF"/>
            </w:tcBorders>
            <w:shd w:val="clear" w:color="auto" w:fill="F0FFFF"/>
          </w:tcPr>
          <w:p>
            <w:pPr>
              <w:spacing w:after="0" w:line="20" w:lineRule="exact"/>
              <w:rPr>
                <w:sz w:val="1"/>
                <w:szCs w:val="1"/>
                <w:color w:val="auto"/>
              </w:rPr>
            </w:pPr>
          </w:p>
        </w:tc>
        <w:tc>
          <w:tcPr>
            <w:tcW w:w="13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bottom w:val="single" w:sz="8" w:color="auto"/>
            </w:tcBorders>
            <w:shd w:val="clear" w:color="auto" w:fill="000000"/>
          </w:tcPr>
          <w:p>
            <w:pPr>
              <w:spacing w:after="0" w:line="20" w:lineRule="exact"/>
              <w:rPr>
                <w:sz w:val="1"/>
                <w:szCs w:val="1"/>
                <w:color w:val="auto"/>
              </w:rPr>
            </w:pPr>
          </w:p>
        </w:tc>
        <w:tc>
          <w:tcPr>
            <w:tcW w:w="1040" w:type="dxa"/>
            <w:vAlign w:val="bottom"/>
            <w:tcBorders>
              <w:top w:val="single" w:sz="8" w:color="F0FFFF"/>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bottom w:val="single" w:sz="8" w:color="auto"/>
            </w:tcBorders>
            <w:shd w:val="clear" w:color="auto" w:fill="000000"/>
          </w:tcPr>
          <w:p>
            <w:pPr>
              <w:spacing w:after="0" w:line="20" w:lineRule="exact"/>
              <w:rPr>
                <w:sz w:val="1"/>
                <w:szCs w:val="1"/>
                <w:color w:val="auto"/>
              </w:rPr>
            </w:pPr>
          </w:p>
        </w:tc>
        <w:tc>
          <w:tcPr>
            <w:tcW w:w="1060" w:type="dxa"/>
            <w:vAlign w:val="bottom"/>
            <w:tcBorders>
              <w:top w:val="single" w:sz="8" w:color="F0FFFF"/>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bottom w:val="single" w:sz="8" w:color="auto"/>
            </w:tcBorders>
            <w:shd w:val="clear" w:color="auto" w:fill="000000"/>
          </w:tcPr>
          <w:p>
            <w:pPr>
              <w:spacing w:after="0" w:line="20" w:lineRule="exact"/>
              <w:rPr>
                <w:sz w:val="1"/>
                <w:szCs w:val="1"/>
                <w:color w:val="auto"/>
              </w:rPr>
            </w:pPr>
          </w:p>
        </w:tc>
        <w:tc>
          <w:tcPr>
            <w:tcW w:w="1000" w:type="dxa"/>
            <w:vAlign w:val="bottom"/>
            <w:tcBorders>
              <w:top w:val="single" w:sz="8" w:color="F0FFFF"/>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gridSpan w:val="6"/>
          </w:tcPr>
          <w:p>
            <w:pPr>
              <w:spacing w:after="0"/>
              <w:rPr>
                <w:sz w:val="20"/>
                <w:szCs w:val="20"/>
                <w:color w:val="auto"/>
              </w:rPr>
            </w:pPr>
            <w:r>
              <w:rPr>
                <w:rFonts w:ascii="Arial" w:cs="Arial" w:eastAsia="Arial" w:hAnsi="Arial"/>
                <w:sz w:val="18"/>
                <w:szCs w:val="18"/>
                <w:color w:val="auto"/>
              </w:rPr>
              <w:t>Excess of assets acquired over liabilities assumed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133,438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F0FFFF"/>
            </w:tcBorders>
          </w:tcPr>
          <w:p>
            <w:pPr>
              <w:spacing w:after="0" w:line="20" w:lineRule="exact"/>
              <w:rPr>
                <w:sz w:val="1"/>
                <w:szCs w:val="1"/>
                <w:color w:val="auto"/>
              </w:rPr>
            </w:pPr>
          </w:p>
        </w:tc>
        <w:tc>
          <w:tcPr>
            <w:tcW w:w="7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6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920" w:type="dxa"/>
            <w:vAlign w:val="bottom"/>
            <w:tcBorders>
              <w:bottom w:val="single" w:sz="8" w:color="F0FFFF"/>
            </w:tcBorders>
          </w:tcPr>
          <w:p>
            <w:pPr>
              <w:spacing w:after="0" w:line="20" w:lineRule="exact"/>
              <w:rPr>
                <w:sz w:val="1"/>
                <w:szCs w:val="1"/>
                <w:color w:val="auto"/>
              </w:rPr>
            </w:pPr>
          </w:p>
        </w:tc>
        <w:tc>
          <w:tcPr>
            <w:tcW w:w="136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gridSpan w:val="6"/>
            <w:shd w:val="clear" w:color="auto" w:fill="F0FFFF"/>
          </w:tcPr>
          <w:p>
            <w:pPr>
              <w:spacing w:after="0"/>
              <w:rPr>
                <w:sz w:val="20"/>
                <w:szCs w:val="20"/>
                <w:color w:val="auto"/>
              </w:rPr>
            </w:pPr>
            <w:r>
              <w:rPr>
                <w:rFonts w:ascii="Arial" w:cs="Arial" w:eastAsia="Arial" w:hAnsi="Arial"/>
                <w:sz w:val="18"/>
                <w:szCs w:val="18"/>
                <w:color w:val="auto"/>
              </w:rPr>
              <w:t>Aggregate fair value adjustments</w:t>
            </w:r>
          </w:p>
        </w:tc>
        <w:tc>
          <w:tcPr>
            <w:tcW w:w="136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c>
          <w:tcPr>
            <w:tcW w:w="32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2,901</w:t>
            </w:r>
          </w:p>
        </w:tc>
        <w:tc>
          <w:tcPr>
            <w:tcW w:w="180" w:type="dxa"/>
            <w:vAlign w:val="bottom"/>
            <w:tcBorders>
              <w:right w:val="single" w:sz="8" w:color="F0FFFF"/>
            </w:tcBorders>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F0FFFF"/>
              <w:bottom w:val="single" w:sz="8" w:color="F0FFFF"/>
            </w:tcBorders>
            <w:gridSpan w:val="6"/>
            <w:vMerge w:val="restart"/>
          </w:tcPr>
          <w:p>
            <w:pPr>
              <w:spacing w:after="0"/>
              <w:rPr>
                <w:sz w:val="20"/>
                <w:szCs w:val="20"/>
                <w:color w:val="auto"/>
              </w:rPr>
            </w:pPr>
            <w:r>
              <w:rPr>
                <w:rFonts w:ascii="Arial" w:cs="Arial" w:eastAsia="Arial" w:hAnsi="Arial"/>
                <w:sz w:val="18"/>
                <w:szCs w:val="18"/>
                <w:b w:val="1"/>
                <w:bCs w:val="1"/>
                <w:color w:val="auto"/>
              </w:rPr>
              <w:t>Consideration transferred</w:t>
            </w:r>
          </w:p>
        </w:tc>
        <w:tc>
          <w:tcPr>
            <w:tcW w:w="13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20" w:type="dxa"/>
            <w:vAlign w:val="bottom"/>
            <w:gridSpan w:val="6"/>
            <w:vMerge w:val="continue"/>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58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issued (8,700,012 shares)</w:t>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Total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-113030</wp:posOffset>
            </wp:positionV>
            <wp:extent cx="651764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88595"/>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br w:type="column"/>
      </w:r>
    </w:p>
    <w:p>
      <w:pPr>
        <w:jc w:val="right"/>
        <w:ind w:right="660"/>
        <w:spacing w:after="0"/>
        <w:rPr>
          <w:sz w:val="20"/>
          <w:szCs w:val="20"/>
          <w:color w:val="auto"/>
        </w:rPr>
      </w:pPr>
      <w:r>
        <w:rPr>
          <w:rFonts w:ascii="Arial" w:cs="Arial" w:eastAsia="Arial" w:hAnsi="Arial"/>
          <w:sz w:val="18"/>
          <w:szCs w:val="18"/>
          <w:color w:val="auto"/>
        </w:rPr>
        <w:t>74,003</w:t>
      </w:r>
    </w:p>
    <w:p>
      <w:pPr>
        <w:spacing w:after="0" w:line="104"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170,259</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244,262</w:t>
      </w:r>
    </w:p>
    <w:p>
      <w:pPr>
        <w:spacing w:after="0" w:line="50" w:lineRule="exact"/>
        <w:rPr>
          <w:sz w:val="20"/>
          <w:szCs w:val="20"/>
          <w:color w:val="auto"/>
        </w:rPr>
      </w:pPr>
    </w:p>
    <w:p>
      <w:pPr>
        <w:ind w:left="624" w:hanging="624"/>
        <w:spacing w:after="0"/>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color w:val="auto"/>
        </w:rPr>
        <w:t>107,923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16" w:space="720"/>
            <w:col w:w="1884"/>
          </w:cols>
          <w:pgMar w:left="240" w:top="904" w:right="239" w:bottom="1440" w:gutter="0" w:footer="0" w:header="0"/>
          <w:type w:val="continuous"/>
        </w:sectPr>
      </w:pPr>
    </w:p>
    <w:p>
      <w:pPr>
        <w:spacing w:after="0" w:line="143" w:lineRule="exact"/>
        <w:rPr>
          <w:sz w:val="20"/>
          <w:szCs w:val="20"/>
          <w:color w:val="auto"/>
        </w:rPr>
      </w:pPr>
    </w:p>
    <w:p>
      <w:pPr>
        <w:ind w:left="580" w:right="580" w:firstLine="2"/>
        <w:spacing w:after="0" w:line="207" w:lineRule="auto"/>
        <w:tabs>
          <w:tab w:leader="none" w:pos="817"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Fair values are preliminary and are subject to refinement for a period not to exceed one year after the closing date of an acquisition as information relative to closing date fair values becomes available.</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Purchased loans that show evidence of credit deterioration since origination are accounted for pursuant to Accounting Standards Codification (“ASC”) Topic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xml:space="preserve"> The following table presents additional information related to the acquired loan portfolio at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904"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Accounted for pursuant to ASC 310-30: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Contractually required principal and interest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Non-accretable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flows expected to be collected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48895</wp:posOffset>
            </wp:positionV>
            <wp:extent cx="57975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Excluded from ASC 310-30:</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Gross contractual amounts receivable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Estimate of contractual cash flows not expected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7"/>
        <w:spacing w:after="0"/>
        <w:rPr>
          <w:sz w:val="20"/>
          <w:szCs w:val="20"/>
          <w:color w:val="auto"/>
        </w:rPr>
      </w:pPr>
      <w:r>
        <w:rPr>
          <w:rFonts w:ascii="Arial" w:cs="Arial" w:eastAsia="Arial" w:hAnsi="Arial"/>
          <w:sz w:val="15"/>
          <w:szCs w:val="15"/>
          <w:b w:val="1"/>
          <w:bCs w:val="1"/>
          <w:u w:val="single" w:color="auto"/>
          <w:color w:val="auto"/>
        </w:rPr>
        <w:t>September 1, 2015</w:t>
      </w:r>
    </w:p>
    <w:p>
      <w:pPr>
        <w:spacing w:after="0" w:line="291" w:lineRule="exact"/>
        <w:rPr>
          <w:sz w:val="20"/>
          <w:szCs w:val="20"/>
          <w:color w:val="auto"/>
        </w:rPr>
      </w:pPr>
    </w:p>
    <w:p>
      <w:pPr>
        <w:ind w:left="907" w:hanging="907"/>
        <w:spacing w:after="0"/>
        <w:tabs>
          <w:tab w:leader="none" w:pos="907" w:val="left"/>
        </w:tabs>
        <w:numPr>
          <w:ilvl w:val="0"/>
          <w:numId w:val="6"/>
        </w:numPr>
        <w:rPr>
          <w:rFonts w:ascii="Arial" w:cs="Arial" w:eastAsia="Arial" w:hAnsi="Arial"/>
          <w:sz w:val="16"/>
          <w:szCs w:val="16"/>
          <w:color w:val="auto"/>
        </w:rPr>
      </w:pPr>
      <w:r>
        <w:rPr>
          <w:rFonts w:ascii="Arial" w:cs="Arial" w:eastAsia="Arial" w:hAnsi="Arial"/>
          <w:sz w:val="16"/>
          <w:szCs w:val="16"/>
          <w:color w:val="auto"/>
        </w:rPr>
        <w:t>63,623</w:t>
      </w:r>
    </w:p>
    <w:p>
      <w:pPr>
        <w:spacing w:after="0" w:line="46" w:lineRule="exact"/>
        <w:rPr>
          <w:rFonts w:ascii="Arial" w:cs="Arial" w:eastAsia="Arial" w:hAnsi="Arial"/>
          <w:sz w:val="16"/>
          <w:szCs w:val="16"/>
          <w:color w:val="auto"/>
        </w:rPr>
      </w:pPr>
    </w:p>
    <w:p>
      <w:pPr>
        <w:ind w:left="907"/>
        <w:spacing w:after="0"/>
        <w:rPr>
          <w:rFonts w:ascii="Arial" w:cs="Arial" w:eastAsia="Arial" w:hAnsi="Arial"/>
          <w:sz w:val="16"/>
          <w:szCs w:val="16"/>
          <w:color w:val="auto"/>
        </w:rPr>
      </w:pPr>
      <w:r>
        <w:rPr>
          <w:rFonts w:ascii="Arial" w:cs="Arial" w:eastAsia="Arial" w:hAnsi="Arial"/>
          <w:sz w:val="16"/>
          <w:szCs w:val="16"/>
          <w:color w:val="auto"/>
        </w:rPr>
        <w:t>13,397</w:t>
      </w:r>
    </w:p>
    <w:p>
      <w:pPr>
        <w:spacing w:after="0" w:line="58" w:lineRule="exact"/>
        <w:rPr>
          <w:rFonts w:ascii="Arial" w:cs="Arial" w:eastAsia="Arial" w:hAnsi="Arial"/>
          <w:sz w:val="16"/>
          <w:szCs w:val="16"/>
          <w:color w:val="auto"/>
        </w:rPr>
      </w:pPr>
    </w:p>
    <w:p>
      <w:pPr>
        <w:ind w:left="907"/>
        <w:spacing w:after="0"/>
        <w:rPr>
          <w:rFonts w:ascii="Arial" w:cs="Arial" w:eastAsia="Arial" w:hAnsi="Arial"/>
          <w:sz w:val="16"/>
          <w:szCs w:val="16"/>
          <w:color w:val="auto"/>
        </w:rPr>
      </w:pPr>
      <w:r>
        <w:rPr>
          <w:rFonts w:ascii="Arial" w:cs="Arial" w:eastAsia="Arial" w:hAnsi="Arial"/>
          <w:sz w:val="16"/>
          <w:szCs w:val="16"/>
          <w:color w:val="auto"/>
        </w:rPr>
        <w:t>50,226</w:t>
      </w:r>
    </w:p>
    <w:p>
      <w:pPr>
        <w:spacing w:after="0" w:line="46" w:lineRule="exact"/>
        <w:rPr>
          <w:rFonts w:ascii="Arial" w:cs="Arial" w:eastAsia="Arial" w:hAnsi="Arial"/>
          <w:sz w:val="16"/>
          <w:szCs w:val="16"/>
          <w:color w:val="auto"/>
        </w:rPr>
      </w:pPr>
    </w:p>
    <w:p>
      <w:pPr>
        <w:ind w:left="1007"/>
        <w:spacing w:after="0"/>
        <w:rPr>
          <w:rFonts w:ascii="Arial" w:cs="Arial" w:eastAsia="Arial" w:hAnsi="Arial"/>
          <w:sz w:val="16"/>
          <w:szCs w:val="16"/>
          <w:color w:val="auto"/>
        </w:rPr>
      </w:pPr>
      <w:r>
        <w:rPr>
          <w:rFonts w:ascii="Arial" w:cs="Arial" w:eastAsia="Arial" w:hAnsi="Arial"/>
          <w:sz w:val="15"/>
          <w:szCs w:val="15"/>
          <w:color w:val="auto"/>
        </w:rPr>
        <w:t>4,834</w:t>
      </w:r>
    </w:p>
    <w:p>
      <w:pPr>
        <w:spacing w:after="0" w:line="83" w:lineRule="exact"/>
        <w:rPr>
          <w:sz w:val="20"/>
          <w:szCs w:val="20"/>
          <w:color w:val="auto"/>
        </w:rPr>
      </w:pPr>
    </w:p>
    <w:p>
      <w:pPr>
        <w:ind w:left="907" w:hanging="907"/>
        <w:spacing w:after="0"/>
        <w:tabs>
          <w:tab w:leader="none" w:pos="907" w:val="left"/>
        </w:tabs>
        <w:numPr>
          <w:ilvl w:val="0"/>
          <w:numId w:val="7"/>
        </w:numPr>
        <w:rPr>
          <w:rFonts w:ascii="Arial" w:cs="Arial" w:eastAsia="Arial" w:hAnsi="Arial"/>
          <w:sz w:val="16"/>
          <w:szCs w:val="16"/>
          <w:color w:val="auto"/>
        </w:rPr>
      </w:pPr>
      <w:r>
        <w:rPr>
          <w:rFonts w:ascii="Arial" w:cs="Arial" w:eastAsia="Arial" w:hAnsi="Arial"/>
          <w:sz w:val="16"/>
          <w:szCs w:val="16"/>
          <w:color w:val="auto"/>
        </w:rPr>
        <w:t>45,392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892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827" w:hanging="827"/>
        <w:spacing w:after="0"/>
        <w:tabs>
          <w:tab w:leader="none" w:pos="827" w:val="left"/>
        </w:tabs>
        <w:numPr>
          <w:ilvl w:val="0"/>
          <w:numId w:val="8"/>
        </w:numPr>
        <w:rPr>
          <w:rFonts w:ascii="Arial" w:cs="Arial" w:eastAsia="Arial" w:hAnsi="Arial"/>
          <w:sz w:val="16"/>
          <w:szCs w:val="16"/>
          <w:color w:val="auto"/>
        </w:rPr>
      </w:pPr>
      <w:r>
        <w:rPr>
          <w:rFonts w:ascii="Arial" w:cs="Arial" w:eastAsia="Arial" w:hAnsi="Arial"/>
          <w:sz w:val="16"/>
          <w:szCs w:val="16"/>
          <w:color w:val="auto"/>
        </w:rPr>
        <w:t>750,632</w:t>
      </w:r>
    </w:p>
    <w:p>
      <w:pPr>
        <w:spacing w:after="0" w:line="46" w:lineRule="exact"/>
        <w:rPr>
          <w:rFonts w:ascii="Arial" w:cs="Arial" w:eastAsia="Arial" w:hAnsi="Arial"/>
          <w:sz w:val="16"/>
          <w:szCs w:val="16"/>
          <w:color w:val="auto"/>
        </w:rPr>
      </w:pPr>
    </w:p>
    <w:p>
      <w:pPr>
        <w:ind w:left="827"/>
        <w:spacing w:after="0"/>
        <w:rPr>
          <w:rFonts w:ascii="Arial" w:cs="Arial" w:eastAsia="Arial" w:hAnsi="Arial"/>
          <w:sz w:val="16"/>
          <w:szCs w:val="16"/>
          <w:color w:val="auto"/>
        </w:rPr>
      </w:pPr>
      <w:r>
        <w:rPr>
          <w:rFonts w:ascii="Arial" w:cs="Arial" w:eastAsia="Arial" w:hAnsi="Arial"/>
          <w:sz w:val="16"/>
          <w:szCs w:val="16"/>
          <w:color w:val="auto"/>
        </w:rPr>
        <w:t>859,628</w:t>
      </w:r>
    </w:p>
    <w:p>
      <w:pPr>
        <w:spacing w:after="0" w:line="32" w:lineRule="exact"/>
        <w:rPr>
          <w:rFonts w:ascii="Arial" w:cs="Arial" w:eastAsia="Arial" w:hAnsi="Arial"/>
          <w:sz w:val="16"/>
          <w:szCs w:val="16"/>
          <w:color w:val="auto"/>
        </w:rPr>
      </w:pPr>
    </w:p>
    <w:p>
      <w:pPr>
        <w:ind w:left="1007"/>
        <w:spacing w:after="0"/>
        <w:rPr>
          <w:rFonts w:ascii="Arial" w:cs="Arial" w:eastAsia="Arial" w:hAnsi="Arial"/>
          <w:sz w:val="16"/>
          <w:szCs w:val="16"/>
          <w:color w:val="auto"/>
        </w:rPr>
      </w:pPr>
      <w:r>
        <w:rPr>
          <w:rFonts w:ascii="Arial" w:cs="Arial" w:eastAsia="Arial" w:hAnsi="Arial"/>
          <w:sz w:val="15"/>
          <w:szCs w:val="15"/>
          <w:color w:val="auto"/>
        </w:rPr>
        <w:t>7,733</w:t>
      </w:r>
    </w:p>
    <w:p>
      <w:pPr>
        <w:spacing w:after="0" w:line="211" w:lineRule="exact"/>
        <w:rPr>
          <w:sz w:val="20"/>
          <w:szCs w:val="20"/>
          <w:color w:val="auto"/>
        </w:rPr>
      </w:pPr>
    </w:p>
    <w:p>
      <w:pPr>
        <w:sectPr>
          <w:pgSz w:w="11900" w:h="16838" w:orient="portrait"/>
          <w:cols w:equalWidth="0" w:num="2">
            <w:col w:w="8073" w:space="720"/>
            <w:col w:w="2627"/>
          </w:cols>
          <w:pgMar w:left="240" w:top="904" w:right="239" w:bottom="1440" w:gutter="0" w:footer="0" w:header="0"/>
          <w:type w:val="continuous"/>
        </w:sectPr>
      </w:pPr>
    </w:p>
    <w:p>
      <w:pPr>
        <w:spacing w:after="0" w:line="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United’s operating results for the nine months ended September 30, 2015 include the operating results of the acquired assets and assumed liabilities for the days subsequent to the acquisition date of September 1, 2015.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MoneyTree Corporation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 2015, United completed the acquisition of MoneyTree Corporation (“MoneyTree”) and its wholly-owned bank subsidiary, First National Bank (“FNB”). FNB operated ten branches in east Tennessee. In connection with the acquisition, United acquired $460 million of assets and assumed $409 million of liabilities and $9.99 million of preferred stock. Total consideration transferred was $54.6 million of common equity and cash. The fair value of consideration paid exceeded the fair value of the identifiable assets and liabilities acquired and resulted in the establishment of goodwill in the amount of $14.1 million, which consisted largely of the intangible value of FNB’s business and reputation within the market it serves. None of the goodwill recognized is expected to be deductible for income tax purposes. United will amortize the related core deposit intangible of $4.22 million using the sum-of-the-years-digits method over 6.67 years, which represents the expected useful life of the asset. The deposit premium of $917,000 will be amortized using the effective yield method over 5 years, which represents the weighted average maturity of the underlying deposits.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2.36 million common shares issued as part of the consideration paid for MoneyTree was determined on the basis of the closing market price of United’s common shares on the acquisition date.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completion of the acquisition, each share of preferred stock issued by MoneyTree as part of the Small Business Lending Fund (“SBLF”) program of the United States Department of Treasury (9,992 shares in the aggregate with a liquidation preference amount of $1,000 per share) was converted automatically into one substantially identical share of preferred stock of the Company. See Note 12 for further detail.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purchased assets and assumed liabilities were recorded at their acquisition date fair values, and are summarized in the table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As Recorded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Fair Value</w:t>
            </w:r>
          </w:p>
        </w:tc>
        <w:tc>
          <w:tcPr>
            <w:tcW w:w="138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As Recorded by</w:t>
            </w:r>
          </w:p>
        </w:tc>
        <w:tc>
          <w:tcPr>
            <w:tcW w:w="0" w:type="dxa"/>
            <w:vAlign w:val="bottom"/>
          </w:tcPr>
          <w:p>
            <w:pPr>
              <w:spacing w:after="0"/>
              <w:rPr>
                <w:sz w:val="1"/>
                <w:szCs w:val="1"/>
                <w:color w:val="auto"/>
              </w:rPr>
            </w:pPr>
          </w:p>
        </w:tc>
      </w:tr>
      <w:tr>
        <w:trPr>
          <w:trHeight w:val="278"/>
        </w:trPr>
        <w:tc>
          <w:tcPr>
            <w:tcW w:w="56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by MoneyTree</w:t>
            </w:r>
          </w:p>
        </w:tc>
        <w:tc>
          <w:tcPr>
            <w:tcW w:w="1500" w:type="dxa"/>
            <w:vAlign w:val="bottom"/>
            <w:gridSpan w:val="4"/>
          </w:tcPr>
          <w:p>
            <w:pPr>
              <w:ind w:left="180"/>
              <w:spacing w:after="0" w:line="271" w:lineRule="exact"/>
              <w:rPr>
                <w:sz w:val="20"/>
                <w:szCs w:val="20"/>
                <w:color w:val="auto"/>
              </w:rPr>
            </w:pPr>
            <w:r>
              <w:rPr>
                <w:rFonts w:ascii="Arial" w:cs="Arial" w:eastAsia="Arial" w:hAnsi="Arial"/>
                <w:sz w:val="18"/>
                <w:szCs w:val="18"/>
                <w:b w:val="1"/>
                <w:bCs w:val="1"/>
                <w:color w:val="auto"/>
                <w:w w:val="93"/>
              </w:rPr>
              <w:t xml:space="preserve">Adjustments </w:t>
            </w:r>
            <w:r>
              <w:rPr>
                <w:rFonts w:ascii="Arial" w:cs="Arial" w:eastAsia="Arial" w:hAnsi="Arial"/>
                <w:sz w:val="30"/>
                <w:szCs w:val="30"/>
                <w:b w:val="1"/>
                <w:bCs w:val="1"/>
                <w:color w:val="auto"/>
                <w:w w:val="93"/>
                <w:vertAlign w:val="superscript"/>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United</w:t>
            </w:r>
          </w:p>
        </w:tc>
        <w:tc>
          <w:tcPr>
            <w:tcW w:w="0" w:type="dxa"/>
            <w:vAlign w:val="bottom"/>
          </w:tcPr>
          <w:p>
            <w:pPr>
              <w:spacing w:after="0"/>
              <w:rPr>
                <w:sz w:val="1"/>
                <w:szCs w:val="1"/>
                <w:color w:val="auto"/>
              </w:rPr>
            </w:pPr>
          </w:p>
        </w:tc>
      </w:tr>
      <w:tr>
        <w:trPr>
          <w:trHeight w:val="216"/>
        </w:trPr>
        <w:tc>
          <w:tcPr>
            <w:tcW w:w="56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55,293</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Securities</w:t>
            </w:r>
          </w:p>
        </w:tc>
        <w:tc>
          <w:tcPr>
            <w:tcW w:w="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127,123</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(52)</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127,071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Loans held for sale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Loans, net</w:t>
            </w:r>
          </w:p>
        </w:tc>
        <w:tc>
          <w:tcPr>
            <w:tcW w:w="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246,816</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(2,464)</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244,352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Bank owned life insurance</w:t>
            </w:r>
          </w:p>
        </w:tc>
        <w:tc>
          <w:tcPr>
            <w:tcW w:w="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11,194</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Core deposit intangible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5,462</w:t>
            </w:r>
          </w:p>
        </w:tc>
        <w:tc>
          <w:tcPr>
            <w:tcW w:w="1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(716)</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640" w:type="dxa"/>
            <w:vAlign w:val="bottom"/>
            <w:tcBorders>
              <w:top w:val="single" w:sz="8" w:color="F0FFFF"/>
            </w:tcBorders>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64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456,727</w:t>
            </w:r>
          </w:p>
        </w:tc>
        <w:tc>
          <w:tcPr>
            <w:tcW w:w="1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2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459,943</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F0FFFF"/>
            </w:tcBorders>
          </w:tcPr>
          <w:p>
            <w:pPr>
              <w:spacing w:after="0" w:line="20" w:lineRule="exact"/>
              <w:rPr>
                <w:sz w:val="1"/>
                <w:szCs w:val="1"/>
                <w:color w:val="auto"/>
              </w:rPr>
            </w:pPr>
          </w:p>
        </w:tc>
        <w:tc>
          <w:tcPr>
            <w:tcW w:w="64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Deposits</w:t>
            </w:r>
          </w:p>
        </w:tc>
        <w:tc>
          <w:tcPr>
            <w:tcW w:w="94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368,833</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Short-term borrowings</w:t>
            </w:r>
          </w:p>
        </w:tc>
        <w:tc>
          <w:tcPr>
            <w:tcW w:w="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64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40" w:type="dxa"/>
            <w:vAlign w:val="bottom"/>
            <w:tcBorders>
              <w:bottom w:val="single" w:sz="8" w:color="F0FFFF"/>
            </w:tcBorders>
          </w:tcPr>
          <w:p>
            <w:pPr>
              <w:ind w:left="160"/>
              <w:spacing w:after="0" w:line="203" w:lineRule="exact"/>
              <w:rPr>
                <w:sz w:val="20"/>
                <w:szCs w:val="20"/>
                <w:color w:val="auto"/>
              </w:rPr>
            </w:pPr>
            <w:r>
              <w:rPr>
                <w:rFonts w:ascii="Arial" w:cs="Arial" w:eastAsia="Arial" w:hAnsi="Arial"/>
                <w:sz w:val="18"/>
                <w:szCs w:val="18"/>
                <w:b w:val="1"/>
                <w:bCs w:val="1"/>
                <w:color w:val="auto"/>
              </w:rPr>
              <w:t>Total liabilities assumed</w:t>
            </w:r>
          </w:p>
        </w:tc>
        <w:tc>
          <w:tcPr>
            <w:tcW w:w="640" w:type="dxa"/>
            <w:vAlign w:val="bottom"/>
            <w:tcBorders>
              <w:bottom w:val="single" w:sz="8" w:color="F0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406,697</w:t>
            </w:r>
          </w:p>
        </w:tc>
        <w:tc>
          <w:tcPr>
            <w:tcW w:w="180" w:type="dxa"/>
            <w:vAlign w:val="bottom"/>
            <w:tcBorders>
              <w:bottom w:val="single" w:sz="8" w:color="F0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2,797</w:t>
            </w:r>
          </w:p>
        </w:tc>
        <w:tc>
          <w:tcPr>
            <w:tcW w:w="12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409,494</w:t>
            </w:r>
          </w:p>
        </w:tc>
        <w:tc>
          <w:tcPr>
            <w:tcW w:w="10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SBLF preferred stock assumed</w:t>
            </w:r>
          </w:p>
        </w:tc>
        <w:tc>
          <w:tcPr>
            <w:tcW w:w="64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9,992</w:t>
            </w:r>
          </w:p>
        </w:tc>
        <w:tc>
          <w:tcPr>
            <w:tcW w:w="18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Excess of assets acquired over liabilities and preferred stock assumed</w:t>
            </w:r>
          </w:p>
        </w:tc>
        <w:tc>
          <w:tcPr>
            <w:tcW w:w="94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F0FFFF"/>
            </w:tcBorders>
          </w:tcPr>
          <w:p>
            <w:pPr>
              <w:spacing w:after="0" w:line="20" w:lineRule="exact"/>
              <w:rPr>
                <w:sz w:val="1"/>
                <w:szCs w:val="1"/>
                <w:color w:val="auto"/>
              </w:rPr>
            </w:pPr>
          </w:p>
        </w:tc>
        <w:tc>
          <w:tcPr>
            <w:tcW w:w="64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Aggregate fair value adjustments</w:t>
            </w:r>
          </w:p>
        </w:tc>
        <w:tc>
          <w:tcPr>
            <w:tcW w:w="640" w:type="dxa"/>
            <w:vAlign w:val="bottom"/>
            <w:shd w:val="clear" w:color="auto" w:fill="F0FFFF"/>
          </w:tcPr>
          <w:p>
            <w:pPr>
              <w:spacing w:after="0"/>
              <w:rPr>
                <w:sz w:val="22"/>
                <w:szCs w:val="22"/>
                <w:color w:val="auto"/>
              </w:rPr>
            </w:pPr>
          </w:p>
        </w:tc>
        <w:tc>
          <w:tcPr>
            <w:tcW w:w="30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32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Consideration transferred</w:t>
            </w:r>
          </w:p>
        </w:tc>
        <w:tc>
          <w:tcPr>
            <w:tcW w:w="6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58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issued (2,358,503 shares)</w:t>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Total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-113030</wp:posOffset>
            </wp:positionV>
            <wp:extent cx="651764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188595"/>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br w:type="column"/>
      </w:r>
    </w:p>
    <w:p>
      <w:pPr>
        <w:jc w:val="right"/>
        <w:ind w:right="660"/>
        <w:spacing w:after="0"/>
        <w:rPr>
          <w:sz w:val="20"/>
          <w:szCs w:val="20"/>
          <w:color w:val="auto"/>
        </w:rPr>
      </w:pPr>
      <w:r>
        <w:rPr>
          <w:rFonts w:ascii="Arial" w:cs="Arial" w:eastAsia="Arial" w:hAnsi="Arial"/>
          <w:sz w:val="18"/>
          <w:szCs w:val="18"/>
          <w:color w:val="auto"/>
        </w:rPr>
        <w:t>10,699</w:t>
      </w:r>
    </w:p>
    <w:p>
      <w:pPr>
        <w:spacing w:after="0" w:line="104"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43,892</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54,591</w:t>
      </w:r>
    </w:p>
    <w:p>
      <w:pPr>
        <w:spacing w:after="0" w:line="50" w:lineRule="exact"/>
        <w:rPr>
          <w:sz w:val="20"/>
          <w:szCs w:val="20"/>
          <w:color w:val="auto"/>
        </w:rPr>
      </w:pPr>
    </w:p>
    <w:p>
      <w:pPr>
        <w:ind w:left="724" w:hanging="724"/>
        <w:spacing w:after="0"/>
        <w:tabs>
          <w:tab w:leader="none" w:pos="724" w:val="left"/>
        </w:tabs>
        <w:numPr>
          <w:ilvl w:val="0"/>
          <w:numId w:val="9"/>
        </w:numPr>
        <w:rPr>
          <w:rFonts w:ascii="Arial" w:cs="Arial" w:eastAsia="Arial" w:hAnsi="Arial"/>
          <w:sz w:val="16"/>
          <w:szCs w:val="16"/>
          <w:color w:val="auto"/>
        </w:rPr>
      </w:pPr>
      <w:r>
        <w:rPr>
          <w:rFonts w:ascii="Arial" w:cs="Arial" w:eastAsia="Arial" w:hAnsi="Arial"/>
          <w:sz w:val="16"/>
          <w:szCs w:val="16"/>
          <w:color w:val="auto"/>
        </w:rPr>
        <w:t>14,134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16" w:space="720"/>
            <w:col w:w="1884"/>
          </w:cols>
          <w:pgMar w:left="240" w:top="904" w:right="239" w:bottom="1440" w:gutter="0" w:footer="0" w:header="0"/>
          <w:type w:val="continuous"/>
        </w:sectPr>
      </w:pPr>
    </w:p>
    <w:p>
      <w:pPr>
        <w:spacing w:after="0" w:line="143" w:lineRule="exact"/>
        <w:rPr>
          <w:sz w:val="20"/>
          <w:szCs w:val="20"/>
          <w:color w:val="auto"/>
        </w:rPr>
      </w:pPr>
    </w:p>
    <w:p>
      <w:pPr>
        <w:ind w:left="580" w:right="580" w:firstLine="2"/>
        <w:spacing w:after="0" w:line="211" w:lineRule="auto"/>
        <w:tabs>
          <w:tab w:leader="none" w:pos="806" w:val="left"/>
        </w:tabs>
        <w:numPr>
          <w:ilvl w:val="0"/>
          <w:numId w:val="10"/>
        </w:numPr>
        <w:rPr>
          <w:rFonts w:ascii="Arial" w:cs="Arial" w:eastAsia="Arial" w:hAnsi="Arial"/>
          <w:sz w:val="27"/>
          <w:szCs w:val="27"/>
          <w:color w:val="auto"/>
          <w:vertAlign w:val="superscript"/>
        </w:rPr>
      </w:pPr>
      <w:r>
        <w:rPr>
          <w:rFonts w:ascii="Arial" w:cs="Arial" w:eastAsia="Arial" w:hAnsi="Arial"/>
          <w:sz w:val="17"/>
          <w:szCs w:val="17"/>
          <w:color w:val="auto"/>
        </w:rPr>
        <w:t>Fair values are preliminary and are subject to refinement for a period not to exceed one year after the closing date of an acquisition as information relative to closing date fair values becomes available.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Purchased loans that show evidence of credit deterioration since origination are accounted for pursuant to Accounting Standards Codification (“ASC”) Topic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xml:space="preserve"> The following table presents additional information related to the acquired loan portfolio at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Accounted for pursuant to ASC 310-30: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Contractually required principal and interest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Non-accretable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flows expected to be collected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48895</wp:posOffset>
            </wp:positionV>
            <wp:extent cx="579755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Excluded from ASC 310-30:</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Gross contractual amounts receivable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Estimate of contractual cash flows not expected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42"/>
        <w:spacing w:after="0"/>
        <w:rPr>
          <w:sz w:val="20"/>
          <w:szCs w:val="20"/>
          <w:color w:val="auto"/>
        </w:rPr>
      </w:pPr>
      <w:r>
        <w:rPr>
          <w:rFonts w:ascii="Arial" w:cs="Arial" w:eastAsia="Arial" w:hAnsi="Arial"/>
          <w:sz w:val="17"/>
          <w:szCs w:val="17"/>
          <w:b w:val="1"/>
          <w:bCs w:val="1"/>
          <w:u w:val="single" w:color="auto"/>
          <w:color w:val="auto"/>
        </w:rPr>
        <w:t>May 1, 2015</w:t>
      </w:r>
    </w:p>
    <w:p>
      <w:pPr>
        <w:spacing w:after="0" w:line="268" w:lineRule="exact"/>
        <w:rPr>
          <w:sz w:val="20"/>
          <w:szCs w:val="20"/>
          <w:color w:val="auto"/>
        </w:rPr>
      </w:pPr>
    </w:p>
    <w:p>
      <w:pPr>
        <w:ind w:left="502" w:hanging="502"/>
        <w:spacing w:after="0"/>
        <w:tabs>
          <w:tab w:leader="none" w:pos="5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15,152</w:t>
      </w:r>
    </w:p>
    <w:p>
      <w:pPr>
        <w:spacing w:after="0" w:line="46" w:lineRule="exact"/>
        <w:rPr>
          <w:rFonts w:ascii="Arial" w:cs="Arial" w:eastAsia="Arial" w:hAnsi="Arial"/>
          <w:sz w:val="16"/>
          <w:szCs w:val="16"/>
          <w:color w:val="auto"/>
        </w:rPr>
      </w:pPr>
    </w:p>
    <w:p>
      <w:pPr>
        <w:ind w:left="602"/>
        <w:spacing w:after="0"/>
        <w:rPr>
          <w:rFonts w:ascii="Arial" w:cs="Arial" w:eastAsia="Arial" w:hAnsi="Arial"/>
          <w:sz w:val="16"/>
          <w:szCs w:val="16"/>
          <w:color w:val="auto"/>
        </w:rPr>
      </w:pPr>
      <w:r>
        <w:rPr>
          <w:rFonts w:ascii="Arial" w:cs="Arial" w:eastAsia="Arial" w:hAnsi="Arial"/>
          <w:sz w:val="15"/>
          <w:szCs w:val="15"/>
          <w:color w:val="auto"/>
        </w:rPr>
        <w:t>3,677</w:t>
      </w:r>
    </w:p>
    <w:p>
      <w:pPr>
        <w:spacing w:after="0" w:line="70"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11,475</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1,029</w:t>
      </w:r>
    </w:p>
    <w:p>
      <w:pPr>
        <w:spacing w:after="0" w:line="49" w:lineRule="exact"/>
        <w:rPr>
          <w:sz w:val="20"/>
          <w:szCs w:val="20"/>
          <w:color w:val="auto"/>
        </w:rPr>
      </w:pPr>
    </w:p>
    <w:p>
      <w:pPr>
        <w:ind w:left="502" w:hanging="502"/>
        <w:spacing w:after="0"/>
        <w:tabs>
          <w:tab w:leader="none" w:pos="5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10,446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6343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22" w:hanging="422"/>
        <w:spacing w:after="0"/>
        <w:tabs>
          <w:tab w:leader="none" w:pos="4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233,906</w:t>
      </w:r>
    </w:p>
    <w:p>
      <w:pPr>
        <w:spacing w:after="0" w:line="46" w:lineRule="exact"/>
        <w:rPr>
          <w:rFonts w:ascii="Arial" w:cs="Arial" w:eastAsia="Arial" w:hAnsi="Arial"/>
          <w:sz w:val="16"/>
          <w:szCs w:val="16"/>
          <w:color w:val="auto"/>
        </w:rPr>
      </w:pPr>
    </w:p>
    <w:p>
      <w:pPr>
        <w:ind w:left="422"/>
        <w:spacing w:after="0"/>
        <w:rPr>
          <w:rFonts w:ascii="Arial" w:cs="Arial" w:eastAsia="Arial" w:hAnsi="Arial"/>
          <w:sz w:val="16"/>
          <w:szCs w:val="16"/>
          <w:color w:val="auto"/>
        </w:rPr>
      </w:pPr>
      <w:r>
        <w:rPr>
          <w:rFonts w:ascii="Arial" w:cs="Arial" w:eastAsia="Arial" w:hAnsi="Arial"/>
          <w:sz w:val="16"/>
          <w:szCs w:val="16"/>
          <w:color w:val="auto"/>
        </w:rPr>
        <w:t>258,931</w:t>
      </w:r>
    </w:p>
    <w:p>
      <w:pPr>
        <w:spacing w:after="0" w:line="32" w:lineRule="exact"/>
        <w:rPr>
          <w:rFonts w:ascii="Arial" w:cs="Arial" w:eastAsia="Arial" w:hAnsi="Arial"/>
          <w:sz w:val="16"/>
          <w:szCs w:val="16"/>
          <w:color w:val="auto"/>
        </w:rPr>
      </w:pPr>
    </w:p>
    <w:p>
      <w:pPr>
        <w:ind w:left="602"/>
        <w:spacing w:after="0"/>
        <w:rPr>
          <w:rFonts w:ascii="Arial" w:cs="Arial" w:eastAsia="Arial" w:hAnsi="Arial"/>
          <w:sz w:val="16"/>
          <w:szCs w:val="16"/>
          <w:color w:val="auto"/>
        </w:rPr>
      </w:pPr>
      <w:r>
        <w:rPr>
          <w:rFonts w:ascii="Arial" w:cs="Arial" w:eastAsia="Arial" w:hAnsi="Arial"/>
          <w:sz w:val="15"/>
          <w:szCs w:val="15"/>
          <w:color w:val="auto"/>
        </w:rPr>
        <w:t>1,231</w:t>
      </w:r>
    </w:p>
    <w:p>
      <w:pPr>
        <w:spacing w:after="0" w:line="211" w:lineRule="exact"/>
        <w:rPr>
          <w:sz w:val="20"/>
          <w:szCs w:val="20"/>
          <w:color w:val="auto"/>
        </w:rPr>
      </w:pPr>
    </w:p>
    <w:p>
      <w:pPr>
        <w:sectPr>
          <w:pgSz w:w="11900" w:h="16838" w:orient="portrait"/>
          <w:cols w:equalWidth="0" w:num="2">
            <w:col w:w="8478" w:space="720"/>
            <w:col w:w="2222"/>
          </w:cols>
          <w:pgMar w:left="240" w:top="1121" w:right="239" w:bottom="1440" w:gutter="0" w:footer="0" w:header="0"/>
          <w:type w:val="continuous"/>
        </w:sectPr>
      </w:pPr>
    </w:p>
    <w:p>
      <w:pPr>
        <w:spacing w:after="0" w:line="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operating results for the nine months ended September 30, 2015 include the operating results of the acquired assets and assumed liabilities for the days subsequent to the acquisition date of May 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discloses the impact of the merger with Palmetto and MoneyTree since the respective acquisition dates through September 30, 2015. The table also presents certain pro forma information as if Palmetto and MoneyTree had been acquired on January 1, 2014. These results combine the historical results of Palmetto and MoneyTree with United’s consolidated statement of income and, while certain adjustments were made for the estimated impact of certain fair value adjustments and other acquisition-related activity, they are not necessarily indicative of what would have occurred had the acquisition taken place on January 1, 2014.</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Merger-related costs of $8.92 million from the acquisitions have been excluded from the 2015 pro forma information presented below and included in the 2014 pro forma information presented below. Furthermore, no adjustments have been made to the pro forma information to eliminate the pre-acquisition provision for loan losses for the nine months ended September 30, 2015 or 2014 of Palmetto or MoneyTree. No adjustments have been made to reduce the impact of any OREO write downs recognized by Palmetto or MoneyTree in either the nine months ended September 30, 2015 or 2014. In addition, expenses related to systems conversions and other costs of integration are expected to be recorded during the next several quarters. United expects to achieve further operating cost savings and other business synergies as a result of the acquisition which are not reflected in the pro forma amounts below. The actual results and pro forma information were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F0FFFF"/>
          </w:tcPr>
          <w:p>
            <w:pPr>
              <w:spacing w:after="0"/>
              <w:rPr>
                <w:sz w:val="20"/>
                <w:szCs w:val="20"/>
                <w:color w:val="auto"/>
              </w:rPr>
            </w:pPr>
            <w:r>
              <w:rPr>
                <w:rFonts w:ascii="Arial" w:cs="Arial" w:eastAsia="Arial" w:hAnsi="Arial"/>
                <w:sz w:val="18"/>
                <w:szCs w:val="18"/>
                <w:color w:val="auto"/>
              </w:rPr>
              <w:t>Actual MoneyTree from May 1, 2015 - September 30, 2015</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5,365</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Actual Palmetto from September 1, 2015 - September 30, 2015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F0FFFF"/>
          </w:tcPr>
          <w:p>
            <w:pPr>
              <w:spacing w:after="0"/>
              <w:rPr>
                <w:sz w:val="20"/>
                <w:szCs w:val="20"/>
                <w:color w:val="auto"/>
              </w:rPr>
            </w:pPr>
            <w:r>
              <w:rPr>
                <w:rFonts w:ascii="Arial" w:cs="Arial" w:eastAsia="Arial" w:hAnsi="Arial"/>
                <w:sz w:val="18"/>
                <w:szCs w:val="18"/>
                <w:color w:val="auto"/>
              </w:rPr>
              <w:t>2015 supplemental consolidated pro forma from January 1, 2015 - September 30, 2015</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273,129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65,229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2014 supplemental consolidated pro forma from January 1, 2014 - September 30, 2014</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251,936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Business Carolina,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2014, United completed the acquisition of substantially all of the assets of Business Carolina, Inc., a specialty Small Business Administration (“SBA”) / United States Department of Agriculture (“USDA”) lender headquartered in Columbia, South Carolina. On the closing date, United paid $31.3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$1.51 million representing the premium paid over the fair value of the separately identifiable assets and liabilities acquired. The gross contractual amount of loans receivable was $28.0 million as of the acquisition date. United has not identified any material separately identifiable intangible assets resulting from the acquisition.</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valuation of loans and servicing assets that were acquired in this transaction included unobservable inputs. Therefore, United considers those valuations to be level 3 in the ASC 820 hierarchy. For the loans, the valuations were derived by estimating the expected cash flows using a combination of prepayment speed and default estimates. The cash flows are then discounted using the rates implied by observed transactions in the market place.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September 30, 2015, December 31, 2014 and September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90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36" w:lineRule="exact"/>
        <w:rPr>
          <w:sz w:val="20"/>
          <w:szCs w:val="20"/>
          <w:color w:val="auto"/>
        </w:rPr>
      </w:pPr>
    </w:p>
    <w:p>
      <w:pPr>
        <w:ind w:left="140" w:right="580" w:hanging="129"/>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140" w:hanging="129"/>
        <w:spacing w:after="0" w:line="277" w:lineRule="auto"/>
        <w:rPr>
          <w:sz w:val="20"/>
          <w:szCs w:val="20"/>
          <w:color w:val="auto"/>
        </w:rPr>
      </w:pPr>
      <w:r>
        <w:rPr>
          <w:rFonts w:ascii="Arial" w:cs="Arial" w:eastAsia="Arial" w:hAnsi="Arial"/>
          <w:sz w:val="18"/>
          <w:szCs w:val="18"/>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right="580" w:hanging="129"/>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140" w:right="580" w:hanging="129"/>
        <w:spacing w:after="0" w:line="277" w:lineRule="auto"/>
        <w:rPr>
          <w:sz w:val="20"/>
          <w:szCs w:val="20"/>
          <w:color w:val="auto"/>
        </w:rPr>
      </w:pPr>
      <w:r>
        <w:rPr>
          <w:rFonts w:ascii="Arial" w:cs="Arial" w:eastAsia="Arial" w:hAnsi="Arial"/>
          <w:sz w:val="18"/>
          <w:szCs w:val="18"/>
          <w:color w:val="auto"/>
        </w:rPr>
        <w:t>Weighted average interest rate of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36" w:lineRule="exact"/>
        <w:rPr>
          <w:sz w:val="20"/>
          <w:szCs w:val="20"/>
          <w:color w:val="auto"/>
        </w:rPr>
      </w:pPr>
    </w:p>
    <w:p>
      <w:pPr>
        <w:ind w:left="140" w:right="580" w:hanging="129"/>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140" w:hanging="129"/>
        <w:spacing w:after="0" w:line="277" w:lineRule="auto"/>
        <w:rPr>
          <w:sz w:val="20"/>
          <w:szCs w:val="20"/>
          <w:color w:val="auto"/>
        </w:rPr>
      </w:pPr>
      <w:r>
        <w:rPr>
          <w:rFonts w:ascii="Arial" w:cs="Arial" w:eastAsia="Arial" w:hAnsi="Arial"/>
          <w:sz w:val="18"/>
          <w:szCs w:val="18"/>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right="580" w:hanging="129"/>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140" w:right="580" w:hanging="129"/>
        <w:spacing w:after="0" w:line="277" w:lineRule="auto"/>
        <w:rPr>
          <w:sz w:val="20"/>
          <w:szCs w:val="20"/>
          <w:color w:val="auto"/>
        </w:rPr>
      </w:pPr>
      <w:r>
        <w:rPr>
          <w:rFonts w:ascii="Arial" w:cs="Arial" w:eastAsia="Arial" w:hAnsi="Arial"/>
          <w:sz w:val="18"/>
          <w:szCs w:val="18"/>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vMerge w:val="restart"/>
          </w:tcPr>
          <w:p>
            <w:pPr>
              <w:jc w:val="right"/>
              <w:ind w:right="18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06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Amounts of</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2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Net Asset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Received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634"/>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19,906</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19,906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419,906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Amounts of</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2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Liabilities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634"/>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27,401</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27,401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(28,169)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427,401</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Amounts of</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2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Net Asset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Received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634"/>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395,000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(20,302)</w:t>
            </w:r>
          </w:p>
        </w:tc>
        <w:tc>
          <w:tcPr>
            <w:tcW w:w="38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20,599</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20,599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415,599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Amounts of</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2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Liabilities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634"/>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31,997</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(32,792)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406,997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-7125970</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-6697345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-6370955</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-5093335</wp:posOffset>
            </wp:positionV>
            <wp:extent cx="72466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-4664710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-4338955</wp:posOffset>
            </wp:positionV>
            <wp:extent cx="72466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-3060700</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-2632075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-2306320</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-1028700</wp:posOffset>
            </wp:positionV>
            <wp:extent cx="72466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-599440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-273685</wp:posOffset>
            </wp:positionV>
            <wp:extent cx="72466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2">
            <w:col w:w="3780" w:space="240"/>
            <w:col w:w="7400"/>
          </w:cols>
          <w:pgMar w:left="240" w:top="904" w:right="239" w:bottom="0" w:gutter="0" w:footer="0" w:header="0"/>
          <w:type w:val="continuous"/>
        </w:sectPr>
      </w:pPr>
    </w:p>
    <w:bookmarkStart w:id="14" w:name="page15"/>
    <w:bookmarkEnd w:id="14"/>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Amounts of</w:t>
            </w: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Offset on the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89"/>
              </w:rPr>
              <w:t>Net Asset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94"/>
              </w:rPr>
              <w:t>Financial</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Instruments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Received</w:t>
            </w:r>
          </w:p>
        </w:tc>
        <w:tc>
          <w:tcPr>
            <w:tcW w:w="8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Repurchase agreements / reverse repurchase</w:t>
            </w: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agreements</w:t>
            </w:r>
          </w:p>
        </w:tc>
        <w:tc>
          <w:tcPr>
            <w:tcW w:w="300" w:type="dxa"/>
            <w:vAlign w:val="bottom"/>
            <w:gridSpan w:val="2"/>
            <w:shd w:val="clear" w:color="auto" w:fill="F0FFFF"/>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392,000</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17,000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(17,985)</w:t>
            </w:r>
          </w:p>
        </w:tc>
        <w:tc>
          <w:tcPr>
            <w:tcW w:w="380" w:type="dxa"/>
            <w:vAlign w:val="bottom"/>
            <w:gridSpan w:val="2"/>
            <w:shd w:val="clear" w:color="auto" w:fill="F0FFFF"/>
          </w:tcPr>
          <w:p>
            <w:pPr>
              <w:jc w:val="right"/>
              <w:ind w:right="13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22,221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16,701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8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1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414,221</w:t>
            </w:r>
          </w:p>
        </w:tc>
        <w:tc>
          <w:tcPr>
            <w:tcW w:w="3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39,221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(2,093</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(21,412</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16,701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749" w:gutter="0" w:footer="0" w:header="0"/>
        </w:sectPr>
      </w:pPr>
    </w:p>
    <w:p>
      <w:pPr>
        <w:spacing w:after="0" w:line="2" w:lineRule="exact"/>
        <w:rPr>
          <w:sz w:val="20"/>
          <w:szCs w:val="20"/>
          <w:color w:val="auto"/>
        </w:rPr>
      </w:pPr>
    </w:p>
    <w:p>
      <w:pPr>
        <w:ind w:left="140" w:hanging="129"/>
        <w:spacing w:after="0" w:line="277" w:lineRule="auto"/>
        <w:rPr>
          <w:sz w:val="20"/>
          <w:szCs w:val="20"/>
          <w:color w:val="auto"/>
        </w:rPr>
      </w:pPr>
      <w:r>
        <w:rPr>
          <w:rFonts w:ascii="Arial" w:cs="Arial" w:eastAsia="Arial" w:hAnsi="Arial"/>
          <w:sz w:val="18"/>
          <w:szCs w:val="18"/>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right="580" w:hanging="129"/>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8"/>
              </w:rPr>
              <w:t>Gross Amounts not Offset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Amounts of</w:t>
            </w: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Offset on the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in the Balance Sheet</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198"/>
        </w:trPr>
        <w:tc>
          <w:tcPr>
            <w:tcW w:w="20" w:type="dxa"/>
            <w:vAlign w:val="bottom"/>
          </w:tcPr>
          <w:p>
            <w:pPr>
              <w:spacing w:after="0"/>
              <w:rPr>
                <w:sz w:val="17"/>
                <w:szCs w:val="17"/>
                <w:color w:val="auto"/>
              </w:rPr>
            </w:pPr>
          </w:p>
        </w:tc>
        <w:tc>
          <w:tcPr>
            <w:tcW w:w="132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94"/>
              </w:rPr>
              <w:t>Financial</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Collateral</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Liabilities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Pledged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Net Amount</w:t>
            </w:r>
          </w:p>
        </w:tc>
      </w:tr>
      <w:tr>
        <w:trPr>
          <w:trHeight w:val="634"/>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36,171</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(38,195)</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411,171</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-1894840</wp:posOffset>
            </wp:positionV>
            <wp:extent cx="724662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-616585</wp:posOffset>
            </wp:positionV>
            <wp:extent cx="72466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-187960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240"/>
            <w:col w:w="7400"/>
          </w:cols>
          <w:pgMar w:left="240" w:top="904" w:right="239" w:bottom="749"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Weighted average interest rate of repurchase</w:t>
            </w:r>
          </w:p>
        </w:tc>
        <w:tc>
          <w:tcPr>
            <w:tcW w:w="1180" w:type="dxa"/>
            <w:vAlign w:val="bottom"/>
          </w:tcPr>
          <w:p>
            <w:pPr>
              <w:spacing w:after="0"/>
              <w:rPr>
                <w:sz w:val="18"/>
                <w:szCs w:val="18"/>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basis, gross unrealized gains and losses and fair value of securities held-to-maturity at September 30, 2015, December 31, 2014 and September 30, 2014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8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4"/>
            <w:vMerge w:val="restart"/>
          </w:tcPr>
          <w:p>
            <w:pPr>
              <w:spacing w:after="0"/>
              <w:rPr>
                <w:sz w:val="20"/>
                <w:szCs w:val="20"/>
                <w:color w:val="auto"/>
              </w:rPr>
            </w:pPr>
            <w:r>
              <w:rPr>
                <w:rFonts w:ascii="Arial" w:cs="Arial" w:eastAsia="Arial" w:hAnsi="Arial"/>
                <w:sz w:val="18"/>
                <w:szCs w:val="18"/>
                <w:color w:val="auto"/>
              </w:rPr>
              <w:t>As of September 30, 2015</w:t>
            </w:r>
          </w:p>
        </w:tc>
        <w:tc>
          <w:tcPr>
            <w:tcW w:w="19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Amortized</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Unrealized</w:t>
            </w:r>
          </w:p>
        </w:tc>
        <w:tc>
          <w:tcPr>
            <w:tcW w:w="200" w:type="dxa"/>
            <w:vAlign w:val="bottom"/>
          </w:tcPr>
          <w:p>
            <w:pPr>
              <w:spacing w:after="0"/>
              <w:rPr>
                <w:sz w:val="19"/>
                <w:szCs w:val="19"/>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80"/>
        </w:trPr>
        <w:tc>
          <w:tcPr>
            <w:tcW w:w="4300" w:type="dxa"/>
            <w:vAlign w:val="bottom"/>
            <w:gridSpan w:val="4"/>
            <w:vMerge w:val="continue"/>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0"/>
              <w:spacing w:after="0" w:line="160" w:lineRule="exact"/>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90"/>
              <w:spacing w:after="0" w:line="160" w:lineRule="exact"/>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60"/>
              <w:spacing w:after="0" w:line="160" w:lineRule="exact"/>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80"/>
              <w:spacing w:after="0" w:line="160"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41"/>
        </w:trPr>
        <w:tc>
          <w:tcPr>
            <w:tcW w:w="20" w:type="dxa"/>
            <w:vAlign w:val="bottom"/>
            <w:tcBorders>
              <w:top w:val="single" w:sz="8" w:color="auto"/>
            </w:tcBorders>
          </w:tcPr>
          <w:p>
            <w:pPr>
              <w:spacing w:after="0"/>
              <w:rPr>
                <w:sz w:val="3"/>
                <w:szCs w:val="3"/>
                <w:color w:val="auto"/>
              </w:rPr>
            </w:pPr>
          </w:p>
        </w:tc>
        <w:tc>
          <w:tcPr>
            <w:tcW w:w="1840" w:type="dxa"/>
            <w:vAlign w:val="bottom"/>
            <w:tcBorders>
              <w:top w:val="single" w:sz="8" w:color="auto"/>
              <w:bottom w:val="single" w:sz="8" w:color="F0FFFF"/>
            </w:tcBorders>
          </w:tcPr>
          <w:p>
            <w:pPr>
              <w:spacing w:after="0"/>
              <w:rPr>
                <w:sz w:val="3"/>
                <w:szCs w:val="3"/>
                <w:color w:val="auto"/>
              </w:rPr>
            </w:pPr>
          </w:p>
        </w:tc>
        <w:tc>
          <w:tcPr>
            <w:tcW w:w="20" w:type="dxa"/>
            <w:vAlign w:val="bottom"/>
            <w:tcBorders>
              <w:top w:val="single" w:sz="8" w:color="auto"/>
              <w:bottom w:val="single" w:sz="8" w:color="F0FFFF"/>
            </w:tcBorders>
          </w:tcPr>
          <w:p>
            <w:pPr>
              <w:spacing w:after="0"/>
              <w:rPr>
                <w:sz w:val="3"/>
                <w:szCs w:val="3"/>
                <w:color w:val="auto"/>
              </w:rPr>
            </w:pPr>
          </w:p>
        </w:tc>
        <w:tc>
          <w:tcPr>
            <w:tcW w:w="2420" w:type="dxa"/>
            <w:vAlign w:val="bottom"/>
            <w:tcBorders>
              <w:bottom w:val="single" w:sz="8" w:color="F0FFFF"/>
            </w:tcBorders>
          </w:tcPr>
          <w:p>
            <w:pPr>
              <w:spacing w:after="0"/>
              <w:rPr>
                <w:sz w:val="3"/>
                <w:szCs w:val="3"/>
                <w:color w:val="auto"/>
              </w:rPr>
            </w:pPr>
          </w:p>
        </w:tc>
        <w:tc>
          <w:tcPr>
            <w:tcW w:w="1900" w:type="dxa"/>
            <w:vAlign w:val="bottom"/>
            <w:tcBorders>
              <w:bottom w:val="single" w:sz="8" w:color="F0FF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F0FF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F0FFFF"/>
            </w:tcBorders>
          </w:tcPr>
          <w:p>
            <w:pPr>
              <w:spacing w:after="0"/>
              <w:rPr>
                <w:sz w:val="3"/>
                <w:szCs w:val="3"/>
                <w:color w:val="auto"/>
              </w:rPr>
            </w:pPr>
          </w:p>
        </w:tc>
        <w:tc>
          <w:tcPr>
            <w:tcW w:w="20" w:type="dxa"/>
            <w:vAlign w:val="bottom"/>
            <w:tcBorders>
              <w:bottom w:val="single" w:sz="8" w:color="F0FF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190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42,094</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3,394</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45,488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Borders>
              <w:bottom w:val="single" w:sz="8" w:color="F0FFFF"/>
            </w:tcBorders>
            <w:gridSpan w:val="3"/>
          </w:tcPr>
          <w:p>
            <w:pPr>
              <w:ind w:left="14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900" w:type="dxa"/>
            <w:vAlign w:val="bottom"/>
            <w:tcBorders>
              <w:bottom w:val="single" w:sz="8" w:color="F0FF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315,455</w:t>
            </w:r>
          </w:p>
        </w:tc>
        <w:tc>
          <w:tcPr>
            <w:tcW w:w="22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w:t>
            </w:r>
          </w:p>
        </w:tc>
        <w:tc>
          <w:tcPr>
            <w:tcW w:w="20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bottom w:val="single" w:sz="8" w:color="F0FFFF"/>
            </w:tcBorders>
          </w:tcPr>
          <w:p>
            <w:pPr>
              <w:spacing w:after="0"/>
              <w:rPr>
                <w:sz w:val="24"/>
                <w:szCs w:val="24"/>
                <w:color w:val="auto"/>
              </w:rPr>
            </w:pPr>
          </w:p>
        </w:tc>
        <w:tc>
          <w:tcPr>
            <w:tcW w:w="2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322,608</w:t>
            </w:r>
          </w:p>
        </w:tc>
        <w:tc>
          <w:tcPr>
            <w:tcW w:w="1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1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357,549</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420" w:type="dxa"/>
            <w:vAlign w:val="bottom"/>
            <w:tcBorders>
              <w:bottom w:val="single" w:sz="8" w:color="F0FFFF"/>
            </w:tcBorders>
          </w:tcPr>
          <w:p>
            <w:pPr>
              <w:spacing w:after="0" w:line="20" w:lineRule="exact"/>
              <w:rPr>
                <w:sz w:val="1"/>
                <w:szCs w:val="1"/>
                <w:color w:val="auto"/>
              </w:rPr>
            </w:pPr>
          </w:p>
        </w:tc>
        <w:tc>
          <w:tcPr>
            <w:tcW w:w="19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1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2014</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2080" w:type="dxa"/>
            <w:vAlign w:val="bottom"/>
            <w:gridSpan w:val="2"/>
            <w:shd w:val="clear" w:color="auto" w:fill="F0FFFF"/>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48,157</w:t>
            </w:r>
          </w:p>
        </w:tc>
        <w:tc>
          <w:tcPr>
            <w:tcW w:w="3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3,504</w:t>
            </w: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51,661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Borders>
              <w:bottom w:val="single" w:sz="8" w:color="F0FFFF"/>
            </w:tcBorders>
            <w:gridSpan w:val="3"/>
          </w:tcPr>
          <w:p>
            <w:pPr>
              <w:ind w:left="14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900" w:type="dxa"/>
            <w:vAlign w:val="bottom"/>
            <w:tcBorders>
              <w:bottom w:val="single" w:sz="8" w:color="F0FF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367,110</w:t>
            </w:r>
          </w:p>
        </w:tc>
        <w:tc>
          <w:tcPr>
            <w:tcW w:w="22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w:t>
            </w:r>
          </w:p>
        </w:tc>
        <w:tc>
          <w:tcPr>
            <w:tcW w:w="20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200" w:type="dxa"/>
            <w:vAlign w:val="bottom"/>
            <w:tcBorders>
              <w:bottom w:val="single" w:sz="8" w:color="F0FFFF"/>
            </w:tcBorders>
          </w:tcPr>
          <w:p>
            <w:pPr>
              <w:spacing w:after="0"/>
              <w:rPr>
                <w:sz w:val="24"/>
                <w:szCs w:val="24"/>
                <w:color w:val="auto"/>
              </w:rPr>
            </w:pPr>
          </w:p>
        </w:tc>
        <w:tc>
          <w:tcPr>
            <w:tcW w:w="2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373,572</w:t>
            </w:r>
          </w:p>
        </w:tc>
        <w:tc>
          <w:tcPr>
            <w:tcW w:w="1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1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20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415,267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1,254</w:t>
            </w:r>
          </w:p>
        </w:tc>
        <w:tc>
          <w:tcPr>
            <w:tcW w:w="200" w:type="dxa"/>
            <w:vAlign w:val="bottom"/>
          </w:tcPr>
          <w:p>
            <w:pPr>
              <w:spacing w:after="0"/>
              <w:rPr>
                <w:sz w:val="21"/>
                <w:szCs w:val="21"/>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425,233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420" w:type="dxa"/>
            <w:vAlign w:val="bottom"/>
            <w:tcBorders>
              <w:bottom w:val="single" w:sz="8" w:color="F0FFFF"/>
            </w:tcBorders>
          </w:tcPr>
          <w:p>
            <w:pPr>
              <w:spacing w:after="0" w:line="20" w:lineRule="exact"/>
              <w:rPr>
                <w:sz w:val="1"/>
                <w:szCs w:val="1"/>
                <w:color w:val="auto"/>
              </w:rPr>
            </w:pPr>
          </w:p>
        </w:tc>
        <w:tc>
          <w:tcPr>
            <w:tcW w:w="190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1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As of September 30, 2014</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2080" w:type="dxa"/>
            <w:vAlign w:val="bottom"/>
            <w:gridSpan w:val="2"/>
            <w:shd w:val="clear" w:color="auto" w:fill="F0FFFF"/>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50,248</w:t>
            </w:r>
          </w:p>
        </w:tc>
        <w:tc>
          <w:tcPr>
            <w:tcW w:w="3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3,849</w:t>
            </w: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54,097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Borders>
              <w:bottom w:val="single" w:sz="8" w:color="F0FFFF"/>
            </w:tcBorders>
            <w:gridSpan w:val="3"/>
          </w:tcPr>
          <w:p>
            <w:pPr>
              <w:ind w:left="14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900" w:type="dxa"/>
            <w:vAlign w:val="bottom"/>
            <w:tcBorders>
              <w:bottom w:val="single" w:sz="8" w:color="F0FF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382,170</w:t>
            </w:r>
          </w:p>
        </w:tc>
        <w:tc>
          <w:tcPr>
            <w:tcW w:w="22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20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200" w:type="dxa"/>
            <w:vAlign w:val="bottom"/>
            <w:tcBorders>
              <w:bottom w:val="single" w:sz="8" w:color="F0FFFF"/>
            </w:tcBorders>
          </w:tcPr>
          <w:p>
            <w:pPr>
              <w:spacing w:after="0"/>
              <w:rPr>
                <w:sz w:val="24"/>
                <w:szCs w:val="24"/>
                <w:color w:val="auto"/>
              </w:rPr>
            </w:pPr>
          </w:p>
        </w:tc>
        <w:tc>
          <w:tcPr>
            <w:tcW w:w="2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386,214</w:t>
            </w:r>
          </w:p>
        </w:tc>
        <w:tc>
          <w:tcPr>
            <w:tcW w:w="1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20" w:type="dxa"/>
            <w:vAlign w:val="bottom"/>
            <w:shd w:val="clear" w:color="auto" w:fill="F0FFFF"/>
          </w:tcPr>
          <w:p>
            <w:pPr>
              <w:spacing w:after="0"/>
              <w:rPr>
                <w:sz w:val="18"/>
                <w:szCs w:val="18"/>
                <w:color w:val="auto"/>
              </w:rPr>
            </w:pPr>
          </w:p>
        </w:tc>
        <w:tc>
          <w:tcPr>
            <w:tcW w:w="1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20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432,418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3,255</w:t>
            </w:r>
          </w:p>
        </w:tc>
        <w:tc>
          <w:tcPr>
            <w:tcW w:w="200" w:type="dxa"/>
            <w:vAlign w:val="bottom"/>
          </w:tcPr>
          <w:p>
            <w:pPr>
              <w:spacing w:after="0"/>
              <w:rPr>
                <w:sz w:val="21"/>
                <w:szCs w:val="21"/>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440,311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40" w:right="2460" w:hanging="5632"/>
        <w:spacing w:after="0" w:line="618" w:lineRule="auto"/>
        <w:tabs>
          <w:tab w:leader="none" w:pos="342"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All are residential type mortgage-backed securities or U.S. government agency commercial mortgage backed securities.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49"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held-to-maturity securities in an unrealized loss position as of September 30, 2015, December 31, 2014 and September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3"/>
              </w:rPr>
              <w:t>Less than 12 Months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12 Months or More</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gridSpan w:val="4"/>
            <w:vMerge w:val="restart"/>
          </w:tcPr>
          <w:p>
            <w:pPr>
              <w:spacing w:after="0"/>
              <w:rPr>
                <w:sz w:val="20"/>
                <w:szCs w:val="20"/>
                <w:color w:val="auto"/>
              </w:rPr>
            </w:pPr>
            <w:r>
              <w:rPr>
                <w:rFonts w:ascii="Arial" w:cs="Arial" w:eastAsia="Arial" w:hAnsi="Arial"/>
                <w:sz w:val="18"/>
                <w:szCs w:val="18"/>
                <w:color w:val="auto"/>
              </w:rPr>
              <w:t>As of September 30, 2015</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Unrealized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Unrealized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30"/>
              <w:spacing w:after="0" w:line="160" w:lineRule="exact"/>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5"/>
                <w:szCs w:val="15"/>
                <w:color w:val="auto"/>
              </w:rPr>
            </w:pPr>
          </w:p>
        </w:tc>
        <w:tc>
          <w:tcPr>
            <w:tcW w:w="960" w:type="dxa"/>
            <w:vAlign w:val="bottom"/>
            <w:gridSpan w:val="2"/>
          </w:tcPr>
          <w:p>
            <w:pPr>
              <w:jc w:val="right"/>
              <w:spacing w:after="0" w:line="160"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5"/>
                <w:szCs w:val="15"/>
                <w:color w:val="auto"/>
              </w:rPr>
            </w:pPr>
          </w:p>
        </w:tc>
        <w:tc>
          <w:tcPr>
            <w:tcW w:w="680" w:type="dxa"/>
            <w:vAlign w:val="bottom"/>
          </w:tcPr>
          <w:p>
            <w:pPr>
              <w:jc w:val="right"/>
              <w:spacing w:after="0" w:line="160" w:lineRule="exact"/>
              <w:rPr>
                <w:sz w:val="20"/>
                <w:szCs w:val="20"/>
                <w:color w:val="auto"/>
              </w:rPr>
            </w:pPr>
            <w:r>
              <w:rPr>
                <w:rFonts w:ascii="Arial" w:cs="Arial" w:eastAsia="Arial" w:hAnsi="Arial"/>
                <w:sz w:val="18"/>
                <w:szCs w:val="18"/>
                <w:b w:val="1"/>
                <w:bCs w:val="1"/>
                <w:color w:val="auto"/>
              </w:rPr>
              <w:t>Loss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ind w:left="80"/>
              <w:spacing w:after="0" w:line="160" w:lineRule="exact"/>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120"/>
              <w:spacing w:after="0" w:line="160"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41"/>
        </w:trPr>
        <w:tc>
          <w:tcPr>
            <w:tcW w:w="20" w:type="dxa"/>
            <w:vAlign w:val="bottom"/>
            <w:tcBorders>
              <w:top w:val="single" w:sz="8" w:color="auto"/>
            </w:tcBorders>
          </w:tcPr>
          <w:p>
            <w:pPr>
              <w:spacing w:after="0"/>
              <w:rPr>
                <w:sz w:val="3"/>
                <w:szCs w:val="3"/>
                <w:color w:val="auto"/>
              </w:rPr>
            </w:pPr>
          </w:p>
        </w:tc>
        <w:tc>
          <w:tcPr>
            <w:tcW w:w="1840" w:type="dxa"/>
            <w:vAlign w:val="bottom"/>
            <w:tcBorders>
              <w:top w:val="single" w:sz="8" w:color="auto"/>
              <w:bottom w:val="single" w:sz="8" w:color="F0FFFF"/>
            </w:tcBorders>
          </w:tcPr>
          <w:p>
            <w:pPr>
              <w:spacing w:after="0"/>
              <w:rPr>
                <w:sz w:val="3"/>
                <w:szCs w:val="3"/>
                <w:color w:val="auto"/>
              </w:rPr>
            </w:pPr>
          </w:p>
        </w:tc>
        <w:tc>
          <w:tcPr>
            <w:tcW w:w="20" w:type="dxa"/>
            <w:vAlign w:val="bottom"/>
            <w:tcBorders>
              <w:top w:val="single" w:sz="8" w:color="auto"/>
              <w:bottom w:val="single" w:sz="8" w:color="F0FFFF"/>
            </w:tcBorders>
          </w:tcPr>
          <w:p>
            <w:pPr>
              <w:spacing w:after="0"/>
              <w:rPr>
                <w:sz w:val="3"/>
                <w:szCs w:val="3"/>
                <w:color w:val="auto"/>
              </w:rPr>
            </w:pPr>
          </w:p>
        </w:tc>
        <w:tc>
          <w:tcPr>
            <w:tcW w:w="1160" w:type="dxa"/>
            <w:vAlign w:val="bottom"/>
            <w:tcBorders>
              <w:bottom w:val="single" w:sz="8" w:color="F0FFFF"/>
            </w:tcBorders>
          </w:tcPr>
          <w:p>
            <w:pPr>
              <w:spacing w:after="0"/>
              <w:rPr>
                <w:sz w:val="3"/>
                <w:szCs w:val="3"/>
                <w:color w:val="auto"/>
              </w:rPr>
            </w:pPr>
          </w:p>
        </w:tc>
        <w:tc>
          <w:tcPr>
            <w:tcW w:w="780" w:type="dxa"/>
            <w:vAlign w:val="bottom"/>
            <w:tcBorders>
              <w:bottom w:val="single" w:sz="8" w:color="F0FF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F0FF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F0FFFF"/>
            </w:tcBorders>
          </w:tcPr>
          <w:p>
            <w:pPr>
              <w:spacing w:after="0"/>
              <w:rPr>
                <w:sz w:val="3"/>
                <w:szCs w:val="3"/>
                <w:color w:val="auto"/>
              </w:rPr>
            </w:pPr>
          </w:p>
        </w:tc>
        <w:tc>
          <w:tcPr>
            <w:tcW w:w="20" w:type="dxa"/>
            <w:vAlign w:val="bottom"/>
            <w:tcBorders>
              <w:bottom w:val="single" w:sz="8" w:color="F0FF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78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80,174</w:t>
            </w:r>
          </w:p>
        </w:tc>
        <w:tc>
          <w:tcPr>
            <w:tcW w:w="2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auto"/>
            </w:tcBorders>
            <w:shd w:val="clear" w:color="auto" w:fill="F0FFFF"/>
          </w:tcPr>
          <w:p>
            <w:pPr>
              <w:jc w:val="right"/>
              <w:ind w:right="52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168</w:t>
            </w:r>
          </w:p>
        </w:tc>
        <w:tc>
          <w:tcPr>
            <w:tcW w:w="2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92,155</w:t>
            </w:r>
          </w:p>
        </w:tc>
        <w:tc>
          <w:tcPr>
            <w:tcW w:w="20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gridSpan w:val="3"/>
          </w:tcPr>
          <w:p>
            <w:pPr>
              <w:ind w:left="140"/>
              <w:spacing w:after="0"/>
              <w:rPr>
                <w:sz w:val="20"/>
                <w:szCs w:val="20"/>
                <w:color w:val="auto"/>
              </w:rPr>
            </w:pPr>
            <w:r>
              <w:rPr>
                <w:rFonts w:ascii="Arial" w:cs="Arial" w:eastAsia="Arial" w:hAnsi="Arial"/>
                <w:sz w:val="18"/>
                <w:szCs w:val="18"/>
                <w:color w:val="auto"/>
              </w:rPr>
              <w:t>Total unrealized loss position</w:t>
            </w:r>
          </w:p>
        </w:tc>
        <w:tc>
          <w:tcPr>
            <w:tcW w:w="78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80,174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F0FFFF"/>
            </w:tcBorders>
          </w:tcPr>
          <w:p>
            <w:pPr>
              <w:spacing w:after="0" w:line="20" w:lineRule="exact"/>
              <w:rPr>
                <w:sz w:val="1"/>
                <w:szCs w:val="1"/>
                <w:color w:val="auto"/>
              </w:rPr>
            </w:pPr>
          </w:p>
        </w:tc>
        <w:tc>
          <w:tcPr>
            <w:tcW w:w="7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0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960" w:type="dxa"/>
            <w:vAlign w:val="bottom"/>
            <w:gridSpan w:val="2"/>
            <w:shd w:val="clear" w:color="auto" w:fill="F0FFFF"/>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126,514</w:t>
            </w:r>
          </w:p>
        </w:tc>
        <w:tc>
          <w:tcPr>
            <w:tcW w:w="420" w:type="dxa"/>
            <w:vAlign w:val="bottom"/>
            <w:gridSpan w:val="2"/>
            <w:shd w:val="clear" w:color="auto" w:fill="F0FF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917</w:t>
            </w:r>
          </w:p>
        </w:tc>
        <w:tc>
          <w:tcPr>
            <w:tcW w:w="420" w:type="dxa"/>
            <w:vAlign w:val="bottom"/>
            <w:gridSpan w:val="2"/>
            <w:shd w:val="clear" w:color="auto" w:fill="F0FFFF"/>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17,053</w:t>
            </w:r>
          </w:p>
        </w:tc>
        <w:tc>
          <w:tcPr>
            <w:tcW w:w="900" w:type="dxa"/>
            <w:vAlign w:val="bottom"/>
            <w:gridSpan w:val="2"/>
            <w:shd w:val="clear" w:color="auto" w:fill="F0FF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337</w:t>
            </w:r>
          </w:p>
        </w:tc>
        <w:tc>
          <w:tcPr>
            <w:tcW w:w="4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143,567</w:t>
            </w:r>
          </w:p>
        </w:tc>
        <w:tc>
          <w:tcPr>
            <w:tcW w:w="200" w:type="dxa"/>
            <w:vAlign w:val="bottom"/>
            <w:shd w:val="clear" w:color="auto" w:fill="F0FFFF"/>
          </w:tcPr>
          <w:p>
            <w:pPr>
              <w:spacing w:after="0"/>
              <w:rPr>
                <w:sz w:val="21"/>
                <w:szCs w:val="21"/>
                <w:color w:val="auto"/>
              </w:rPr>
            </w:pPr>
          </w:p>
        </w:tc>
        <w:tc>
          <w:tcPr>
            <w:tcW w:w="200" w:type="dxa"/>
            <w:vAlign w:val="bottom"/>
            <w:gridSpan w:val="2"/>
            <w:shd w:val="clear" w:color="auto" w:fill="F0FFFF"/>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Borders>
              <w:top w:val="single" w:sz="8" w:color="F0FFFF"/>
            </w:tcBorders>
            <w:gridSpan w:val="3"/>
          </w:tcPr>
          <w:p>
            <w:pPr>
              <w:ind w:left="140"/>
              <w:spacing w:after="0"/>
              <w:rPr>
                <w:sz w:val="20"/>
                <w:szCs w:val="20"/>
                <w:color w:val="auto"/>
              </w:rPr>
            </w:pPr>
            <w:r>
              <w:rPr>
                <w:rFonts w:ascii="Arial" w:cs="Arial" w:eastAsia="Arial" w:hAnsi="Arial"/>
                <w:sz w:val="18"/>
                <w:szCs w:val="18"/>
                <w:color w:val="auto"/>
              </w:rPr>
              <w:t>Total unrealized loss position</w:t>
            </w:r>
          </w:p>
        </w:tc>
        <w:tc>
          <w:tcPr>
            <w:tcW w:w="7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126,514</w:t>
            </w: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17,053</w:t>
            </w:r>
          </w:p>
        </w:tc>
        <w:tc>
          <w:tcPr>
            <w:tcW w:w="220" w:type="dxa"/>
            <w:vAlign w:val="bottom"/>
            <w:tcBorders>
              <w:top w:val="single" w:sz="8" w:color="F0FF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337</w:t>
            </w: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143,567</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F0FFFF"/>
            </w:tcBorders>
          </w:tcPr>
          <w:p>
            <w:pPr>
              <w:spacing w:after="0" w:line="20" w:lineRule="exact"/>
              <w:rPr>
                <w:sz w:val="1"/>
                <w:szCs w:val="1"/>
                <w:color w:val="auto"/>
              </w:rPr>
            </w:pPr>
          </w:p>
        </w:tc>
        <w:tc>
          <w:tcPr>
            <w:tcW w:w="7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gridSpan w:val="3"/>
          </w:tcPr>
          <w:p>
            <w:pPr>
              <w:spacing w:after="0" w:line="176" w:lineRule="exact"/>
              <w:rPr>
                <w:sz w:val="20"/>
                <w:szCs w:val="20"/>
                <w:color w:val="auto"/>
              </w:rPr>
            </w:pPr>
            <w:r>
              <w:rPr>
                <w:rFonts w:ascii="Arial" w:cs="Arial" w:eastAsia="Arial" w:hAnsi="Arial"/>
                <w:sz w:val="18"/>
                <w:szCs w:val="18"/>
                <w:color w:val="auto"/>
              </w:rPr>
              <w:t>As of September 30, 2014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0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960" w:type="dxa"/>
            <w:vAlign w:val="bottom"/>
            <w:gridSpan w:val="2"/>
            <w:shd w:val="clear" w:color="auto" w:fill="F0FFFF"/>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189,223</w:t>
            </w:r>
          </w:p>
        </w:tc>
        <w:tc>
          <w:tcPr>
            <w:tcW w:w="420" w:type="dxa"/>
            <w:vAlign w:val="bottom"/>
            <w:gridSpan w:val="2"/>
            <w:shd w:val="clear" w:color="auto" w:fill="F0FF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3,147</w:t>
            </w:r>
          </w:p>
        </w:tc>
        <w:tc>
          <w:tcPr>
            <w:tcW w:w="420" w:type="dxa"/>
            <w:vAlign w:val="bottom"/>
            <w:gridSpan w:val="2"/>
            <w:shd w:val="clear" w:color="auto" w:fill="F0FFFF"/>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2,798</w:t>
            </w:r>
          </w:p>
        </w:tc>
        <w:tc>
          <w:tcPr>
            <w:tcW w:w="900" w:type="dxa"/>
            <w:vAlign w:val="bottom"/>
            <w:gridSpan w:val="2"/>
            <w:shd w:val="clear" w:color="auto" w:fill="F0FF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108</w:t>
            </w:r>
          </w:p>
        </w:tc>
        <w:tc>
          <w:tcPr>
            <w:tcW w:w="4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192,021</w:t>
            </w:r>
          </w:p>
        </w:tc>
        <w:tc>
          <w:tcPr>
            <w:tcW w:w="200" w:type="dxa"/>
            <w:vAlign w:val="bottom"/>
            <w:shd w:val="clear" w:color="auto" w:fill="F0FFFF"/>
          </w:tcPr>
          <w:p>
            <w:pPr>
              <w:spacing w:after="0"/>
              <w:rPr>
                <w:sz w:val="21"/>
                <w:szCs w:val="21"/>
                <w:color w:val="auto"/>
              </w:rPr>
            </w:pPr>
          </w:p>
        </w:tc>
        <w:tc>
          <w:tcPr>
            <w:tcW w:w="200" w:type="dxa"/>
            <w:vAlign w:val="bottom"/>
            <w:gridSpan w:val="2"/>
            <w:shd w:val="clear" w:color="auto" w:fill="F0FFFF"/>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Borders>
              <w:top w:val="single" w:sz="8" w:color="F0FFFF"/>
            </w:tcBorders>
            <w:gridSpan w:val="3"/>
          </w:tcPr>
          <w:p>
            <w:pPr>
              <w:ind w:left="140"/>
              <w:spacing w:after="0"/>
              <w:rPr>
                <w:sz w:val="20"/>
                <w:szCs w:val="20"/>
                <w:color w:val="auto"/>
              </w:rPr>
            </w:pPr>
            <w:r>
              <w:rPr>
                <w:rFonts w:ascii="Arial" w:cs="Arial" w:eastAsia="Arial" w:hAnsi="Arial"/>
                <w:sz w:val="18"/>
                <w:szCs w:val="18"/>
                <w:color w:val="auto"/>
              </w:rPr>
              <w:t>Total unrealized loss position</w:t>
            </w:r>
          </w:p>
        </w:tc>
        <w:tc>
          <w:tcPr>
            <w:tcW w:w="7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189,223</w:t>
            </w: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220" w:type="dxa"/>
            <w:vAlign w:val="bottom"/>
            <w:tcBorders>
              <w:top w:val="single" w:sz="8" w:color="F0FF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108</w:t>
            </w: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192,021</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nine months ended September 30, 2015 or 2014.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available-for-sale at September 30, 2015, December 31, 2014 and September 30, 2014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3"/>
            <w:vMerge w:val="restart"/>
          </w:tcPr>
          <w:p>
            <w:pPr>
              <w:spacing w:after="0"/>
              <w:rPr>
                <w:sz w:val="20"/>
                <w:szCs w:val="20"/>
                <w:color w:val="auto"/>
              </w:rPr>
            </w:pPr>
            <w:r>
              <w:rPr>
                <w:rFonts w:ascii="Arial" w:cs="Arial" w:eastAsia="Arial" w:hAnsi="Arial"/>
                <w:sz w:val="18"/>
                <w:szCs w:val="18"/>
                <w:color w:val="auto"/>
              </w:rPr>
              <w:t>As of September 30, 2015</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80"/>
        </w:trPr>
        <w:tc>
          <w:tcPr>
            <w:tcW w:w="3860" w:type="dxa"/>
            <w:vAlign w:val="bottom"/>
            <w:gridSpan w:val="3"/>
            <w:vMerge w:val="continue"/>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50"/>
              <w:spacing w:after="0" w:line="160" w:lineRule="exact"/>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0"/>
              <w:spacing w:after="0" w:line="160" w:lineRule="exact"/>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40"/>
              <w:spacing w:after="0" w:line="160" w:lineRule="exact"/>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40"/>
              <w:spacing w:after="0" w:line="160"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41"/>
        </w:trPr>
        <w:tc>
          <w:tcPr>
            <w:tcW w:w="1860" w:type="dxa"/>
            <w:vAlign w:val="bottom"/>
            <w:tcBorders>
              <w:top w:val="single" w:sz="8" w:color="auto"/>
              <w:bottom w:val="single" w:sz="8" w:color="F0FFFF"/>
            </w:tcBorders>
          </w:tcPr>
          <w:p>
            <w:pPr>
              <w:spacing w:after="0"/>
              <w:rPr>
                <w:sz w:val="3"/>
                <w:szCs w:val="3"/>
                <w:color w:val="auto"/>
              </w:rPr>
            </w:pPr>
          </w:p>
        </w:tc>
        <w:tc>
          <w:tcPr>
            <w:tcW w:w="20" w:type="dxa"/>
            <w:vAlign w:val="bottom"/>
            <w:tcBorders>
              <w:top w:val="single" w:sz="8" w:color="auto"/>
              <w:bottom w:val="single" w:sz="8" w:color="F0FFFF"/>
            </w:tcBorders>
          </w:tcPr>
          <w:p>
            <w:pPr>
              <w:spacing w:after="0"/>
              <w:rPr>
                <w:sz w:val="3"/>
                <w:szCs w:val="3"/>
                <w:color w:val="auto"/>
              </w:rPr>
            </w:pPr>
          </w:p>
        </w:tc>
        <w:tc>
          <w:tcPr>
            <w:tcW w:w="1980" w:type="dxa"/>
            <w:vAlign w:val="bottom"/>
            <w:tcBorders>
              <w:bottom w:val="single" w:sz="8" w:color="F0FFFF"/>
            </w:tcBorders>
          </w:tcPr>
          <w:p>
            <w:pPr>
              <w:spacing w:after="0"/>
              <w:rPr>
                <w:sz w:val="3"/>
                <w:szCs w:val="3"/>
                <w:color w:val="auto"/>
              </w:rPr>
            </w:pPr>
          </w:p>
        </w:tc>
        <w:tc>
          <w:tcPr>
            <w:tcW w:w="146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20" w:type="dxa"/>
            <w:vAlign w:val="bottom"/>
            <w:tcBorders>
              <w:bottom w:val="single" w:sz="8" w:color="F0FF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U.S. Treasuries</w:t>
            </w:r>
          </w:p>
        </w:tc>
        <w:tc>
          <w:tcPr>
            <w:tcW w:w="146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162,791</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164,227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160"/>
              <w:spacing w:after="0"/>
              <w:rPr>
                <w:sz w:val="20"/>
                <w:szCs w:val="20"/>
                <w:color w:val="auto"/>
              </w:rPr>
            </w:pPr>
            <w:r>
              <w:rPr>
                <w:rFonts w:ascii="Arial" w:cs="Arial" w:eastAsia="Arial" w:hAnsi="Arial"/>
                <w:sz w:val="18"/>
                <w:szCs w:val="18"/>
                <w:color w:val="auto"/>
              </w:rPr>
              <w:t>U.S. Government agencies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State and political subdivisions</w:t>
            </w:r>
          </w:p>
        </w:tc>
        <w:tc>
          <w:tcPr>
            <w:tcW w:w="1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36,017</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36,378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1,106,835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17,090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1,119,681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207,559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1,773</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207,690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160"/>
              <w:spacing w:after="0"/>
              <w:rPr>
                <w:sz w:val="20"/>
                <w:szCs w:val="20"/>
                <w:color w:val="auto"/>
              </w:rPr>
            </w:pPr>
            <w:r>
              <w:rPr>
                <w:rFonts w:ascii="Arial" w:cs="Arial" w:eastAsia="Arial" w:hAnsi="Arial"/>
                <w:sz w:val="18"/>
                <w:szCs w:val="18"/>
                <w:color w:val="auto"/>
              </w:rPr>
              <w:t>Asset-backed securities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469,736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1,866</w:t>
            </w:r>
          </w:p>
        </w:tc>
        <w:tc>
          <w:tcPr>
            <w:tcW w:w="2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860" w:type="dxa"/>
            <w:vAlign w:val="bottom"/>
            <w:gridSpan w:val="3"/>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2,085,751</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23,543</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9,426</w:t>
            </w:r>
          </w:p>
        </w:tc>
        <w:tc>
          <w:tcPr>
            <w:tcW w:w="2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2,099,868</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F0FFFF"/>
              <w:bottom w:val="single" w:sz="8" w:color="F0FFFF"/>
            </w:tcBorders>
            <w:gridSpan w:val="3"/>
            <w:vMerge w:val="restart"/>
          </w:tcPr>
          <w:p>
            <w:pPr>
              <w:spacing w:after="0" w:line="189" w:lineRule="exact"/>
              <w:rPr>
                <w:sz w:val="20"/>
                <w:szCs w:val="20"/>
                <w:color w:val="auto"/>
              </w:rPr>
            </w:pPr>
            <w:r>
              <w:rPr>
                <w:rFonts w:ascii="Arial" w:cs="Arial" w:eastAsia="Arial" w:hAnsi="Arial"/>
                <w:sz w:val="18"/>
                <w:szCs w:val="18"/>
                <w:color w:val="auto"/>
              </w:rPr>
              <w:t>As of December 31, 2014</w:t>
            </w:r>
          </w:p>
        </w:tc>
        <w:tc>
          <w:tcPr>
            <w:tcW w:w="14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60" w:type="dxa"/>
            <w:vAlign w:val="bottom"/>
            <w:gridSpan w:val="3"/>
            <w:vMerge w:val="continue"/>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U.S. Treasuries</w:t>
            </w:r>
          </w:p>
        </w:tc>
        <w:tc>
          <w:tcPr>
            <w:tcW w:w="16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105,540</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235</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160"/>
              <w:spacing w:after="0"/>
              <w:rPr>
                <w:sz w:val="20"/>
                <w:szCs w:val="20"/>
                <w:color w:val="auto"/>
              </w:rPr>
            </w:pPr>
            <w:r>
              <w:rPr>
                <w:rFonts w:ascii="Arial" w:cs="Arial" w:eastAsia="Arial" w:hAnsi="Arial"/>
                <w:sz w:val="18"/>
                <w:szCs w:val="18"/>
                <w:color w:val="auto"/>
              </w:rPr>
              <w:t>U.S. Government agencies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State and political subdivisions</w:t>
            </w:r>
          </w:p>
        </w:tc>
        <w:tc>
          <w:tcPr>
            <w:tcW w:w="1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19,748</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20,233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988,012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16,273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996,820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165,018</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165,628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160"/>
              <w:spacing w:after="0"/>
              <w:rPr>
                <w:sz w:val="20"/>
                <w:szCs w:val="20"/>
                <w:color w:val="auto"/>
              </w:rPr>
            </w:pPr>
            <w:r>
              <w:rPr>
                <w:rFonts w:ascii="Arial" w:cs="Arial" w:eastAsia="Arial" w:hAnsi="Arial"/>
                <w:sz w:val="18"/>
                <w:szCs w:val="18"/>
                <w:color w:val="auto"/>
              </w:rPr>
              <w:t>Asset-backed securities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455,626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2,117</w:t>
            </w:r>
          </w:p>
        </w:tc>
        <w:tc>
          <w:tcPr>
            <w:tcW w:w="2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860" w:type="dxa"/>
            <w:vAlign w:val="bottom"/>
            <w:gridSpan w:val="3"/>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1,772,535</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20,955</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10,756</w:t>
            </w:r>
          </w:p>
        </w:tc>
        <w:tc>
          <w:tcPr>
            <w:tcW w:w="2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1,782,734</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F0FFFF"/>
              <w:bottom w:val="single" w:sz="8" w:color="F0FFFF"/>
            </w:tcBorders>
            <w:gridSpan w:val="3"/>
            <w:vMerge w:val="restart"/>
          </w:tcPr>
          <w:p>
            <w:pPr>
              <w:spacing w:after="0" w:line="189" w:lineRule="exact"/>
              <w:rPr>
                <w:sz w:val="20"/>
                <w:szCs w:val="20"/>
                <w:color w:val="auto"/>
              </w:rPr>
            </w:pPr>
            <w:r>
              <w:rPr>
                <w:rFonts w:ascii="Arial" w:cs="Arial" w:eastAsia="Arial" w:hAnsi="Arial"/>
                <w:sz w:val="18"/>
                <w:szCs w:val="18"/>
                <w:color w:val="auto"/>
              </w:rPr>
              <w:t>As of September 30, 2014</w:t>
            </w:r>
          </w:p>
        </w:tc>
        <w:tc>
          <w:tcPr>
            <w:tcW w:w="14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60" w:type="dxa"/>
            <w:vAlign w:val="bottom"/>
            <w:gridSpan w:val="3"/>
            <w:vMerge w:val="continue"/>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U.S. Treasuries</w:t>
            </w:r>
          </w:p>
        </w:tc>
        <w:tc>
          <w:tcPr>
            <w:tcW w:w="16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105,385</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245</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105,022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160"/>
              <w:spacing w:after="0"/>
              <w:rPr>
                <w:sz w:val="20"/>
                <w:szCs w:val="20"/>
                <w:color w:val="auto"/>
              </w:rPr>
            </w:pPr>
            <w:r>
              <w:rPr>
                <w:rFonts w:ascii="Arial" w:cs="Arial" w:eastAsia="Arial" w:hAnsi="Arial"/>
                <w:sz w:val="18"/>
                <w:szCs w:val="18"/>
                <w:color w:val="auto"/>
              </w:rPr>
              <w:t>State and political subdivisions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3"/>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46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1,029,881</w:t>
            </w:r>
          </w:p>
        </w:tc>
        <w:tc>
          <w:tcPr>
            <w:tcW w:w="2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15,010</w:t>
            </w:r>
          </w:p>
        </w:tc>
        <w:tc>
          <w:tcPr>
            <w:tcW w:w="2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9,899</w:t>
            </w:r>
          </w:p>
        </w:tc>
        <w:tc>
          <w:tcPr>
            <w:tcW w:w="220" w:type="dxa"/>
            <w:vAlign w:val="bottom"/>
            <w:shd w:val="clear" w:color="auto" w:fill="F0FFFF"/>
          </w:tcPr>
          <w:p>
            <w:pPr>
              <w:spacing w:after="0"/>
              <w:rPr>
                <w:sz w:val="22"/>
                <w:szCs w:val="22"/>
                <w:color w:val="auto"/>
              </w:rPr>
            </w:pPr>
          </w:p>
        </w:tc>
        <w:tc>
          <w:tcPr>
            <w:tcW w:w="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1,034,992</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Asset-backed securities</w:t>
            </w:r>
          </w:p>
        </w:tc>
        <w:tc>
          <w:tcPr>
            <w:tcW w:w="1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458,569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3,629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462,044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F0FFFF"/>
            </w:tcBorders>
            <w:gridSpan w:val="3"/>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22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980" w:type="dxa"/>
            <w:vAlign w:val="bottom"/>
            <w:shd w:val="clear" w:color="auto" w:fill="F0FFFF"/>
          </w:tcPr>
          <w:p>
            <w:pPr>
              <w:spacing w:after="0"/>
              <w:rPr>
                <w:sz w:val="18"/>
                <w:szCs w:val="18"/>
                <w:color w:val="auto"/>
              </w:rPr>
            </w:pPr>
          </w:p>
        </w:tc>
        <w:tc>
          <w:tcPr>
            <w:tcW w:w="1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6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1,781,115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12,425</w:t>
            </w:r>
          </w:p>
        </w:tc>
        <w:tc>
          <w:tcPr>
            <w:tcW w:w="220" w:type="dxa"/>
            <w:vAlign w:val="bottom"/>
          </w:tcPr>
          <w:p>
            <w:pPr>
              <w:spacing w:after="0"/>
              <w:rPr>
                <w:sz w:val="21"/>
                <w:szCs w:val="21"/>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1,789,667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40" w:right="2280" w:hanging="5342"/>
        <w:spacing w:after="0" w:line="683" w:lineRule="auto"/>
        <w:tabs>
          <w:tab w:leader="none" w:pos="528"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All are residential type mortgage-backed securities or U.S. government agency commercial mortgage backed securities.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September 30, 2015, December 31, 2014 and September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680" w:type="dxa"/>
            <w:vAlign w:val="bottom"/>
            <w:gridSpan w:val="5"/>
          </w:tcPr>
          <w:p>
            <w:pPr>
              <w:ind w:left="420"/>
              <w:spacing w:after="0"/>
              <w:rPr>
                <w:sz w:val="20"/>
                <w:szCs w:val="20"/>
                <w:color w:val="auto"/>
              </w:rPr>
            </w:pPr>
            <w:r>
              <w:rPr>
                <w:rFonts w:ascii="Arial" w:cs="Arial" w:eastAsia="Arial" w:hAnsi="Arial"/>
                <w:sz w:val="18"/>
                <w:szCs w:val="18"/>
                <w:b w:val="1"/>
                <w:bCs w:val="1"/>
                <w:color w:val="auto"/>
              </w:rPr>
              <w:t>12 Months or More</w:t>
            </w:r>
          </w:p>
        </w:tc>
        <w:tc>
          <w:tcPr>
            <w:tcW w:w="1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60" w:type="dxa"/>
            <w:vAlign w:val="bottom"/>
            <w:gridSpan w:val="3"/>
            <w:vMerge w:val="restart"/>
          </w:tcPr>
          <w:p>
            <w:pPr>
              <w:spacing w:after="0"/>
              <w:rPr>
                <w:sz w:val="20"/>
                <w:szCs w:val="20"/>
                <w:color w:val="auto"/>
              </w:rPr>
            </w:pPr>
            <w:r>
              <w:rPr>
                <w:rFonts w:ascii="Arial" w:cs="Arial" w:eastAsia="Arial" w:hAnsi="Arial"/>
                <w:sz w:val="18"/>
                <w:szCs w:val="18"/>
                <w:color w:val="auto"/>
              </w:rPr>
              <w:t>As of September 30, 2015</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Unrealized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5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line="160" w:lineRule="exact"/>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5"/>
                <w:szCs w:val="15"/>
                <w:color w:val="auto"/>
              </w:rPr>
            </w:pPr>
          </w:p>
        </w:tc>
        <w:tc>
          <w:tcPr>
            <w:tcW w:w="1320" w:type="dxa"/>
            <w:vAlign w:val="bottom"/>
            <w:gridSpan w:val="2"/>
          </w:tcPr>
          <w:p>
            <w:pPr>
              <w:jc w:val="right"/>
              <w:ind w:right="660"/>
              <w:spacing w:after="0" w:line="160" w:lineRule="exact"/>
              <w:rPr>
                <w:sz w:val="20"/>
                <w:szCs w:val="20"/>
                <w:color w:val="auto"/>
              </w:rPr>
            </w:pPr>
            <w:r>
              <w:rPr>
                <w:rFonts w:ascii="Arial" w:cs="Arial" w:eastAsia="Arial" w:hAnsi="Arial"/>
                <w:sz w:val="18"/>
                <w:szCs w:val="18"/>
                <w:b w:val="1"/>
                <w:bCs w:val="1"/>
                <w:color w:val="auto"/>
              </w:rPr>
              <w:t>Loss</w:t>
            </w:r>
          </w:p>
        </w:tc>
        <w:tc>
          <w:tcPr>
            <w:tcW w:w="140" w:type="dxa"/>
            <w:vAlign w:val="bottom"/>
          </w:tcPr>
          <w:p>
            <w:pPr>
              <w:spacing w:after="0"/>
              <w:rPr>
                <w:sz w:val="15"/>
                <w:szCs w:val="15"/>
                <w:color w:val="auto"/>
              </w:rPr>
            </w:pPr>
          </w:p>
        </w:tc>
        <w:tc>
          <w:tcPr>
            <w:tcW w:w="1280" w:type="dxa"/>
            <w:vAlign w:val="bottom"/>
            <w:gridSpan w:val="2"/>
          </w:tcPr>
          <w:p>
            <w:pPr>
              <w:jc w:val="right"/>
              <w:ind w:right="420"/>
              <w:spacing w:after="0" w:line="160" w:lineRule="exact"/>
              <w:rPr>
                <w:sz w:val="20"/>
                <w:szCs w:val="20"/>
                <w:color w:val="auto"/>
              </w:rPr>
            </w:pPr>
            <w:r>
              <w:rPr>
                <w:rFonts w:ascii="Arial" w:cs="Arial" w:eastAsia="Arial" w:hAnsi="Arial"/>
                <w:sz w:val="18"/>
                <w:szCs w:val="18"/>
                <w:b w:val="1"/>
                <w:bCs w:val="1"/>
                <w:color w:val="auto"/>
                <w:w w:val="97"/>
              </w:rPr>
              <w:t>Fair Value</w:t>
            </w:r>
          </w:p>
        </w:tc>
        <w:tc>
          <w:tcPr>
            <w:tcW w:w="140" w:type="dxa"/>
            <w:vAlign w:val="bottom"/>
          </w:tcPr>
          <w:p>
            <w:pPr>
              <w:spacing w:after="0"/>
              <w:rPr>
                <w:sz w:val="15"/>
                <w:szCs w:val="15"/>
                <w:color w:val="auto"/>
              </w:rPr>
            </w:pPr>
          </w:p>
        </w:tc>
        <w:tc>
          <w:tcPr>
            <w:tcW w:w="1260" w:type="dxa"/>
            <w:vAlign w:val="bottom"/>
            <w:gridSpan w:val="2"/>
          </w:tcPr>
          <w:p>
            <w:pPr>
              <w:jc w:val="center"/>
              <w:ind w:right="340"/>
              <w:spacing w:after="0" w:line="160" w:lineRule="exact"/>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15"/>
                <w:szCs w:val="15"/>
                <w:color w:val="auto"/>
              </w:rPr>
            </w:pPr>
          </w:p>
        </w:tc>
        <w:tc>
          <w:tcPr>
            <w:tcW w:w="1260" w:type="dxa"/>
            <w:vAlign w:val="bottom"/>
            <w:gridSpan w:val="2"/>
          </w:tcPr>
          <w:p>
            <w:pPr>
              <w:ind w:left="60"/>
              <w:spacing w:after="0" w:line="160" w:lineRule="exact"/>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5"/>
                <w:szCs w:val="15"/>
                <w:color w:val="auto"/>
              </w:rPr>
            </w:pPr>
          </w:p>
        </w:tc>
        <w:tc>
          <w:tcPr>
            <w:tcW w:w="1180" w:type="dxa"/>
            <w:vAlign w:val="bottom"/>
            <w:gridSpan w:val="2"/>
          </w:tcPr>
          <w:p>
            <w:pPr>
              <w:jc w:val="right"/>
              <w:ind w:right="540"/>
              <w:spacing w:after="0" w:line="160"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41"/>
        </w:trPr>
        <w:tc>
          <w:tcPr>
            <w:tcW w:w="1860" w:type="dxa"/>
            <w:vAlign w:val="bottom"/>
            <w:tcBorders>
              <w:top w:val="single" w:sz="8" w:color="auto"/>
              <w:bottom w:val="single" w:sz="8" w:color="F0FFFF"/>
            </w:tcBorders>
          </w:tcPr>
          <w:p>
            <w:pPr>
              <w:spacing w:after="0"/>
              <w:rPr>
                <w:sz w:val="3"/>
                <w:szCs w:val="3"/>
                <w:color w:val="auto"/>
              </w:rPr>
            </w:pPr>
          </w:p>
        </w:tc>
        <w:tc>
          <w:tcPr>
            <w:tcW w:w="20" w:type="dxa"/>
            <w:vAlign w:val="bottom"/>
            <w:tcBorders>
              <w:top w:val="single" w:sz="8" w:color="auto"/>
              <w:bottom w:val="single" w:sz="8" w:color="F0FFFF"/>
            </w:tcBorders>
          </w:tcPr>
          <w:p>
            <w:pPr>
              <w:spacing w:after="0"/>
              <w:rPr>
                <w:sz w:val="3"/>
                <w:szCs w:val="3"/>
                <w:color w:val="auto"/>
              </w:rPr>
            </w:pPr>
          </w:p>
        </w:tc>
        <w:tc>
          <w:tcPr>
            <w:tcW w:w="680" w:type="dxa"/>
            <w:vAlign w:val="bottom"/>
            <w:tcBorders>
              <w:bottom w:val="single" w:sz="8" w:color="F0FF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F0FF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10,605</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10,605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10,276</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10,276</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65,692</w:t>
            </w: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205,021</w:t>
            </w:r>
          </w:p>
        </w:tc>
        <w:tc>
          <w:tcPr>
            <w:tcW w:w="1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3,956</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270,713</w:t>
            </w: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58,476</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10,407</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68,883</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50"/>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265,064</w:t>
            </w:r>
          </w:p>
        </w:tc>
        <w:tc>
          <w:tcPr>
            <w:tcW w:w="14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3,024</w:t>
            </w:r>
          </w:p>
        </w:tc>
        <w:tc>
          <w:tcPr>
            <w:tcW w:w="14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14,665</w:t>
            </w:r>
          </w:p>
        </w:tc>
        <w:tc>
          <w:tcPr>
            <w:tcW w:w="14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279,729</w:t>
            </w:r>
          </w:p>
        </w:tc>
        <w:tc>
          <w:tcPr>
            <w:tcW w:w="14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7"/>
        </w:trPr>
        <w:tc>
          <w:tcPr>
            <w:tcW w:w="2560" w:type="dxa"/>
            <w:vAlign w:val="bottom"/>
            <w:tcBorders>
              <w:top w:val="single" w:sz="8" w:color="F0FFFF"/>
            </w:tcBorders>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410,113</w:t>
            </w:r>
          </w:p>
        </w:tc>
        <w:tc>
          <w:tcPr>
            <w:tcW w:w="24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24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230,093</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640,206</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9,426</w:t>
            </w: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6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2014</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34,180</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34,180</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36,299</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36,299</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2,481</w:t>
            </w: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2,481</w:t>
            </w: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88,741</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251,977</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7,019</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340,718</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37,891</w:t>
            </w: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20,275</w:t>
            </w:r>
          </w:p>
        </w:tc>
        <w:tc>
          <w:tcPr>
            <w:tcW w:w="1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58,166</w:t>
            </w: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7"/>
        </w:trPr>
        <w:tc>
          <w:tcPr>
            <w:tcW w:w="256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221,359</w:t>
            </w:r>
          </w:p>
        </w:tc>
        <w:tc>
          <w:tcPr>
            <w:tcW w:w="1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1,592</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40,952</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262,311</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55"/>
        </w:trPr>
        <w:tc>
          <w:tcPr>
            <w:tcW w:w="256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420,951</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313,204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8,087</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734,155</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10,756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color w:val="auto"/>
              </w:rPr>
              <w:t>As of September 30, 2014</w:t>
            </w: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Treasuries</w:t>
            </w:r>
          </w:p>
        </w:tc>
        <w:tc>
          <w:tcPr>
            <w:tcW w:w="68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F0FFFF"/>
            </w:tcBorders>
            <w:gridSpan w:val="2"/>
          </w:tcPr>
          <w:p>
            <w:pPr>
              <w:jc w:val="right"/>
              <w:ind w:right="240"/>
              <w:spacing w:after="0"/>
              <w:rPr>
                <w:sz w:val="20"/>
                <w:szCs w:val="20"/>
                <w:color w:val="auto"/>
              </w:rPr>
            </w:pPr>
            <w:r>
              <w:rPr>
                <w:rFonts w:ascii="Arial" w:cs="Arial" w:eastAsia="Arial" w:hAnsi="Arial"/>
                <w:sz w:val="18"/>
                <w:szCs w:val="18"/>
                <w:color w:val="auto"/>
              </w:rPr>
              <w:t>104,777</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F0FFFF"/>
            </w:tcBorders>
            <w:gridSpan w:val="2"/>
          </w:tcPr>
          <w:p>
            <w:pPr>
              <w:jc w:val="right"/>
              <w:ind w:right="240"/>
              <w:spacing w:after="0"/>
              <w:rPr>
                <w:sz w:val="20"/>
                <w:szCs w:val="20"/>
                <w:color w:val="auto"/>
              </w:rPr>
            </w:pPr>
            <w:r>
              <w:rPr>
                <w:rFonts w:ascii="Arial" w:cs="Arial" w:eastAsia="Arial" w:hAnsi="Arial"/>
                <w:sz w:val="18"/>
                <w:szCs w:val="18"/>
                <w:color w:val="auto"/>
              </w:rPr>
              <w:t>608</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F0FF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F0FFFF"/>
            </w:tcBorders>
            <w:gridSpan w:val="2"/>
          </w:tcPr>
          <w:p>
            <w:pPr>
              <w:jc w:val="right"/>
              <w:ind w:right="200"/>
              <w:spacing w:after="0"/>
              <w:rPr>
                <w:sz w:val="20"/>
                <w:szCs w:val="20"/>
                <w:color w:val="auto"/>
              </w:rPr>
            </w:pPr>
            <w:r>
              <w:rPr>
                <w:rFonts w:ascii="Arial" w:cs="Arial" w:eastAsia="Arial" w:hAnsi="Arial"/>
                <w:sz w:val="18"/>
                <w:szCs w:val="18"/>
                <w:color w:val="auto"/>
              </w:rPr>
              <w:t>104,777</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3,638</w:t>
            </w:r>
          </w:p>
        </w:tc>
        <w:tc>
          <w:tcPr>
            <w:tcW w:w="1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3,638</w:t>
            </w: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126,445</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265,426</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9,055</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391,871</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49,547</w:t>
            </w: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34,657</w:t>
            </w:r>
          </w:p>
        </w:tc>
        <w:tc>
          <w:tcPr>
            <w:tcW w:w="1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84,204</w:t>
            </w:r>
          </w:p>
        </w:tc>
        <w:tc>
          <w:tcPr>
            <w:tcW w:w="1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37"/>
        </w:trPr>
        <w:tc>
          <w:tcPr>
            <w:tcW w:w="256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57,716</w:t>
            </w:r>
          </w:p>
        </w:tc>
        <w:tc>
          <w:tcPr>
            <w:tcW w:w="1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9,952</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67,668</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5"/>
        </w:trPr>
        <w:tc>
          <w:tcPr>
            <w:tcW w:w="256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338,485</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2,003</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313,673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10,422</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652,158</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12,425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2015, there were 137 available-for-sale securities and 15 held-to-maturity securities that were in an unrealized loss position. United does not intend to sell nor believes it will be required to sell securities in an unrealized loss position prior to the recovery of their amortized cost basis. Unrealized losses at September 30, 2015, December 31, 2014 and September 30, 2014 were primarily attributable to changes in interest rates and therefore, United does not consider them to be impaired.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nine months ended September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2014</w:t>
            </w: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sales</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137,702</w:t>
            </w:r>
          </w:p>
        </w:tc>
        <w:tc>
          <w:tcPr>
            <w:tcW w:w="420" w:type="dxa"/>
            <w:vAlign w:val="bottom"/>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13,290</w:t>
            </w: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274,519</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403,517</w:t>
            </w:r>
          </w:p>
        </w:tc>
        <w:tc>
          <w:tcPr>
            <w:tcW w:w="100" w:type="dxa"/>
            <w:vAlign w:val="bottom"/>
            <w:shd w:val="clear" w:color="auto" w:fill="F0FFFF"/>
          </w:tcPr>
          <w:p>
            <w:pPr>
              <w:spacing w:after="0"/>
              <w:rPr>
                <w:sz w:val="22"/>
                <w:szCs w:val="22"/>
                <w:color w:val="auto"/>
              </w:rPr>
            </w:pPr>
          </w:p>
        </w:tc>
      </w:tr>
      <w:tr>
        <w:trPr>
          <w:trHeight w:val="20"/>
        </w:trPr>
        <w:tc>
          <w:tcPr>
            <w:tcW w:w="54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Gross gains on sales</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328</w:t>
            </w:r>
          </w:p>
        </w:tc>
        <w:tc>
          <w:tcPr>
            <w:tcW w:w="420" w:type="dxa"/>
            <w:vAlign w:val="bottom"/>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1,880</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5,795</w:t>
            </w:r>
          </w:p>
        </w:tc>
        <w:tc>
          <w:tcPr>
            <w:tcW w:w="100" w:type="dxa"/>
            <w:vAlign w:val="bottom"/>
            <w:shd w:val="clear" w:color="auto" w:fill="F0FFFF"/>
          </w:tcPr>
          <w:p>
            <w:pPr>
              <w:spacing w:after="0"/>
              <w:rPr>
                <w:sz w:val="18"/>
                <w:szCs w:val="18"/>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Gross losses on sales</w:t>
            </w:r>
          </w:p>
        </w:tc>
        <w:tc>
          <w:tcPr>
            <w:tcW w:w="2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(1,132)</w:t>
            </w:r>
          </w:p>
        </w:tc>
      </w:tr>
      <w:tr>
        <w:trPr>
          <w:trHeight w:val="216"/>
        </w:trPr>
        <w:tc>
          <w:tcPr>
            <w:tcW w:w="54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r>
      <w:tr>
        <w:trPr>
          <w:trHeight w:val="243"/>
        </w:trPr>
        <w:tc>
          <w:tcPr>
            <w:tcW w:w="5440" w:type="dxa"/>
            <w:vAlign w:val="bottom"/>
          </w:tcPr>
          <w:p>
            <w:pPr>
              <w:ind w:left="160"/>
              <w:spacing w:after="0"/>
              <w:rPr>
                <w:sz w:val="20"/>
                <w:szCs w:val="20"/>
                <w:color w:val="auto"/>
              </w:rPr>
            </w:pPr>
            <w:r>
              <w:rPr>
                <w:rFonts w:ascii="Arial" w:cs="Arial" w:eastAsia="Arial" w:hAnsi="Arial"/>
                <w:sz w:val="18"/>
                <w:szCs w:val="18"/>
                <w:color w:val="auto"/>
              </w:rPr>
              <w:t>Net gains on sales of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325</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r>
      <w:tr>
        <w:trPr>
          <w:trHeight w:val="20"/>
        </w:trPr>
        <w:tc>
          <w:tcPr>
            <w:tcW w:w="544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10"/>
        </w:trPr>
        <w:tc>
          <w:tcPr>
            <w:tcW w:w="54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r>
      <w:tr>
        <w:trPr>
          <w:trHeight w:val="21"/>
        </w:trPr>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Securities with a carrying value of $1.45 billion, $1.51 billion and $1.38 billion were pledged to secure public deposits and other secured borrowings at September 30, 2015, December 31, 2014 and September 30, 2014,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September 30, 2015,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6"/>
          </w:tcPr>
          <w:p>
            <w:pPr>
              <w:ind w:left="320"/>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b w:val="1"/>
                <w:bCs w:val="1"/>
                <w:color w:val="auto"/>
              </w:rPr>
              <w:t>Held-to-Maturity</w:t>
            </w:r>
          </w:p>
        </w:tc>
      </w:tr>
      <w:tr>
        <w:trPr>
          <w:trHeight w:val="237"/>
        </w:trPr>
        <w:tc>
          <w:tcPr>
            <w:tcW w:w="4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gridSpan w:val="2"/>
          </w:tcPr>
          <w:p>
            <w:pPr>
              <w:spacing w:after="0"/>
              <w:rPr>
                <w:sz w:val="20"/>
                <w:szCs w:val="20"/>
                <w:color w:val="auto"/>
              </w:rPr>
            </w:pPr>
          </w:p>
        </w:tc>
      </w:tr>
      <w:tr>
        <w:trPr>
          <w:trHeight w:val="216"/>
        </w:trPr>
        <w:tc>
          <w:tcPr>
            <w:tcW w:w="4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87,168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87,925</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6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75,623</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76,302</w:t>
            </w:r>
          </w:p>
        </w:tc>
        <w:tc>
          <w:tcPr>
            <w:tcW w:w="10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r>
      <w:tr>
        <w:trPr>
          <w:trHeight w:val="210"/>
        </w:trPr>
        <w:tc>
          <w:tcPr>
            <w:tcW w:w="4600" w:type="dxa"/>
            <w:vAlign w:val="bottom"/>
            <w:tcBorders>
              <w:top w:val="single" w:sz="8" w:color="F0FFFF"/>
              <w:bottom w:val="single" w:sz="8" w:color="F0FFFF"/>
            </w:tcBorders>
          </w:tcPr>
          <w:p>
            <w:pPr>
              <w:spacing w:after="0"/>
              <w:rPr>
                <w:sz w:val="18"/>
                <w:szCs w:val="18"/>
                <w:color w:val="auto"/>
              </w:rPr>
            </w:pPr>
          </w:p>
        </w:tc>
        <w:tc>
          <w:tcPr>
            <w:tcW w:w="6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162,791</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164,227</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r>
      <w:tr>
        <w:trPr>
          <w:trHeight w:val="216"/>
        </w:trPr>
        <w:tc>
          <w:tcPr>
            <w:tcW w:w="46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23,027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23,018</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r>
      <w:tr>
        <w:trPr>
          <w:trHeight w:val="237"/>
        </w:trPr>
        <w:tc>
          <w:tcPr>
            <w:tcW w:w="46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77,920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78,752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3"/>
        </w:trPr>
        <w:tc>
          <w:tcPr>
            <w:tcW w:w="4600" w:type="dxa"/>
            <w:vAlign w:val="bottom"/>
            <w:tcBorders>
              <w:top w:val="single" w:sz="8" w:color="F0FFFF"/>
              <w:bottom w:val="single" w:sz="8" w:color="F0FFFF"/>
            </w:tcBorders>
            <w:shd w:val="clear" w:color="auto" w:fill="F0FFFF"/>
          </w:tcPr>
          <w:p>
            <w:pPr>
              <w:spacing w:after="0"/>
              <w:rPr>
                <w:sz w:val="19"/>
                <w:szCs w:val="19"/>
                <w:color w:val="auto"/>
              </w:rPr>
            </w:pPr>
          </w:p>
        </w:tc>
        <w:tc>
          <w:tcPr>
            <w:tcW w:w="680" w:type="dxa"/>
            <w:vAlign w:val="bottom"/>
            <w:tcBorders>
              <w:top w:val="single" w:sz="8" w:color="F0FFFF"/>
              <w:bottom w:val="single" w:sz="8" w:color="F0FFFF"/>
            </w:tcBorders>
            <w:shd w:val="clear" w:color="auto" w:fill="F0FFFF"/>
          </w:tcPr>
          <w:p>
            <w:pPr>
              <w:spacing w:after="0"/>
              <w:rPr>
                <w:sz w:val="19"/>
                <w:szCs w:val="19"/>
                <w:color w:val="auto"/>
              </w:rPr>
            </w:pPr>
          </w:p>
        </w:tc>
        <w:tc>
          <w:tcPr>
            <w:tcW w:w="30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100,947</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101,770</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3,510</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10,657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10,926</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15,509</w:t>
            </w: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16,635</w:t>
            </w: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19,245</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21,071</w:t>
            </w:r>
          </w:p>
        </w:tc>
        <w:tc>
          <w:tcPr>
            <w:tcW w:w="80" w:type="dxa"/>
            <w:vAlign w:val="bottom"/>
          </w:tcPr>
          <w:p>
            <w:pPr>
              <w:spacing w:after="0"/>
              <w:rPr>
                <w:sz w:val="18"/>
                <w:szCs w:val="18"/>
                <w:color w:val="auto"/>
              </w:rPr>
            </w:pPr>
          </w:p>
        </w:tc>
      </w:tr>
      <w:tr>
        <w:trPr>
          <w:trHeight w:val="250"/>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6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3,830</w:t>
            </w: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4,182</w:t>
            </w:r>
          </w:p>
        </w:tc>
        <w:tc>
          <w:tcPr>
            <w:tcW w:w="80" w:type="dxa"/>
            <w:vAlign w:val="bottom"/>
            <w:shd w:val="clear" w:color="auto" w:fill="F0FFFF"/>
          </w:tcPr>
          <w:p>
            <w:pPr>
              <w:spacing w:after="0"/>
              <w:rPr>
                <w:sz w:val="21"/>
                <w:szCs w:val="21"/>
                <w:color w:val="auto"/>
              </w:rPr>
            </w:pPr>
          </w:p>
        </w:tc>
      </w:tr>
      <w:tr>
        <w:trPr>
          <w:trHeight w:val="210"/>
        </w:trPr>
        <w:tc>
          <w:tcPr>
            <w:tcW w:w="4600" w:type="dxa"/>
            <w:vAlign w:val="bottom"/>
            <w:tcBorders>
              <w:top w:val="single" w:sz="8" w:color="F0FFFF"/>
              <w:bottom w:val="single" w:sz="8" w:color="F0FFFF"/>
            </w:tcBorders>
          </w:tcPr>
          <w:p>
            <w:pPr>
              <w:spacing w:after="0"/>
              <w:rPr>
                <w:sz w:val="18"/>
                <w:szCs w:val="18"/>
                <w:color w:val="auto"/>
              </w:rPr>
            </w:pPr>
          </w:p>
        </w:tc>
        <w:tc>
          <w:tcPr>
            <w:tcW w:w="6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36,017</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36,378</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42,094</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45,488</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r>
      <w:tr>
        <w:trPr>
          <w:trHeight w:val="216"/>
        </w:trPr>
        <w:tc>
          <w:tcPr>
            <w:tcW w:w="46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Corporate bonds: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141,657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142,523</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34,062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6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32,451</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31,105</w:t>
            </w:r>
          </w:p>
        </w:tc>
        <w:tc>
          <w:tcPr>
            <w:tcW w:w="10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r>
      <w:tr>
        <w:trPr>
          <w:trHeight w:val="210"/>
        </w:trPr>
        <w:tc>
          <w:tcPr>
            <w:tcW w:w="4600" w:type="dxa"/>
            <w:vAlign w:val="bottom"/>
            <w:tcBorders>
              <w:top w:val="single" w:sz="8" w:color="F0FFFF"/>
              <w:bottom w:val="single" w:sz="8" w:color="F0FFFF"/>
            </w:tcBorders>
          </w:tcPr>
          <w:p>
            <w:pPr>
              <w:spacing w:after="0"/>
              <w:rPr>
                <w:sz w:val="18"/>
                <w:szCs w:val="18"/>
                <w:color w:val="auto"/>
              </w:rPr>
            </w:pPr>
          </w:p>
        </w:tc>
        <w:tc>
          <w:tcPr>
            <w:tcW w:w="6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207,559</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207,690</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r>
      <w:tr>
        <w:trPr>
          <w:trHeight w:val="216"/>
        </w:trPr>
        <w:tc>
          <w:tcPr>
            <w:tcW w:w="46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241,369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240,672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6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225,530</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224,716</w:t>
            </w:r>
          </w:p>
        </w:tc>
        <w:tc>
          <w:tcPr>
            <w:tcW w:w="10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r>
      <w:tr>
        <w:trPr>
          <w:trHeight w:val="210"/>
        </w:trPr>
        <w:tc>
          <w:tcPr>
            <w:tcW w:w="4600" w:type="dxa"/>
            <w:vAlign w:val="bottom"/>
            <w:tcBorders>
              <w:top w:val="single" w:sz="8" w:color="F0FFFF"/>
              <w:bottom w:val="single" w:sz="8" w:color="F0FFFF"/>
            </w:tcBorders>
          </w:tcPr>
          <w:p>
            <w:pPr>
              <w:spacing w:after="0"/>
              <w:rPr>
                <w:sz w:val="18"/>
                <w:szCs w:val="18"/>
                <w:color w:val="auto"/>
              </w:rPr>
            </w:pPr>
          </w:p>
        </w:tc>
        <w:tc>
          <w:tcPr>
            <w:tcW w:w="6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469,736</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468,256</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r>
      <w:tr>
        <w:trPr>
          <w:trHeight w:val="216"/>
        </w:trPr>
        <w:tc>
          <w:tcPr>
            <w:tcW w:w="46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6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r>
      <w:tr>
        <w:trPr>
          <w:trHeight w:val="210"/>
        </w:trPr>
        <w:tc>
          <w:tcPr>
            <w:tcW w:w="4600" w:type="dxa"/>
            <w:vAlign w:val="bottom"/>
            <w:tcBorders>
              <w:top w:val="single" w:sz="8" w:color="F0FFFF"/>
              <w:bottom w:val="single" w:sz="8" w:color="F0FFFF"/>
            </w:tcBorders>
          </w:tcPr>
          <w:p>
            <w:pPr>
              <w:spacing w:after="0"/>
              <w:rPr>
                <w:sz w:val="18"/>
                <w:szCs w:val="18"/>
                <w:color w:val="auto"/>
              </w:rPr>
            </w:pPr>
          </w:p>
        </w:tc>
        <w:tc>
          <w:tcPr>
            <w:tcW w:w="68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1,866</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1,866</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r>
      <w:tr>
        <w:trPr>
          <w:trHeight w:val="216"/>
        </w:trPr>
        <w:tc>
          <w:tcPr>
            <w:tcW w:w="46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Within 1 year</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4,065</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3,510</w:t>
            </w: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265,346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267,260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15,509</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16,635</w:t>
            </w: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440,456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441,863</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19,245</w:t>
            </w: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21,071</w:t>
            </w:r>
          </w:p>
        </w:tc>
        <w:tc>
          <w:tcPr>
            <w:tcW w:w="80" w:type="dxa"/>
            <w:vAlign w:val="bottom"/>
            <w:shd w:val="clear" w:color="auto" w:fill="F0FF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269,101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266,999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3,830</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4,182</w:t>
            </w:r>
          </w:p>
        </w:tc>
        <w:tc>
          <w:tcPr>
            <w:tcW w:w="80" w:type="dxa"/>
            <w:vAlign w:val="bottom"/>
          </w:tcPr>
          <w:p>
            <w:pPr>
              <w:spacing w:after="0"/>
              <w:rPr>
                <w:sz w:val="18"/>
                <w:szCs w:val="18"/>
                <w:color w:val="auto"/>
              </w:rPr>
            </w:pPr>
          </w:p>
        </w:tc>
      </w:tr>
      <w:tr>
        <w:trPr>
          <w:trHeight w:val="216"/>
        </w:trPr>
        <w:tc>
          <w:tcPr>
            <w:tcW w:w="46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1,106,835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1,119,681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315,455</w:t>
            </w: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322,608</w:t>
            </w:r>
          </w:p>
        </w:tc>
        <w:tc>
          <w:tcPr>
            <w:tcW w:w="80" w:type="dxa"/>
            <w:vAlign w:val="bottom"/>
          </w:tcPr>
          <w:p>
            <w:pPr>
              <w:spacing w:after="0"/>
              <w:rPr>
                <w:sz w:val="20"/>
                <w:szCs w:val="20"/>
                <w:color w:val="auto"/>
              </w:rPr>
            </w:pPr>
          </w:p>
        </w:tc>
      </w:tr>
      <w:tr>
        <w:trPr>
          <w:trHeight w:val="216"/>
        </w:trPr>
        <w:tc>
          <w:tcPr>
            <w:tcW w:w="4600" w:type="dxa"/>
            <w:vAlign w:val="bottom"/>
            <w:tcBorders>
              <w:top w:val="single" w:sz="8" w:color="F0FFFF"/>
            </w:tcBorders>
            <w:shd w:val="clear" w:color="auto" w:fill="F0FFFF"/>
          </w:tcPr>
          <w:p>
            <w:pPr>
              <w:spacing w:after="0"/>
              <w:rPr>
                <w:sz w:val="18"/>
                <w:szCs w:val="18"/>
                <w:color w:val="auto"/>
              </w:rPr>
            </w:pPr>
          </w:p>
        </w:tc>
        <w:tc>
          <w:tcPr>
            <w:tcW w:w="6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r>
      <w:tr>
        <w:trPr>
          <w:trHeight w:val="243"/>
        </w:trPr>
        <w:tc>
          <w:tcPr>
            <w:tcW w:w="4600" w:type="dxa"/>
            <w:vAlign w:val="bottom"/>
          </w:tcPr>
          <w:p>
            <w:pPr>
              <w:spacing w:after="0"/>
              <w:rPr>
                <w:sz w:val="21"/>
                <w:szCs w:val="21"/>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2,085,751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2,099,868</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357,549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368,096</w:t>
            </w:r>
          </w:p>
        </w:tc>
        <w:tc>
          <w:tcPr>
            <w:tcW w:w="80" w:type="dxa"/>
            <w:vAlign w:val="bottom"/>
          </w:tcPr>
          <w:p>
            <w:pPr>
              <w:spacing w:after="0"/>
              <w:rPr>
                <w:sz w:val="21"/>
                <w:szCs w:val="21"/>
                <w:color w:val="auto"/>
              </w:rPr>
            </w:pPr>
          </w:p>
        </w:tc>
      </w:tr>
      <w:tr>
        <w:trPr>
          <w:trHeight w:val="21"/>
        </w:trPr>
        <w:tc>
          <w:tcPr>
            <w:tcW w:w="4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Allowance for Credit Losses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loans as of September 30, 2015, December 31, 2014 and September 30, 2014,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94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1,479,246</w:t>
            </w:r>
          </w:p>
        </w:tc>
        <w:tc>
          <w:tcPr>
            <w:tcW w:w="12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1,163,480</w:t>
            </w:r>
          </w:p>
        </w:tc>
        <w:tc>
          <w:tcPr>
            <w:tcW w:w="12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1,153,933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817,833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890,233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649,853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Commercial construction</w:t>
            </w:r>
          </w:p>
        </w:tc>
        <w:tc>
          <w:tcPr>
            <w:tcW w:w="170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318,345</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196,030</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180,794</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3,505,657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2,589,307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Residential mortgage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1,061,610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865,789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584,934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465,872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458,819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334,084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298,627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116,603</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104,899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105,345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Indirect auto</w:t>
            </w:r>
          </w:p>
        </w:tc>
        <w:tc>
          <w:tcPr>
            <w:tcW w:w="170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420,697</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268,629</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242,669</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6,023,585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4,568,886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(69,062)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(71,619)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(71,928)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6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Loans, net</w:t>
            </w:r>
          </w:p>
        </w:tc>
        <w:tc>
          <w:tcPr>
            <w:tcW w:w="17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5,954,523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4,600,500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4,496,958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F0FFFF"/>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2015, December 31, 2014 and September 30, 2014, loans totaling $2.51 billion, $2.35 billion and $2.21 billion, respectively, were pledged as collateral to secure FHLB advances and other contingent funding sources.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At September 30, 2015, the carrying value and unpaid principal balance of purchased credit impaired (“PCI”) loans accounted for under ASC 310-30 was $52.2 million and $73.1 million, respectively. The following table presents changes in the value of the accretable yield for acquired loans accounted for under ASC Topic 310-30 for the three and nine months ended September 30, 2015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20" w:type="dxa"/>
            <w:vAlign w:val="bottom"/>
            <w:gridSpan w:val="4"/>
          </w:tcPr>
          <w:p>
            <w:pPr>
              <w:ind w:left="2000"/>
              <w:spacing w:after="0"/>
              <w:rPr>
                <w:sz w:val="20"/>
                <w:szCs w:val="20"/>
                <w:color w:val="auto"/>
              </w:rPr>
            </w:pPr>
            <w:r>
              <w:rPr>
                <w:rFonts w:ascii="Arial" w:cs="Arial" w:eastAsia="Arial" w:hAnsi="Arial"/>
                <w:sz w:val="18"/>
                <w:szCs w:val="18"/>
                <w:b w:val="1"/>
                <w:bCs w:val="1"/>
                <w:color w:val="auto"/>
              </w:rPr>
              <w:t>Three Months Ended</w:t>
            </w: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2015</w:t>
            </w:r>
          </w:p>
        </w:tc>
        <w:tc>
          <w:tcPr>
            <w:tcW w:w="2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2015</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beginning of period</w:t>
            </w:r>
          </w:p>
        </w:tc>
        <w:tc>
          <w:tcPr>
            <w:tcW w:w="2020" w:type="dxa"/>
            <w:vAlign w:val="bottom"/>
            <w:tcBorders>
              <w:top w:val="single" w:sz="8" w:color="F0FFFF"/>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946</w:t>
            </w:r>
          </w:p>
        </w:tc>
        <w:tc>
          <w:tcPr>
            <w:tcW w:w="1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2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5,863</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Accretion</w:t>
            </w:r>
          </w:p>
        </w:tc>
        <w:tc>
          <w:tcPr>
            <w:tcW w:w="202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(316)</w:t>
            </w:r>
          </w:p>
        </w:tc>
        <w:tc>
          <w:tcPr>
            <w:tcW w:w="20" w:type="dxa"/>
            <w:vAlign w:val="bottom"/>
            <w:shd w:val="clear" w:color="auto" w:fill="F0FFFF"/>
          </w:tcPr>
          <w:p>
            <w:pPr>
              <w:spacing w:after="0"/>
              <w:rPr>
                <w:sz w:val="21"/>
                <w:szCs w:val="21"/>
                <w:color w:val="auto"/>
              </w:rPr>
            </w:pPr>
          </w:p>
        </w:tc>
        <w:tc>
          <w:tcPr>
            <w:tcW w:w="6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(399)</w:t>
            </w:r>
          </w:p>
        </w:tc>
      </w:tr>
      <w:tr>
        <w:trPr>
          <w:trHeight w:val="217"/>
        </w:trPr>
        <w:tc>
          <w:tcPr>
            <w:tcW w:w="20" w:type="dxa"/>
            <w:vAlign w:val="bottom"/>
          </w:tcPr>
          <w:p>
            <w:pPr>
              <w:spacing w:after="0"/>
              <w:rPr>
                <w:sz w:val="18"/>
                <w:szCs w:val="18"/>
                <w:color w:val="auto"/>
              </w:rPr>
            </w:pPr>
          </w:p>
        </w:tc>
        <w:tc>
          <w:tcPr>
            <w:tcW w:w="42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Balance at end of period</w:t>
            </w:r>
          </w:p>
        </w:tc>
        <w:tc>
          <w:tcPr>
            <w:tcW w:w="2020" w:type="dxa"/>
            <w:vAlign w:val="bottom"/>
            <w:tcBorders>
              <w:top w:val="single" w:sz="8" w:color="F0FF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18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Borders>
              <w:top w:val="single" w:sz="8" w:color="F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accretable yield on loans accounted for under ASC Topic 310-30, the fair value adjustments on purchased loans outside the scope of ASC Topic 310-30 are also accreted to interest income over the life of the loans. At September 30, 2015, the remaining accretable fair value mark on loans acquired through a business combination and not accounted for under ASC Topic 310-30 was $7.71 million. In addition, indirect auto loans purchased at a premium outside of a business combination have a remaining premium of $11.0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balance and activity in the allowance for credit losses by portfolio segment for the three and nine months ended September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gridSpan w:val="6"/>
          </w:tcPr>
          <w:p>
            <w:pPr>
              <w:spacing w:after="0"/>
              <w:rPr>
                <w:sz w:val="15"/>
                <w:szCs w:val="15"/>
                <w:color w:val="auto"/>
              </w:rPr>
            </w:pPr>
          </w:p>
        </w:tc>
        <w:tc>
          <w:tcPr>
            <w:tcW w:w="3900" w:type="dxa"/>
            <w:vAlign w:val="bottom"/>
            <w:tcBorders>
              <w:bottom w:val="single" w:sz="8" w:color="auto"/>
            </w:tcBorders>
            <w:gridSpan w:val="24"/>
          </w:tcPr>
          <w:p>
            <w:pPr>
              <w:jc w:val="right"/>
              <w:ind w:right="3900"/>
              <w:spacing w:after="0"/>
              <w:rPr>
                <w:sz w:val="20"/>
                <w:szCs w:val="20"/>
                <w:color w:val="auto"/>
              </w:rPr>
            </w:pPr>
            <w:r>
              <w:rPr>
                <w:rFonts w:ascii="Arial" w:cs="Arial" w:eastAsia="Arial" w:hAnsi="Arial"/>
                <w:sz w:val="14"/>
                <w:szCs w:val="14"/>
                <w:b w:val="1"/>
                <w:bCs w:val="1"/>
                <w:color w:val="auto"/>
              </w:rPr>
              <w:t>2015</w:t>
            </w:r>
          </w:p>
        </w:tc>
        <w:tc>
          <w:tcPr>
            <w:tcW w:w="180" w:type="dxa"/>
            <w:vAlign w:val="bottom"/>
            <w:gridSpan w:val="2"/>
          </w:tcPr>
          <w:p>
            <w:pPr>
              <w:spacing w:after="0"/>
              <w:rPr>
                <w:sz w:val="15"/>
                <w:szCs w:val="15"/>
                <w:color w:val="auto"/>
              </w:rPr>
            </w:pPr>
          </w:p>
        </w:tc>
        <w:tc>
          <w:tcPr>
            <w:tcW w:w="4940" w:type="dxa"/>
            <w:vAlign w:val="bottom"/>
            <w:tcBorders>
              <w:bottom w:val="single" w:sz="8" w:color="auto"/>
            </w:tcBorders>
            <w:gridSpan w:val="28"/>
          </w:tcPr>
          <w:p>
            <w:pPr>
              <w:jc w:val="right"/>
              <w:ind w:right="48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Beginning</w:t>
            </w:r>
          </w:p>
        </w:tc>
        <w:tc>
          <w:tcPr>
            <w:tcW w:w="80" w:type="dxa"/>
            <w:vAlign w:val="bottom"/>
          </w:tcPr>
          <w:p>
            <w:pPr>
              <w:spacing w:after="0"/>
              <w:rPr>
                <w:sz w:val="10"/>
                <w:szCs w:val="10"/>
                <w:color w:val="auto"/>
              </w:rPr>
            </w:pPr>
          </w:p>
        </w:tc>
        <w:tc>
          <w:tcPr>
            <w:tcW w:w="72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Charge-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Ending</w:t>
            </w:r>
          </w:p>
        </w:tc>
        <w:tc>
          <w:tcPr>
            <w:tcW w:w="40" w:type="dxa"/>
            <w:vAlign w:val="bottom"/>
          </w:tcPr>
          <w:p>
            <w:pPr>
              <w:spacing w:after="0"/>
              <w:rPr>
                <w:sz w:val="10"/>
                <w:szCs w:val="10"/>
                <w:color w:val="auto"/>
              </w:rPr>
            </w:pPr>
          </w:p>
        </w:tc>
        <w:tc>
          <w:tcPr>
            <w:tcW w:w="82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0"/>
                <w:szCs w:val="10"/>
                <w:color w:val="auto"/>
              </w:rPr>
            </w:pPr>
          </w:p>
        </w:tc>
        <w:tc>
          <w:tcPr>
            <w:tcW w:w="74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Charge-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4"/>
          </w:tcPr>
          <w:p>
            <w:pPr>
              <w:jc w:val="center"/>
              <w:ind w:right="160"/>
              <w:spacing w:after="0" w:line="126" w:lineRule="exact"/>
              <w:rPr>
                <w:sz w:val="20"/>
                <w:szCs w:val="20"/>
                <w:color w:val="auto"/>
              </w:rPr>
            </w:pPr>
            <w:r>
              <w:rPr>
                <w:rFonts w:ascii="Arial" w:cs="Arial" w:eastAsia="Arial" w:hAnsi="Arial"/>
                <w:sz w:val="14"/>
                <w:szCs w:val="14"/>
                <w:b w:val="1"/>
                <w:bCs w:val="1"/>
                <w:color w:val="auto"/>
                <w:w w:val="91"/>
              </w:rPr>
              <w:t>Allocation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28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2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3"/>
              </w:rPr>
              <w:t>Recoveries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0"/>
              </w:rPr>
              <w:t>Provision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Recoveries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3"/>
              </w:rPr>
              <w:t>Provision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8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Offs</w:t>
            </w:r>
          </w:p>
        </w:tc>
        <w:tc>
          <w:tcPr>
            <w:tcW w:w="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Balance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Balance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Offs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9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Unallocated</w:t>
            </w:r>
          </w:p>
        </w:tc>
        <w:tc>
          <w:tcPr>
            <w:tcW w:w="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tcBorders>
              <w:top w:val="single" w:sz="8" w:color="auto"/>
            </w:tcBorders>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40" w:type="dxa"/>
            <w:vAlign w:val="bottom"/>
            <w:tcBorders>
              <w:top w:val="single" w:sz="8" w:color="auto"/>
            </w:tcBorders>
            <w:gridSpan w:val="3"/>
          </w:tcPr>
          <w:p>
            <w:pPr>
              <w:spacing w:after="0"/>
              <w:rPr>
                <w:sz w:val="12"/>
                <w:szCs w:val="12"/>
                <w:color w:val="auto"/>
              </w:rPr>
            </w:pPr>
          </w:p>
        </w:tc>
        <w:tc>
          <w:tcPr>
            <w:tcW w:w="160" w:type="dxa"/>
            <w:vAlign w:val="bottom"/>
            <w:gridSpan w:val="2"/>
          </w:tcPr>
          <w:p>
            <w:pPr>
              <w:spacing w:after="0"/>
              <w:rPr>
                <w:sz w:val="12"/>
                <w:szCs w:val="12"/>
                <w:color w:val="auto"/>
              </w:rPr>
            </w:pPr>
          </w:p>
        </w:tc>
        <w:tc>
          <w:tcPr>
            <w:tcW w:w="62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680" w:type="dxa"/>
            <w:vAlign w:val="bottom"/>
            <w:tcBorders>
              <w:top w:val="single" w:sz="8" w:color="auto"/>
            </w:tcBorders>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640" w:type="dxa"/>
            <w:vAlign w:val="bottom"/>
            <w:tcBorders>
              <w:top w:val="single" w:sz="8" w:color="auto"/>
            </w:tcBorders>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62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660" w:type="dxa"/>
            <w:vAlign w:val="bottom"/>
            <w:tcBorders>
              <w:top w:val="single" w:sz="8" w:color="auto"/>
            </w:tcBorders>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640" w:type="dxa"/>
            <w:vAlign w:val="bottom"/>
            <w:tcBorders>
              <w:top w:val="single" w:sz="8" w:color="auto"/>
            </w:tcBorders>
            <w:gridSpan w:val="3"/>
          </w:tcPr>
          <w:p>
            <w:pPr>
              <w:spacing w:after="0"/>
              <w:rPr>
                <w:sz w:val="12"/>
                <w:szCs w:val="12"/>
                <w:color w:val="auto"/>
              </w:rPr>
            </w:pPr>
          </w:p>
        </w:tc>
        <w:tc>
          <w:tcPr>
            <w:tcW w:w="180" w:type="dxa"/>
            <w:vAlign w:val="bottom"/>
            <w:gridSpan w:val="3"/>
          </w:tcPr>
          <w:p>
            <w:pPr>
              <w:spacing w:after="0"/>
              <w:rPr>
                <w:sz w:val="12"/>
                <w:szCs w:val="12"/>
                <w:color w:val="auto"/>
              </w:rPr>
            </w:pPr>
          </w:p>
        </w:tc>
        <w:tc>
          <w:tcPr>
            <w:tcW w:w="68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660" w:type="dxa"/>
            <w:vAlign w:val="bottom"/>
            <w:tcBorders>
              <w:top w:val="single" w:sz="8" w:color="auto"/>
            </w:tcBorders>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620" w:type="dxa"/>
            <w:vAlign w:val="bottom"/>
            <w:tcBorders>
              <w:top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0" w:type="dxa"/>
            <w:vAlign w:val="bottom"/>
            <w:gridSpan w:val="60"/>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estate</w:t>
            </w:r>
          </w:p>
        </w:tc>
        <w:tc>
          <w:tcPr>
            <w:tcW w:w="4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16,339</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(463)</w:t>
            </w:r>
          </w:p>
        </w:tc>
        <w:tc>
          <w:tcPr>
            <w:tcW w:w="220" w:type="dxa"/>
            <w:vAlign w:val="bottom"/>
            <w:gridSpan w:val="2"/>
            <w:shd w:val="clear" w:color="auto" w:fill="F0FFFF"/>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228</w:t>
            </w:r>
          </w:p>
        </w:tc>
        <w:tc>
          <w:tcPr>
            <w:tcW w:w="40" w:type="dxa"/>
            <w:vAlign w:val="bottom"/>
            <w:shd w:val="clear" w:color="auto" w:fill="F0FFFF"/>
          </w:tcPr>
          <w:p>
            <w:pPr>
              <w:spacing w:after="0"/>
              <w:rPr>
                <w:sz w:val="14"/>
                <w:szCs w:val="14"/>
                <w:color w:val="auto"/>
              </w:rPr>
            </w:pPr>
          </w:p>
        </w:tc>
        <w:tc>
          <w:tcPr>
            <w:tcW w:w="260" w:type="dxa"/>
            <w:vAlign w:val="bottom"/>
            <w:gridSpan w:val="3"/>
            <w:shd w:val="clear" w:color="auto" w:fill="F0FFFF"/>
          </w:tcPr>
          <w:p>
            <w:pPr>
              <w:jc w:val="right"/>
              <w:ind w:right="18"/>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(495)</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15,609</w:t>
            </w:r>
          </w:p>
        </w:tc>
        <w:tc>
          <w:tcPr>
            <w:tcW w:w="12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17,804</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F0FFFF"/>
          </w:tcPr>
          <w:p>
            <w:pPr>
              <w:jc w:val="right"/>
              <w:ind w:right="19"/>
              <w:spacing w:after="0"/>
              <w:rPr>
                <w:sz w:val="20"/>
                <w:szCs w:val="20"/>
                <w:color w:val="auto"/>
              </w:rPr>
            </w:pPr>
            <w:r>
              <w:rPr>
                <w:rFonts w:ascii="Arial" w:cs="Arial" w:eastAsia="Arial" w:hAnsi="Arial"/>
                <w:sz w:val="14"/>
                <w:szCs w:val="14"/>
                <w:color w:val="auto"/>
              </w:rPr>
              <w:t>(832)</w:t>
            </w:r>
          </w:p>
        </w:tc>
        <w:tc>
          <w:tcPr>
            <w:tcW w:w="280" w:type="dxa"/>
            <w:vAlign w:val="bottom"/>
            <w:gridSpan w:val="3"/>
            <w:shd w:val="clear" w:color="auto" w:fill="F0FFFF"/>
          </w:tcPr>
          <w:p>
            <w:pPr>
              <w:ind w:lef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86</w:t>
            </w:r>
          </w:p>
        </w:tc>
        <w:tc>
          <w:tcPr>
            <w:tcW w:w="16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(1,758)</w:t>
            </w:r>
          </w:p>
        </w:tc>
        <w:tc>
          <w:tcPr>
            <w:tcW w:w="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15,300</w:t>
            </w:r>
          </w:p>
        </w:tc>
        <w:tc>
          <w:tcPr>
            <w:tcW w:w="0" w:type="dxa"/>
            <w:vAlign w:val="bottom"/>
          </w:tcPr>
          <w:p>
            <w:pPr>
              <w:spacing w:after="0"/>
              <w:rPr>
                <w:sz w:val="1"/>
                <w:szCs w:val="1"/>
                <w:color w:val="auto"/>
              </w:rPr>
            </w:pPr>
          </w:p>
        </w:tc>
      </w:tr>
      <w:tr>
        <w:trPr>
          <w:trHeight w:val="130"/>
        </w:trPr>
        <w:tc>
          <w:tcPr>
            <w:tcW w:w="11420" w:type="dxa"/>
            <w:vAlign w:val="bottom"/>
            <w:gridSpan w:val="61"/>
          </w:tcPr>
          <w:p>
            <w:pPr>
              <w:spacing w:after="0"/>
              <w:rPr>
                <w:sz w:val="20"/>
                <w:szCs w:val="20"/>
                <w:color w:val="auto"/>
              </w:rPr>
            </w:pPr>
            <w:r>
              <w:rPr>
                <w:rFonts w:ascii="Arial" w:cs="Arial" w:eastAsia="Arial" w:hAnsi="Arial"/>
                <w:sz w:val="14"/>
                <w:szCs w:val="14"/>
                <w:color w:val="auto"/>
              </w:rPr>
              <w:t>Income producing commercial real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8,200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(532)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7,773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11,761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19"/>
              <w:spacing w:after="0"/>
              <w:rPr>
                <w:sz w:val="20"/>
                <w:szCs w:val="20"/>
                <w:color w:val="auto"/>
              </w:rPr>
            </w:pPr>
            <w:r>
              <w:rPr>
                <w:rFonts w:ascii="Arial" w:cs="Arial" w:eastAsia="Arial" w:hAnsi="Arial"/>
                <w:sz w:val="14"/>
                <w:szCs w:val="14"/>
                <w:color w:val="auto"/>
              </w:rPr>
              <w:t>(598)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494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color w:val="auto"/>
              </w:rPr>
              <w:t>(866)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10,791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4,728</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40" w:type="dxa"/>
            <w:vAlign w:val="bottom"/>
            <w:gridSpan w:val="3"/>
            <w:shd w:val="clear" w:color="auto" w:fill="F0FFFF"/>
          </w:tcPr>
          <w:p>
            <w:pPr>
              <w:jc w:val="right"/>
              <w:spacing w:after="0" w:line="149" w:lineRule="exact"/>
              <w:rPr>
                <w:sz w:val="20"/>
                <w:szCs w:val="20"/>
                <w:color w:val="auto"/>
              </w:rPr>
            </w:pPr>
            <w:r>
              <w:rPr>
                <w:rFonts w:ascii="Arial" w:cs="Arial" w:eastAsia="Arial" w:hAnsi="Arial"/>
                <w:sz w:val="14"/>
                <w:szCs w:val="14"/>
                <w:color w:val="auto"/>
              </w:rPr>
              <w:t>(508)</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319</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40" w:type="dxa"/>
            <w:vAlign w:val="bottom"/>
            <w:gridSpan w:val="3"/>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1,041</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gridSpan w:val="3"/>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5,580</w:t>
            </w: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3"/>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3,885</w:t>
            </w: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gridSpan w:val="3"/>
            <w:shd w:val="clear" w:color="auto" w:fill="F0FFFF"/>
          </w:tcPr>
          <w:p>
            <w:pPr>
              <w:jc w:val="right"/>
              <w:ind w:right="19"/>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372</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3"/>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gridSpan w:val="3"/>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Commercial construction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1,659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6,495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(104)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1,686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19,052</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40" w:type="dxa"/>
            <w:vAlign w:val="bottom"/>
            <w:gridSpan w:val="3"/>
            <w:shd w:val="clear" w:color="auto" w:fill="F0FFFF"/>
          </w:tcPr>
          <w:p>
            <w:pPr>
              <w:jc w:val="right"/>
              <w:spacing w:after="0" w:line="149" w:lineRule="exact"/>
              <w:rPr>
                <w:sz w:val="20"/>
                <w:szCs w:val="20"/>
                <w:color w:val="auto"/>
              </w:rPr>
            </w:pPr>
            <w:r>
              <w:rPr>
                <w:rFonts w:ascii="Arial" w:cs="Arial" w:eastAsia="Arial" w:hAnsi="Arial"/>
                <w:sz w:val="14"/>
                <w:szCs w:val="14"/>
                <w:color w:val="auto"/>
              </w:rPr>
              <w:t>(848)</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415</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4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(1,880)</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gridSpan w:val="3"/>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16,739</w:t>
            </w: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3"/>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16,763</w:t>
            </w: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gridSpan w:val="3"/>
            <w:shd w:val="clear" w:color="auto" w:fill="F0FFFF"/>
          </w:tcPr>
          <w:p>
            <w:pPr>
              <w:jc w:val="right"/>
              <w:ind w:right="19"/>
              <w:spacing w:after="0" w:line="149" w:lineRule="exact"/>
              <w:rPr>
                <w:sz w:val="20"/>
                <w:szCs w:val="20"/>
                <w:color w:val="auto"/>
              </w:rPr>
            </w:pPr>
            <w:r>
              <w:rPr>
                <w:rFonts w:ascii="Arial" w:cs="Arial" w:eastAsia="Arial" w:hAnsi="Arial"/>
                <w:sz w:val="14"/>
                <w:szCs w:val="14"/>
                <w:color w:val="auto"/>
              </w:rPr>
              <w:t>(1,357)</w:t>
            </w: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240</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3"/>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gridSpan w:val="3"/>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1,940</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17,586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Home equity lines of credit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5,479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6,305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6,338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(405)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(1,144)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construction</w:t>
            </w:r>
          </w:p>
        </w:tc>
        <w:tc>
          <w:tcPr>
            <w:tcW w:w="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9,337</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40" w:type="dxa"/>
            <w:vAlign w:val="bottom"/>
            <w:gridSpan w:val="3"/>
            <w:shd w:val="clear" w:color="auto" w:fill="F0FF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174</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4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(1,078)</w:t>
            </w: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gridSpan w:val="3"/>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8,383</w:t>
            </w: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3"/>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11,208</w:t>
            </w: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gridSpan w:val="3"/>
            <w:shd w:val="clear" w:color="auto" w:fill="F0FFFF"/>
          </w:tcPr>
          <w:p>
            <w:pPr>
              <w:jc w:val="right"/>
              <w:ind w:right="19"/>
              <w:spacing w:after="0" w:line="149" w:lineRule="exact"/>
              <w:rPr>
                <w:sz w:val="20"/>
                <w:szCs w:val="20"/>
                <w:color w:val="auto"/>
              </w:rPr>
            </w:pPr>
            <w:r>
              <w:rPr>
                <w:rFonts w:ascii="Arial" w:cs="Arial" w:eastAsia="Arial" w:hAnsi="Arial"/>
                <w:sz w:val="14"/>
                <w:szCs w:val="14"/>
                <w:color w:val="auto"/>
              </w:rPr>
              <w:t>(753)</w:t>
            </w: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41</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20" w:type="dxa"/>
            <w:vAlign w:val="bottom"/>
            <w:gridSpan w:val="3"/>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gridSpan w:val="3"/>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2,358</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Consumer installment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(449)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Indirect auto</w:t>
            </w:r>
          </w:p>
        </w:tc>
        <w:tc>
          <w:tcPr>
            <w:tcW w:w="4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66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1,411</w:t>
            </w: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6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5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13</w:t>
            </w:r>
          </w:p>
        </w:tc>
        <w:tc>
          <w:tcPr>
            <w:tcW w:w="4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4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164</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68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1,413</w:t>
            </w:r>
          </w:p>
        </w:tc>
        <w:tc>
          <w:tcPr>
            <w:tcW w:w="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5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823</w:t>
            </w:r>
          </w:p>
        </w:tc>
        <w:tc>
          <w:tcPr>
            <w:tcW w:w="16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20" w:type="dxa"/>
            <w:vAlign w:val="bottom"/>
            <w:gridSpan w:val="3"/>
            <w:shd w:val="clear" w:color="auto" w:fill="F0FFFF"/>
          </w:tcPr>
          <w:p>
            <w:pPr>
              <w:jc w:val="right"/>
              <w:ind w:right="19"/>
              <w:spacing w:after="0"/>
              <w:rPr>
                <w:sz w:val="20"/>
                <w:szCs w:val="20"/>
                <w:color w:val="auto"/>
              </w:rPr>
            </w:pPr>
            <w:r>
              <w:rPr>
                <w:rFonts w:ascii="Arial" w:cs="Arial" w:eastAsia="Arial" w:hAnsi="Arial"/>
                <w:sz w:val="14"/>
                <w:szCs w:val="14"/>
                <w:color w:val="auto"/>
              </w:rPr>
              <w:t>(178)</w:t>
            </w:r>
          </w:p>
        </w:tc>
        <w:tc>
          <w:tcPr>
            <w:tcW w:w="6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4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11</w:t>
            </w:r>
          </w:p>
        </w:tc>
        <w:tc>
          <w:tcPr>
            <w:tcW w:w="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4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295</w:t>
            </w:r>
          </w:p>
        </w:tc>
        <w:tc>
          <w:tcPr>
            <w:tcW w:w="18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80" w:type="dxa"/>
            <w:vAlign w:val="bottom"/>
            <w:tcBorders>
              <w:top w:val="single" w:sz="8" w:color="F0FFFF"/>
            </w:tcBorders>
            <w:gridSpan w:val="2"/>
          </w:tcPr>
          <w:p>
            <w:pPr>
              <w:ind w:left="160"/>
              <w:spacing w:after="0" w:line="136" w:lineRule="exact"/>
              <w:rPr>
                <w:sz w:val="20"/>
                <w:szCs w:val="20"/>
                <w:color w:val="auto"/>
              </w:rPr>
            </w:pPr>
            <w:r>
              <w:rPr>
                <w:rFonts w:ascii="Arial" w:cs="Arial" w:eastAsia="Arial" w:hAnsi="Arial"/>
                <w:sz w:val="14"/>
                <w:szCs w:val="14"/>
                <w:color w:val="auto"/>
              </w:rPr>
              <w:t>Total allowance for loan losses</w:t>
            </w:r>
          </w:p>
        </w:tc>
        <w:tc>
          <w:tcPr>
            <w:tcW w:w="40" w:type="dxa"/>
            <w:vAlign w:val="bottom"/>
            <w:tcBorders>
              <w:top w:val="single" w:sz="8" w:color="F0FFFF"/>
            </w:tcBorders>
          </w:tcPr>
          <w:p>
            <w:pPr>
              <w:spacing w:after="0"/>
              <w:rPr>
                <w:sz w:val="11"/>
                <w:szCs w:val="11"/>
                <w:color w:val="auto"/>
              </w:rPr>
            </w:pPr>
          </w:p>
        </w:tc>
        <w:tc>
          <w:tcPr>
            <w:tcW w:w="4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70,129</w:t>
            </w:r>
          </w:p>
        </w:tc>
        <w:tc>
          <w:tcPr>
            <w:tcW w:w="8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(3,159)</w:t>
            </w:r>
          </w:p>
        </w:tc>
        <w:tc>
          <w:tcPr>
            <w:tcW w:w="10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1,742</w:t>
            </w:r>
          </w:p>
        </w:tc>
        <w:tc>
          <w:tcPr>
            <w:tcW w:w="4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350</w:t>
            </w:r>
          </w:p>
        </w:tc>
        <w:tc>
          <w:tcPr>
            <w:tcW w:w="14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69,062</w:t>
            </w:r>
          </w:p>
        </w:tc>
        <w:tc>
          <w:tcPr>
            <w:tcW w:w="140" w:type="dxa"/>
            <w:vAlign w:val="bottom"/>
            <w:tcBorders>
              <w:top w:val="single" w:sz="8" w:color="F0FFFF"/>
            </w:tcBorders>
          </w:tcPr>
          <w:p>
            <w:pPr>
              <w:spacing w:after="0"/>
              <w:rPr>
                <w:sz w:val="11"/>
                <w:szCs w:val="11"/>
                <w:color w:val="auto"/>
              </w:rPr>
            </w:pPr>
          </w:p>
        </w:tc>
        <w:tc>
          <w:tcPr>
            <w:tcW w:w="4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73,248</w:t>
            </w:r>
          </w:p>
        </w:tc>
        <w:tc>
          <w:tcPr>
            <w:tcW w:w="160" w:type="dxa"/>
            <w:vAlign w:val="bottom"/>
            <w:tcBorders>
              <w:top w:val="single" w:sz="8" w:color="F0FFFF"/>
            </w:tcBorders>
          </w:tcPr>
          <w:p>
            <w:pPr>
              <w:spacing w:after="0"/>
              <w:rPr>
                <w:sz w:val="11"/>
                <w:szCs w:val="11"/>
                <w:color w:val="auto"/>
              </w:rPr>
            </w:pPr>
          </w:p>
        </w:tc>
        <w:tc>
          <w:tcPr>
            <w:tcW w:w="4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(4,706)</w:t>
            </w:r>
          </w:p>
        </w:tc>
        <w:tc>
          <w:tcPr>
            <w:tcW w:w="10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1,551</w:t>
            </w:r>
          </w:p>
        </w:tc>
        <w:tc>
          <w:tcPr>
            <w:tcW w:w="16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color w:val="auto"/>
              </w:rPr>
              <w:t>1,835</w:t>
            </w:r>
          </w:p>
        </w:tc>
        <w:tc>
          <w:tcPr>
            <w:tcW w:w="18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71,928</w:t>
            </w: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4"/>
            <w:shd w:val="clear" w:color="auto" w:fill="F0FFFF"/>
          </w:tcPr>
          <w:p>
            <w:pPr>
              <w:spacing w:after="0"/>
              <w:rPr>
                <w:sz w:val="20"/>
                <w:szCs w:val="20"/>
                <w:color w:val="auto"/>
              </w:rPr>
            </w:pPr>
            <w:r>
              <w:rPr>
                <w:rFonts w:ascii="Arial" w:cs="Arial" w:eastAsia="Arial" w:hAnsi="Arial"/>
                <w:sz w:val="14"/>
                <w:szCs w:val="14"/>
                <w:color w:val="auto"/>
                <w:w w:val="95"/>
              </w:rPr>
              <w:t>Allowance for unfunded commitments</w:t>
            </w:r>
          </w:p>
        </w:tc>
        <w:tc>
          <w:tcPr>
            <w:tcW w:w="2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66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2,580</w:t>
            </w: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640" w:type="dxa"/>
            <w:vAlign w:val="bottom"/>
            <w:gridSpan w:val="3"/>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5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4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350</w:t>
            </w: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68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2,930</w:t>
            </w:r>
          </w:p>
        </w:tc>
        <w:tc>
          <w:tcPr>
            <w:tcW w:w="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4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2,165</w:t>
            </w:r>
          </w:p>
        </w:tc>
        <w:tc>
          <w:tcPr>
            <w:tcW w:w="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20" w:type="dxa"/>
            <w:vAlign w:val="bottom"/>
            <w:gridSpan w:val="3"/>
            <w:shd w:val="clear" w:color="auto" w:fill="F0FFFF"/>
          </w:tcPr>
          <w:p>
            <w:pPr>
              <w:jc w:val="right"/>
              <w:ind w:right="79"/>
              <w:spacing w:after="0"/>
              <w:rPr>
                <w:sz w:val="20"/>
                <w:szCs w:val="20"/>
                <w:color w:val="auto"/>
              </w:rPr>
            </w:pPr>
            <w:r>
              <w:rPr>
                <w:rFonts w:ascii="Arial" w:cs="Arial" w:eastAsia="Arial" w:hAnsi="Arial"/>
                <w:sz w:val="14"/>
                <w:szCs w:val="14"/>
                <w:color w:val="auto"/>
              </w:rPr>
              <w:t>-</w:t>
            </w:r>
          </w:p>
        </w:tc>
        <w:tc>
          <w:tcPr>
            <w:tcW w:w="6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4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20" w:type="dxa"/>
            <w:vAlign w:val="bottom"/>
            <w:gridSpan w:val="3"/>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4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165</w:t>
            </w:r>
          </w:p>
        </w:tc>
        <w:tc>
          <w:tcPr>
            <w:tcW w:w="18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Borders>
              <w:top w:val="single" w:sz="8" w:color="F0FFFF"/>
            </w:tcBorders>
            <w:gridSpan w:val="2"/>
          </w:tcPr>
          <w:p>
            <w:pPr>
              <w:ind w:left="160"/>
              <w:spacing w:after="0" w:line="149" w:lineRule="exact"/>
              <w:rPr>
                <w:sz w:val="20"/>
                <w:szCs w:val="20"/>
                <w:color w:val="auto"/>
              </w:rPr>
            </w:pPr>
            <w:r>
              <w:rPr>
                <w:rFonts w:ascii="Arial" w:cs="Arial" w:eastAsia="Arial" w:hAnsi="Arial"/>
                <w:sz w:val="14"/>
                <w:szCs w:val="14"/>
                <w:color w:val="auto"/>
              </w:rPr>
              <w:t>Total allowance for credit losses</w:t>
            </w:r>
          </w:p>
        </w:tc>
        <w:tc>
          <w:tcPr>
            <w:tcW w:w="40" w:type="dxa"/>
            <w:vAlign w:val="bottom"/>
            <w:tcBorders>
              <w:top w:val="single" w:sz="8" w:color="F0FFFF"/>
            </w:tcBorders>
          </w:tcPr>
          <w:p>
            <w:pPr>
              <w:spacing w:after="0"/>
              <w:rPr>
                <w:sz w:val="12"/>
                <w:szCs w:val="12"/>
                <w:color w:val="auto"/>
              </w:rPr>
            </w:pPr>
          </w:p>
        </w:tc>
        <w:tc>
          <w:tcPr>
            <w:tcW w:w="4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72,709</w:t>
            </w:r>
          </w:p>
        </w:tc>
        <w:tc>
          <w:tcPr>
            <w:tcW w:w="8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(3,159</w:t>
            </w:r>
          </w:p>
        </w:tc>
        <w:tc>
          <w:tcPr>
            <w:tcW w:w="100" w:type="dxa"/>
            <w:vAlign w:val="bottom"/>
            <w:tcBorders>
              <w:top w:val="single" w:sz="8" w:color="F0FFFF"/>
            </w:tcBorders>
          </w:tcPr>
          <w:p>
            <w:pPr>
              <w:jc w:val="right"/>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1,742</w:t>
            </w:r>
          </w:p>
        </w:tc>
        <w:tc>
          <w:tcPr>
            <w:tcW w:w="4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140" w:type="dxa"/>
            <w:vAlign w:val="bottom"/>
            <w:tcBorders>
              <w:top w:val="single" w:sz="8" w:color="F0FFFF"/>
            </w:tcBorders>
          </w:tcPr>
          <w:p>
            <w:pPr>
              <w:spacing w:after="0"/>
              <w:rPr>
                <w:sz w:val="12"/>
                <w:szCs w:val="12"/>
                <w:color w:val="auto"/>
              </w:rPr>
            </w:pPr>
          </w:p>
        </w:tc>
        <w:tc>
          <w:tcPr>
            <w:tcW w:w="6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71,992</w:t>
            </w:r>
          </w:p>
        </w:tc>
        <w:tc>
          <w:tcPr>
            <w:tcW w:w="140" w:type="dxa"/>
            <w:vAlign w:val="bottom"/>
            <w:tcBorders>
              <w:top w:val="single" w:sz="8" w:color="F0FFFF"/>
            </w:tcBorders>
          </w:tcPr>
          <w:p>
            <w:pPr>
              <w:spacing w:after="0"/>
              <w:rPr>
                <w:sz w:val="12"/>
                <w:szCs w:val="12"/>
                <w:color w:val="auto"/>
              </w:rPr>
            </w:pPr>
          </w:p>
        </w:tc>
        <w:tc>
          <w:tcPr>
            <w:tcW w:w="4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75,413</w:t>
            </w:r>
          </w:p>
        </w:tc>
        <w:tc>
          <w:tcPr>
            <w:tcW w:w="160" w:type="dxa"/>
            <w:vAlign w:val="bottom"/>
            <w:tcBorders>
              <w:top w:val="single" w:sz="8" w:color="F0FFFF"/>
            </w:tcBorders>
          </w:tcPr>
          <w:p>
            <w:pPr>
              <w:spacing w:after="0"/>
              <w:rPr>
                <w:sz w:val="12"/>
                <w:szCs w:val="12"/>
                <w:color w:val="auto"/>
              </w:rPr>
            </w:pPr>
          </w:p>
        </w:tc>
        <w:tc>
          <w:tcPr>
            <w:tcW w:w="4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(4,706</w:t>
            </w:r>
          </w:p>
        </w:tc>
        <w:tc>
          <w:tcPr>
            <w:tcW w:w="100" w:type="dxa"/>
            <w:vAlign w:val="bottom"/>
            <w:tcBorders>
              <w:top w:val="single" w:sz="8" w:color="F0FFFF"/>
            </w:tcBorders>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1,551</w:t>
            </w:r>
          </w:p>
        </w:tc>
        <w:tc>
          <w:tcPr>
            <w:tcW w:w="16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18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74,258</w:t>
            </w: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00" w:type="dxa"/>
            <w:vAlign w:val="bottom"/>
            <w:gridSpan w:val="6"/>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Beginning</w:t>
            </w:r>
          </w:p>
        </w:tc>
        <w:tc>
          <w:tcPr>
            <w:tcW w:w="800" w:type="dxa"/>
            <w:vAlign w:val="bottom"/>
            <w:gridSpan w:val="5"/>
            <w:vMerge w:val="restart"/>
          </w:tcPr>
          <w:p>
            <w:pPr>
              <w:jc w:val="right"/>
              <w:ind w:right="168"/>
              <w:spacing w:after="0"/>
              <w:rPr>
                <w:sz w:val="20"/>
                <w:szCs w:val="20"/>
                <w:color w:val="auto"/>
              </w:rPr>
            </w:pPr>
            <w:r>
              <w:rPr>
                <w:rFonts w:ascii="Arial" w:cs="Arial" w:eastAsia="Arial" w:hAnsi="Arial"/>
                <w:sz w:val="14"/>
                <w:szCs w:val="14"/>
                <w:b w:val="1"/>
                <w:bCs w:val="1"/>
                <w:color w:val="auto"/>
              </w:rPr>
              <w:t>Charge-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Ending</w:t>
            </w:r>
          </w:p>
        </w:tc>
        <w:tc>
          <w:tcPr>
            <w:tcW w:w="8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Beginning</w:t>
            </w:r>
          </w:p>
        </w:tc>
        <w:tc>
          <w:tcPr>
            <w:tcW w:w="40" w:type="dxa"/>
            <w:vAlign w:val="bottom"/>
          </w:tcPr>
          <w:p>
            <w:pPr>
              <w:spacing w:after="0"/>
              <w:rPr>
                <w:sz w:val="24"/>
                <w:szCs w:val="24"/>
                <w:color w:val="auto"/>
              </w:rPr>
            </w:pPr>
          </w:p>
        </w:tc>
        <w:tc>
          <w:tcPr>
            <w:tcW w:w="740" w:type="dxa"/>
            <w:vAlign w:val="bottom"/>
            <w:gridSpan w:val="4"/>
            <w:vMerge w:val="restart"/>
          </w:tcPr>
          <w:p>
            <w:pPr>
              <w:jc w:val="right"/>
              <w:ind w:right="159"/>
              <w:spacing w:after="0"/>
              <w:rPr>
                <w:sz w:val="20"/>
                <w:szCs w:val="20"/>
                <w:color w:val="auto"/>
              </w:rPr>
            </w:pPr>
            <w:r>
              <w:rPr>
                <w:rFonts w:ascii="Arial" w:cs="Arial" w:eastAsia="Arial" w:hAnsi="Arial"/>
                <w:sz w:val="14"/>
                <w:szCs w:val="14"/>
                <w:b w:val="1"/>
                <w:bCs w:val="1"/>
                <w:color w:val="auto"/>
                <w:w w:val="98"/>
              </w:rPr>
              <w:t>Charge-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Allocation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820" w:type="dxa"/>
            <w:vAlign w:val="bottom"/>
            <w:gridSpan w:val="7"/>
            <w:vMerge w:val="continue"/>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8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Recoveries</w:t>
            </w:r>
          </w:p>
        </w:tc>
        <w:tc>
          <w:tcPr>
            <w:tcW w:w="60" w:type="dxa"/>
            <w:vAlign w:val="bottom"/>
          </w:tcPr>
          <w:p>
            <w:pPr>
              <w:spacing w:after="0"/>
              <w:rPr>
                <w:sz w:val="12"/>
                <w:szCs w:val="12"/>
                <w:color w:val="auto"/>
              </w:rPr>
            </w:pPr>
          </w:p>
        </w:tc>
        <w:tc>
          <w:tcPr>
            <w:tcW w:w="84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93"/>
              </w:rPr>
              <w:t>Provision</w:t>
            </w: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Recoveries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8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0"/>
              </w:rPr>
              <w:t>Provision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w w:val="92"/>
              </w:rPr>
              <w:t>Offs</w:t>
            </w:r>
          </w:p>
        </w:tc>
        <w:tc>
          <w:tcPr>
            <w:tcW w:w="80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40" w:type="dxa"/>
            <w:vAlign w:val="bottom"/>
          </w:tcPr>
          <w:p>
            <w:pPr>
              <w:spacing w:after="0"/>
              <w:rPr>
                <w:sz w:val="15"/>
                <w:szCs w:val="15"/>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Balance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w w:val="99"/>
              </w:rPr>
              <w:t>Offs</w:t>
            </w:r>
          </w:p>
        </w:tc>
        <w:tc>
          <w:tcPr>
            <w:tcW w:w="60" w:type="dxa"/>
            <w:vAlign w:val="bottom"/>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9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0"/>
              </w:rPr>
              <w:t>Unallocated</w:t>
            </w:r>
          </w:p>
        </w:tc>
        <w:tc>
          <w:tcPr>
            <w:tcW w:w="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gridSpan w:val="5"/>
          </w:tcPr>
          <w:p>
            <w:pPr>
              <w:spacing w:after="0"/>
              <w:rPr>
                <w:sz w:val="12"/>
                <w:szCs w:val="12"/>
                <w:color w:val="auto"/>
              </w:rPr>
            </w:pPr>
          </w:p>
        </w:tc>
        <w:tc>
          <w:tcPr>
            <w:tcW w:w="160" w:type="dxa"/>
            <w:vAlign w:val="bottom"/>
            <w:gridSpan w:val="2"/>
          </w:tcPr>
          <w:p>
            <w:pPr>
              <w:spacing w:after="0"/>
              <w:rPr>
                <w:sz w:val="12"/>
                <w:szCs w:val="12"/>
                <w:color w:val="auto"/>
              </w:rPr>
            </w:pPr>
          </w:p>
        </w:tc>
        <w:tc>
          <w:tcPr>
            <w:tcW w:w="62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680" w:type="dxa"/>
            <w:vAlign w:val="bottom"/>
            <w:tcBorders>
              <w:top w:val="single" w:sz="8" w:color="auto"/>
            </w:tcBorders>
            <w:gridSpan w:val="3"/>
          </w:tcPr>
          <w:p>
            <w:pPr>
              <w:spacing w:after="0"/>
              <w:rPr>
                <w:sz w:val="12"/>
                <w:szCs w:val="12"/>
                <w:color w:val="auto"/>
              </w:rPr>
            </w:pPr>
          </w:p>
        </w:tc>
        <w:tc>
          <w:tcPr>
            <w:tcW w:w="180" w:type="dxa"/>
            <w:vAlign w:val="bottom"/>
            <w:gridSpan w:val="3"/>
          </w:tcPr>
          <w:p>
            <w:pPr>
              <w:spacing w:after="0"/>
              <w:rPr>
                <w:sz w:val="12"/>
                <w:szCs w:val="12"/>
                <w:color w:val="auto"/>
              </w:rPr>
            </w:pPr>
          </w:p>
        </w:tc>
        <w:tc>
          <w:tcPr>
            <w:tcW w:w="640" w:type="dxa"/>
            <w:vAlign w:val="bottom"/>
            <w:tcBorders>
              <w:top w:val="single" w:sz="8" w:color="auto"/>
            </w:tcBorders>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64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68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660" w:type="dxa"/>
            <w:vAlign w:val="bottom"/>
            <w:tcBorders>
              <w:top w:val="single" w:sz="8" w:color="auto"/>
            </w:tcBorders>
            <w:gridSpan w:val="3"/>
          </w:tcPr>
          <w:p>
            <w:pPr>
              <w:spacing w:after="0"/>
              <w:rPr>
                <w:sz w:val="12"/>
                <w:szCs w:val="12"/>
                <w:color w:val="auto"/>
              </w:rPr>
            </w:pPr>
          </w:p>
        </w:tc>
        <w:tc>
          <w:tcPr>
            <w:tcW w:w="180" w:type="dxa"/>
            <w:vAlign w:val="bottom"/>
            <w:gridSpan w:val="3"/>
          </w:tcPr>
          <w:p>
            <w:pPr>
              <w:spacing w:after="0"/>
              <w:rPr>
                <w:sz w:val="12"/>
                <w:szCs w:val="12"/>
                <w:color w:val="auto"/>
              </w:rPr>
            </w:pPr>
          </w:p>
        </w:tc>
        <w:tc>
          <w:tcPr>
            <w:tcW w:w="68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660" w:type="dxa"/>
            <w:vAlign w:val="bottom"/>
            <w:tcBorders>
              <w:top w:val="single" w:sz="8" w:color="auto"/>
            </w:tcBorders>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640" w:type="dxa"/>
            <w:vAlign w:val="bottom"/>
            <w:tcBorders>
              <w:top w:val="single" w:sz="8" w:color="auto"/>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0" w:type="dxa"/>
            <w:vAlign w:val="bottom"/>
            <w:gridSpan w:val="60"/>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estate</w:t>
            </w:r>
          </w:p>
        </w:tc>
        <w:tc>
          <w:tcPr>
            <w:tcW w:w="80" w:type="dxa"/>
            <w:vAlign w:val="bottom"/>
            <w:gridSpan w:val="2"/>
            <w:shd w:val="clear" w:color="auto" w:fill="F0FFFF"/>
          </w:tcPr>
          <w:p>
            <w:pPr>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5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16,041</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F0FFFF"/>
          </w:tcPr>
          <w:p>
            <w:pPr>
              <w:spacing w:after="0"/>
              <w:rPr>
                <w:sz w:val="14"/>
                <w:szCs w:val="14"/>
                <w:color w:val="auto"/>
              </w:rPr>
            </w:pPr>
          </w:p>
        </w:tc>
        <w:tc>
          <w:tcPr>
            <w:tcW w:w="5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(1,194)</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F0FFFF"/>
          </w:tcPr>
          <w:p>
            <w:pPr>
              <w:spacing w:after="0"/>
              <w:rPr>
                <w:sz w:val="14"/>
                <w:szCs w:val="14"/>
                <w:color w:val="auto"/>
              </w:rPr>
            </w:pPr>
          </w:p>
        </w:tc>
        <w:tc>
          <w:tcPr>
            <w:tcW w:w="5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317</w:t>
            </w:r>
          </w:p>
        </w:tc>
        <w:tc>
          <w:tcPr>
            <w:tcW w:w="40" w:type="dxa"/>
            <w:vAlign w:val="bottom"/>
            <w:shd w:val="clear" w:color="auto" w:fill="F0FFFF"/>
          </w:tcPr>
          <w:p>
            <w:pPr>
              <w:spacing w:after="0"/>
              <w:rPr>
                <w:sz w:val="14"/>
                <w:szCs w:val="14"/>
                <w:color w:val="auto"/>
              </w:rPr>
            </w:pPr>
          </w:p>
        </w:tc>
        <w:tc>
          <w:tcPr>
            <w:tcW w:w="260" w:type="dxa"/>
            <w:vAlign w:val="bottom"/>
            <w:gridSpan w:val="3"/>
            <w:shd w:val="clear" w:color="auto" w:fill="F0FFFF"/>
          </w:tcPr>
          <w:p>
            <w:pPr>
              <w:jc w:val="right"/>
              <w:ind w:right="5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445</w:t>
            </w:r>
          </w:p>
        </w:tc>
        <w:tc>
          <w:tcPr>
            <w:tcW w:w="140" w:type="dxa"/>
            <w:vAlign w:val="bottom"/>
            <w:shd w:val="clear" w:color="auto" w:fill="F0FFFF"/>
          </w:tcPr>
          <w:p>
            <w:pPr>
              <w:spacing w:after="0"/>
              <w:rPr>
                <w:sz w:val="14"/>
                <w:szCs w:val="14"/>
                <w:color w:val="auto"/>
              </w:rPr>
            </w:pP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15,609</w:t>
            </w:r>
          </w:p>
        </w:tc>
        <w:tc>
          <w:tcPr>
            <w:tcW w:w="140" w:type="dxa"/>
            <w:vAlign w:val="bottom"/>
            <w:shd w:val="clear" w:color="auto" w:fill="F0FFFF"/>
          </w:tcPr>
          <w:p>
            <w:pPr>
              <w:spacing w:after="0"/>
              <w:rPr>
                <w:sz w:val="14"/>
                <w:szCs w:val="14"/>
                <w:color w:val="auto"/>
              </w:rPr>
            </w:pP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17,164</w:t>
            </w:r>
          </w:p>
        </w:tc>
        <w:tc>
          <w:tcPr>
            <w:tcW w:w="160" w:type="dxa"/>
            <w:vAlign w:val="bottom"/>
            <w:shd w:val="clear" w:color="auto" w:fill="F0FFFF"/>
          </w:tcPr>
          <w:p>
            <w:pPr>
              <w:spacing w:after="0"/>
              <w:rPr>
                <w:sz w:val="14"/>
                <w:szCs w:val="14"/>
                <w:color w:val="auto"/>
              </w:rPr>
            </w:pPr>
          </w:p>
        </w:tc>
        <w:tc>
          <w:tcPr>
            <w:tcW w:w="160" w:type="dxa"/>
            <w:vAlign w:val="bottom"/>
            <w:gridSpan w:val="2"/>
            <w:shd w:val="clear" w:color="auto" w:fill="F0FFFF"/>
          </w:tcPr>
          <w:p>
            <w:pPr>
              <w:jc w:val="right"/>
              <w:ind w:right="15"/>
              <w:spacing w:after="0"/>
              <w:rPr>
                <w:sz w:val="20"/>
                <w:szCs w:val="20"/>
                <w:color w:val="auto"/>
              </w:rPr>
            </w:pPr>
            <w:r>
              <w:rPr>
                <w:rFonts w:ascii="Arial" w:cs="Arial" w:eastAsia="Arial" w:hAnsi="Arial"/>
                <w:sz w:val="14"/>
                <w:szCs w:val="14"/>
                <w:color w:val="auto"/>
                <w:w w:val="76"/>
              </w:rPr>
              <w:t>$</w:t>
            </w:r>
          </w:p>
        </w:tc>
        <w:tc>
          <w:tcPr>
            <w:tcW w:w="620" w:type="dxa"/>
            <w:vAlign w:val="bottom"/>
            <w:gridSpan w:val="3"/>
            <w:shd w:val="clear" w:color="auto" w:fill="F0FFFF"/>
          </w:tcPr>
          <w:p>
            <w:pPr>
              <w:jc w:val="right"/>
              <w:ind w:right="39"/>
              <w:spacing w:after="0"/>
              <w:rPr>
                <w:sz w:val="20"/>
                <w:szCs w:val="20"/>
                <w:color w:val="auto"/>
              </w:rPr>
            </w:pPr>
            <w:r>
              <w:rPr>
                <w:rFonts w:ascii="Arial" w:cs="Arial" w:eastAsia="Arial" w:hAnsi="Arial"/>
                <w:sz w:val="14"/>
                <w:szCs w:val="14"/>
                <w:color w:val="auto"/>
              </w:rPr>
              <w:t>(2,116)</w:t>
            </w:r>
          </w:p>
        </w:tc>
        <w:tc>
          <w:tcPr>
            <w:tcW w:w="280" w:type="dxa"/>
            <w:vAlign w:val="bottom"/>
            <w:gridSpan w:val="3"/>
            <w:shd w:val="clear" w:color="auto" w:fill="F0FFFF"/>
          </w:tcPr>
          <w:p>
            <w:pPr>
              <w:ind w:left="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2,929</w:t>
            </w:r>
          </w:p>
        </w:tc>
        <w:tc>
          <w:tcPr>
            <w:tcW w:w="16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1,278</w:t>
            </w:r>
          </w:p>
        </w:tc>
        <w:tc>
          <w:tcPr>
            <w:tcW w:w="16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(3,955)</w:t>
            </w:r>
          </w:p>
        </w:tc>
        <w:tc>
          <w:tcPr>
            <w:tcW w:w="80" w:type="dxa"/>
            <w:vAlign w:val="bottom"/>
            <w:gridSpan w:val="2"/>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15,300</w:t>
            </w:r>
          </w:p>
        </w:tc>
        <w:tc>
          <w:tcPr>
            <w:tcW w:w="0" w:type="dxa"/>
            <w:vAlign w:val="bottom"/>
          </w:tcPr>
          <w:p>
            <w:pPr>
              <w:spacing w:after="0"/>
              <w:rPr>
                <w:sz w:val="1"/>
                <w:szCs w:val="1"/>
                <w:color w:val="auto"/>
              </w:rPr>
            </w:pPr>
          </w:p>
        </w:tc>
      </w:tr>
      <w:tr>
        <w:trPr>
          <w:trHeight w:val="130"/>
        </w:trPr>
        <w:tc>
          <w:tcPr>
            <w:tcW w:w="11420" w:type="dxa"/>
            <w:vAlign w:val="bottom"/>
            <w:gridSpan w:val="61"/>
          </w:tcPr>
          <w:p>
            <w:pPr>
              <w:spacing w:after="0"/>
              <w:rPr>
                <w:sz w:val="20"/>
                <w:szCs w:val="20"/>
                <w:color w:val="auto"/>
              </w:rPr>
            </w:pPr>
            <w:r>
              <w:rPr>
                <w:rFonts w:ascii="Arial" w:cs="Arial" w:eastAsia="Arial" w:hAnsi="Arial"/>
                <w:sz w:val="14"/>
                <w:szCs w:val="14"/>
                <w:color w:val="auto"/>
              </w:rPr>
              <w:t>Income producing commercial real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10,296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588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(2,663)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7,773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7,174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39"/>
              <w:spacing w:after="0"/>
              <w:rPr>
                <w:sz w:val="20"/>
                <w:szCs w:val="20"/>
                <w:color w:val="auto"/>
              </w:rPr>
            </w:pPr>
            <w:r>
              <w:rPr>
                <w:rFonts w:ascii="Arial" w:cs="Arial" w:eastAsia="Arial" w:hAnsi="Arial"/>
                <w:sz w:val="14"/>
                <w:szCs w:val="14"/>
                <w:color w:val="auto"/>
              </w:rPr>
              <w:t>(1,435)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691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3,673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10,791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3,255</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(1,139)</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1,236</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2,228</w:t>
            </w:r>
          </w:p>
        </w:tc>
        <w:tc>
          <w:tcPr>
            <w:tcW w:w="1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5,580</w:t>
            </w:r>
          </w:p>
        </w:tc>
        <w:tc>
          <w:tcPr>
            <w:tcW w:w="1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6,527</w:t>
            </w:r>
          </w:p>
        </w:tc>
        <w:tc>
          <w:tcPr>
            <w:tcW w:w="1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gridSpan w:val="3"/>
            <w:shd w:val="clear" w:color="auto" w:fill="F0FFFF"/>
          </w:tcPr>
          <w:p>
            <w:pPr>
              <w:jc w:val="right"/>
              <w:ind w:right="39"/>
              <w:spacing w:after="0" w:line="149" w:lineRule="exact"/>
              <w:rPr>
                <w:sz w:val="20"/>
                <w:szCs w:val="20"/>
                <w:color w:val="auto"/>
              </w:rPr>
            </w:pPr>
            <w:r>
              <w:rPr>
                <w:rFonts w:ascii="Arial" w:cs="Arial" w:eastAsia="Arial" w:hAnsi="Arial"/>
                <w:sz w:val="14"/>
                <w:szCs w:val="14"/>
                <w:color w:val="auto"/>
              </w:rPr>
              <w:t>(2,005)</w:t>
            </w: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1,263</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318</w:t>
            </w:r>
          </w:p>
        </w:tc>
        <w:tc>
          <w:tcPr>
            <w:tcW w:w="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60" w:type="dxa"/>
            <w:vAlign w:val="bottom"/>
            <w:gridSpan w:val="3"/>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(2,885)</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Commercial construction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6,495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3,669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(236)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1,828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20,311</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(2,535)</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899</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(1,936)</w:t>
            </w:r>
          </w:p>
        </w:tc>
        <w:tc>
          <w:tcPr>
            <w:tcW w:w="1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16,739</w:t>
            </w:r>
          </w:p>
        </w:tc>
        <w:tc>
          <w:tcPr>
            <w:tcW w:w="1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15,446</w:t>
            </w:r>
          </w:p>
        </w:tc>
        <w:tc>
          <w:tcPr>
            <w:tcW w:w="1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gridSpan w:val="3"/>
            <w:shd w:val="clear" w:color="auto" w:fill="F0FFFF"/>
          </w:tcPr>
          <w:p>
            <w:pPr>
              <w:jc w:val="right"/>
              <w:ind w:right="39"/>
              <w:spacing w:after="0" w:line="149" w:lineRule="exact"/>
              <w:rPr>
                <w:sz w:val="20"/>
                <w:szCs w:val="20"/>
                <w:color w:val="auto"/>
              </w:rPr>
            </w:pPr>
            <w:r>
              <w:rPr>
                <w:rFonts w:ascii="Arial" w:cs="Arial" w:eastAsia="Arial" w:hAnsi="Arial"/>
                <w:sz w:val="14"/>
                <w:szCs w:val="14"/>
                <w:color w:val="auto"/>
              </w:rPr>
              <w:t>(5,738)</w:t>
            </w: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597</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1,452</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5,829</w:t>
            </w:r>
          </w:p>
        </w:tc>
        <w:tc>
          <w:tcPr>
            <w:tcW w:w="1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17,586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Home equity lines of credit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6,305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5,528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(2,032)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construction</w:t>
            </w:r>
          </w:p>
        </w:tc>
        <w:tc>
          <w:tcPr>
            <w:tcW w:w="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10,603</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(1,689)</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645</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(1,176)</w:t>
            </w:r>
          </w:p>
        </w:tc>
        <w:tc>
          <w:tcPr>
            <w:tcW w:w="1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8,383</w:t>
            </w:r>
          </w:p>
        </w:tc>
        <w:tc>
          <w:tcPr>
            <w:tcW w:w="1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12,532</w:t>
            </w:r>
          </w:p>
        </w:tc>
        <w:tc>
          <w:tcPr>
            <w:tcW w:w="1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gridSpan w:val="3"/>
            <w:shd w:val="clear" w:color="auto" w:fill="F0FFFF"/>
          </w:tcPr>
          <w:p>
            <w:pPr>
              <w:jc w:val="right"/>
              <w:ind w:right="39"/>
              <w:spacing w:after="0" w:line="149" w:lineRule="exact"/>
              <w:rPr>
                <w:sz w:val="20"/>
                <w:szCs w:val="20"/>
                <w:color w:val="auto"/>
              </w:rPr>
            </w:pPr>
            <w:r>
              <w:rPr>
                <w:rFonts w:ascii="Arial" w:cs="Arial" w:eastAsia="Arial" w:hAnsi="Arial"/>
                <w:sz w:val="14"/>
                <w:szCs w:val="14"/>
                <w:color w:val="auto"/>
              </w:rPr>
              <w:t>(3,004)</w:t>
            </w: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410</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1,728</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1,188</w:t>
            </w:r>
          </w:p>
        </w:tc>
        <w:tc>
          <w:tcPr>
            <w:tcW w:w="1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Consumer installment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(1,580)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Indirect auto</w:t>
            </w:r>
          </w:p>
        </w:tc>
        <w:tc>
          <w:tcPr>
            <w:tcW w:w="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1,061</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(433)</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0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751</w:t>
            </w:r>
          </w:p>
        </w:tc>
        <w:tc>
          <w:tcPr>
            <w:tcW w:w="1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40" w:type="dxa"/>
            <w:vAlign w:val="bottom"/>
            <w:gridSpan w:val="2"/>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1,413</w:t>
            </w:r>
          </w:p>
        </w:tc>
        <w:tc>
          <w:tcPr>
            <w:tcW w:w="1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1,126</w:t>
            </w:r>
          </w:p>
        </w:tc>
        <w:tc>
          <w:tcPr>
            <w:tcW w:w="16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gridSpan w:val="3"/>
            <w:shd w:val="clear" w:color="auto" w:fill="F0FFFF"/>
          </w:tcPr>
          <w:p>
            <w:pPr>
              <w:jc w:val="right"/>
              <w:ind w:right="39"/>
              <w:spacing w:after="0" w:line="149" w:lineRule="exact"/>
              <w:rPr>
                <w:sz w:val="20"/>
                <w:szCs w:val="20"/>
                <w:color w:val="auto"/>
              </w:rPr>
            </w:pPr>
            <w:r>
              <w:rPr>
                <w:rFonts w:ascii="Arial" w:cs="Arial" w:eastAsia="Arial" w:hAnsi="Arial"/>
                <w:sz w:val="14"/>
                <w:szCs w:val="14"/>
                <w:color w:val="auto"/>
              </w:rPr>
              <w:t>(344)</w:t>
            </w:r>
          </w:p>
        </w:tc>
        <w:tc>
          <w:tcPr>
            <w:tcW w:w="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8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1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951</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Unallocated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6,243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(6,243)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Borders>
              <w:top w:val="single" w:sz="8" w:color="F0FFFF"/>
            </w:tcBorders>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allowance for loan losses</w:t>
            </w:r>
          </w:p>
        </w:tc>
        <w:tc>
          <w:tcPr>
            <w:tcW w:w="660" w:type="dxa"/>
            <w:vAlign w:val="bottom"/>
            <w:tcBorders>
              <w:top w:val="single" w:sz="8" w:color="auto"/>
            </w:tcBorders>
            <w:gridSpan w:val="5"/>
            <w:shd w:val="clear" w:color="auto" w:fill="F0FFFF"/>
          </w:tcPr>
          <w:p>
            <w:pPr>
              <w:jc w:val="right"/>
              <w:ind w:right="588"/>
              <w:spacing w:after="0"/>
              <w:rPr>
                <w:sz w:val="20"/>
                <w:szCs w:val="20"/>
                <w:color w:val="auto"/>
              </w:rPr>
            </w:pPr>
            <w:r>
              <w:rPr>
                <w:rFonts w:ascii="Arial" w:cs="Arial" w:eastAsia="Arial" w:hAnsi="Arial"/>
                <w:sz w:val="14"/>
                <w:szCs w:val="14"/>
                <w:color w:val="auto"/>
              </w:rPr>
              <w:t>71,619</w:t>
            </w:r>
          </w:p>
        </w:tc>
        <w:tc>
          <w:tcPr>
            <w:tcW w:w="160" w:type="dxa"/>
            <w:vAlign w:val="bottom"/>
            <w:tcBorders>
              <w:top w:val="single" w:sz="8" w:color="F0FFFF"/>
            </w:tcBorders>
            <w:gridSpan w:val="2"/>
            <w:shd w:val="clear" w:color="auto" w:fill="F0FFFF"/>
          </w:tcPr>
          <w:p>
            <w:pPr>
              <w:spacing w:after="0"/>
              <w:rPr>
                <w:sz w:val="12"/>
                <w:szCs w:val="12"/>
                <w:color w:val="auto"/>
              </w:rPr>
            </w:pPr>
          </w:p>
        </w:tc>
        <w:tc>
          <w:tcPr>
            <w:tcW w:w="620" w:type="dxa"/>
            <w:vAlign w:val="bottom"/>
            <w:tcBorders>
              <w:top w:val="single" w:sz="8" w:color="auto"/>
            </w:tcBorders>
            <w:gridSpan w:val="3"/>
            <w:shd w:val="clear" w:color="auto" w:fill="F0FFFF"/>
          </w:tcPr>
          <w:p>
            <w:pPr>
              <w:jc w:val="right"/>
              <w:ind w:right="548"/>
              <w:spacing w:after="0"/>
              <w:rPr>
                <w:sz w:val="20"/>
                <w:szCs w:val="20"/>
                <w:color w:val="auto"/>
              </w:rPr>
            </w:pPr>
            <w:r>
              <w:rPr>
                <w:rFonts w:ascii="Arial" w:cs="Arial" w:eastAsia="Arial" w:hAnsi="Arial"/>
                <w:sz w:val="14"/>
                <w:szCs w:val="14"/>
                <w:color w:val="auto"/>
              </w:rPr>
              <w:t>(9,692)</w:t>
            </w:r>
          </w:p>
        </w:tc>
        <w:tc>
          <w:tcPr>
            <w:tcW w:w="180" w:type="dxa"/>
            <w:vAlign w:val="bottom"/>
            <w:tcBorders>
              <w:top w:val="single" w:sz="8" w:color="F0FFFF"/>
            </w:tcBorders>
            <w:gridSpan w:val="2"/>
            <w:shd w:val="clear" w:color="auto" w:fill="F0FFFF"/>
          </w:tcPr>
          <w:p>
            <w:pPr>
              <w:spacing w:after="0"/>
              <w:rPr>
                <w:sz w:val="12"/>
                <w:szCs w:val="12"/>
                <w:color w:val="auto"/>
              </w:rPr>
            </w:pPr>
          </w:p>
        </w:tc>
        <w:tc>
          <w:tcPr>
            <w:tcW w:w="680" w:type="dxa"/>
            <w:vAlign w:val="bottom"/>
            <w:tcBorders>
              <w:top w:val="single" w:sz="8" w:color="auto"/>
            </w:tcBorders>
            <w:gridSpan w:val="3"/>
            <w:shd w:val="clear" w:color="auto" w:fill="F0FFFF"/>
          </w:tcPr>
          <w:p>
            <w:pPr>
              <w:jc w:val="right"/>
              <w:ind w:right="608"/>
              <w:spacing w:after="0"/>
              <w:rPr>
                <w:sz w:val="20"/>
                <w:szCs w:val="20"/>
                <w:color w:val="auto"/>
              </w:rPr>
            </w:pPr>
            <w:r>
              <w:rPr>
                <w:rFonts w:ascii="Arial" w:cs="Arial" w:eastAsia="Arial" w:hAnsi="Arial"/>
                <w:sz w:val="14"/>
                <w:szCs w:val="14"/>
                <w:color w:val="auto"/>
              </w:rPr>
              <w:t>4,735</w:t>
            </w:r>
          </w:p>
        </w:tc>
        <w:tc>
          <w:tcPr>
            <w:tcW w:w="180" w:type="dxa"/>
            <w:vAlign w:val="bottom"/>
            <w:tcBorders>
              <w:top w:val="single" w:sz="8" w:color="F0FFFF"/>
            </w:tcBorders>
            <w:gridSpan w:val="3"/>
            <w:shd w:val="clear" w:color="auto" w:fill="F0FFFF"/>
          </w:tcPr>
          <w:p>
            <w:pPr>
              <w:spacing w:after="0"/>
              <w:rPr>
                <w:sz w:val="12"/>
                <w:szCs w:val="12"/>
                <w:color w:val="auto"/>
              </w:rPr>
            </w:pPr>
          </w:p>
        </w:tc>
        <w:tc>
          <w:tcPr>
            <w:tcW w:w="640" w:type="dxa"/>
            <w:vAlign w:val="bottom"/>
            <w:tcBorders>
              <w:top w:val="single" w:sz="8" w:color="auto"/>
            </w:tcBorders>
            <w:gridSpan w:val="3"/>
            <w:shd w:val="clear" w:color="auto" w:fill="F0FFFF"/>
          </w:tcPr>
          <w:p>
            <w:pPr>
              <w:jc w:val="right"/>
              <w:ind w:right="568"/>
              <w:spacing w:after="0"/>
              <w:rPr>
                <w:sz w:val="20"/>
                <w:szCs w:val="20"/>
                <w:color w:val="auto"/>
              </w:rPr>
            </w:pPr>
            <w:r>
              <w:rPr>
                <w:rFonts w:ascii="Arial" w:cs="Arial" w:eastAsia="Arial" w:hAnsi="Arial"/>
                <w:sz w:val="14"/>
                <w:szCs w:val="14"/>
                <w:color w:val="auto"/>
              </w:rPr>
              <w:t>2,400</w:t>
            </w:r>
          </w:p>
        </w:tc>
        <w:tc>
          <w:tcPr>
            <w:tcW w:w="200" w:type="dxa"/>
            <w:vAlign w:val="bottom"/>
            <w:tcBorders>
              <w:top w:val="single" w:sz="8" w:color="F0FFFF"/>
            </w:tcBorders>
            <w:gridSpan w:val="2"/>
            <w:shd w:val="clear" w:color="auto" w:fill="F0FFFF"/>
          </w:tcPr>
          <w:p>
            <w:pPr>
              <w:spacing w:after="0"/>
              <w:rPr>
                <w:sz w:val="12"/>
                <w:szCs w:val="12"/>
                <w:color w:val="auto"/>
              </w:rPr>
            </w:pPr>
          </w:p>
        </w:tc>
        <w:tc>
          <w:tcPr>
            <w:tcW w:w="640" w:type="dxa"/>
            <w:vAlign w:val="bottom"/>
            <w:tcBorders>
              <w:top w:val="single" w:sz="8" w:color="auto"/>
            </w:tcBorders>
            <w:gridSpan w:val="3"/>
            <w:shd w:val="clear" w:color="auto" w:fill="F0FFFF"/>
          </w:tcPr>
          <w:p>
            <w:pPr>
              <w:jc w:val="right"/>
              <w:ind w:right="568"/>
              <w:spacing w:after="0"/>
              <w:rPr>
                <w:sz w:val="20"/>
                <w:szCs w:val="20"/>
                <w:color w:val="auto"/>
              </w:rPr>
            </w:pPr>
            <w:r>
              <w:rPr>
                <w:rFonts w:ascii="Arial" w:cs="Arial" w:eastAsia="Arial" w:hAnsi="Arial"/>
                <w:sz w:val="14"/>
                <w:szCs w:val="14"/>
                <w:color w:val="auto"/>
              </w:rPr>
              <w:t>69,062</w:t>
            </w:r>
          </w:p>
        </w:tc>
        <w:tc>
          <w:tcPr>
            <w:tcW w:w="180" w:type="dxa"/>
            <w:vAlign w:val="bottom"/>
            <w:tcBorders>
              <w:top w:val="single" w:sz="8" w:color="F0FFFF"/>
            </w:tcBorders>
            <w:gridSpan w:val="2"/>
            <w:shd w:val="clear" w:color="auto" w:fill="F0FFFF"/>
          </w:tcPr>
          <w:p>
            <w:pPr>
              <w:spacing w:after="0"/>
              <w:rPr>
                <w:sz w:val="12"/>
                <w:szCs w:val="12"/>
                <w:color w:val="auto"/>
              </w:rPr>
            </w:pPr>
          </w:p>
        </w:tc>
        <w:tc>
          <w:tcPr>
            <w:tcW w:w="680" w:type="dxa"/>
            <w:vAlign w:val="bottom"/>
            <w:tcBorders>
              <w:top w:val="single" w:sz="8" w:color="auto"/>
            </w:tcBorders>
            <w:gridSpan w:val="3"/>
            <w:shd w:val="clear" w:color="auto" w:fill="F0FFFF"/>
          </w:tcPr>
          <w:p>
            <w:pPr>
              <w:jc w:val="right"/>
              <w:ind w:right="608"/>
              <w:spacing w:after="0"/>
              <w:rPr>
                <w:sz w:val="20"/>
                <w:szCs w:val="20"/>
                <w:color w:val="auto"/>
              </w:rPr>
            </w:pPr>
            <w:r>
              <w:rPr>
                <w:rFonts w:ascii="Arial" w:cs="Arial" w:eastAsia="Arial" w:hAnsi="Arial"/>
                <w:sz w:val="14"/>
                <w:szCs w:val="14"/>
                <w:color w:val="auto"/>
              </w:rPr>
              <w:t>76,762</w:t>
            </w:r>
          </w:p>
        </w:tc>
        <w:tc>
          <w:tcPr>
            <w:tcW w:w="180" w:type="dxa"/>
            <w:vAlign w:val="bottom"/>
            <w:tcBorders>
              <w:top w:val="single" w:sz="8" w:color="F0FFFF"/>
            </w:tcBorders>
            <w:gridSpan w:val="2"/>
            <w:shd w:val="clear" w:color="auto" w:fill="F0FFFF"/>
          </w:tcPr>
          <w:p>
            <w:pPr>
              <w:spacing w:after="0"/>
              <w:rPr>
                <w:sz w:val="12"/>
                <w:szCs w:val="12"/>
                <w:color w:val="auto"/>
              </w:rPr>
            </w:pPr>
          </w:p>
        </w:tc>
        <w:tc>
          <w:tcPr>
            <w:tcW w:w="660" w:type="dxa"/>
            <w:vAlign w:val="bottom"/>
            <w:tcBorders>
              <w:top w:val="single" w:sz="8" w:color="auto"/>
            </w:tcBorders>
            <w:gridSpan w:val="3"/>
            <w:shd w:val="clear" w:color="auto" w:fill="F0FFFF"/>
          </w:tcPr>
          <w:p>
            <w:pPr>
              <w:jc w:val="right"/>
              <w:ind w:right="588"/>
              <w:spacing w:after="0"/>
              <w:rPr>
                <w:sz w:val="20"/>
                <w:szCs w:val="20"/>
                <w:color w:val="auto"/>
              </w:rPr>
            </w:pPr>
            <w:r>
              <w:rPr>
                <w:rFonts w:ascii="Arial" w:cs="Arial" w:eastAsia="Arial" w:hAnsi="Arial"/>
                <w:sz w:val="14"/>
                <w:szCs w:val="14"/>
                <w:color w:val="auto"/>
              </w:rPr>
              <w:t>(18,490)</w:t>
            </w:r>
          </w:p>
        </w:tc>
        <w:tc>
          <w:tcPr>
            <w:tcW w:w="180" w:type="dxa"/>
            <w:vAlign w:val="bottom"/>
            <w:tcBorders>
              <w:top w:val="single" w:sz="8" w:color="F0FFFF"/>
            </w:tcBorders>
            <w:gridSpan w:val="3"/>
            <w:shd w:val="clear" w:color="auto" w:fill="F0FFFF"/>
          </w:tcPr>
          <w:p>
            <w:pPr>
              <w:spacing w:after="0"/>
              <w:rPr>
                <w:sz w:val="12"/>
                <w:szCs w:val="12"/>
                <w:color w:val="auto"/>
              </w:rPr>
            </w:pPr>
          </w:p>
        </w:tc>
        <w:tc>
          <w:tcPr>
            <w:tcW w:w="680" w:type="dxa"/>
            <w:vAlign w:val="bottom"/>
            <w:tcBorders>
              <w:top w:val="single" w:sz="8" w:color="auto"/>
            </w:tcBorders>
            <w:gridSpan w:val="3"/>
            <w:shd w:val="clear" w:color="auto" w:fill="F0FFFF"/>
          </w:tcPr>
          <w:p>
            <w:pPr>
              <w:jc w:val="right"/>
              <w:ind w:right="608"/>
              <w:spacing w:after="0"/>
              <w:rPr>
                <w:sz w:val="20"/>
                <w:szCs w:val="20"/>
                <w:color w:val="auto"/>
              </w:rPr>
            </w:pPr>
            <w:r>
              <w:rPr>
                <w:rFonts w:ascii="Arial" w:cs="Arial" w:eastAsia="Arial" w:hAnsi="Arial"/>
                <w:sz w:val="14"/>
                <w:szCs w:val="14"/>
                <w:color w:val="auto"/>
              </w:rPr>
              <w:t>7,121</w:t>
            </w:r>
          </w:p>
        </w:tc>
        <w:tc>
          <w:tcPr>
            <w:tcW w:w="180" w:type="dxa"/>
            <w:vAlign w:val="bottom"/>
            <w:tcBorders>
              <w:top w:val="single" w:sz="8" w:color="F0FFFF"/>
            </w:tcBorders>
            <w:gridSpan w:val="2"/>
            <w:shd w:val="clear" w:color="auto" w:fill="F0FFFF"/>
          </w:tcPr>
          <w:p>
            <w:pPr>
              <w:spacing w:after="0"/>
              <w:rPr>
                <w:sz w:val="12"/>
                <w:szCs w:val="12"/>
                <w:color w:val="auto"/>
              </w:rPr>
            </w:pPr>
          </w:p>
        </w:tc>
        <w:tc>
          <w:tcPr>
            <w:tcW w:w="740" w:type="dxa"/>
            <w:vAlign w:val="bottom"/>
            <w:tcBorders>
              <w:top w:val="single" w:sz="8" w:color="auto"/>
            </w:tcBorders>
            <w:gridSpan w:val="3"/>
            <w:shd w:val="clear" w:color="auto" w:fill="F0FFFF"/>
          </w:tcPr>
          <w:p>
            <w:pPr>
              <w:jc w:val="right"/>
              <w:ind w:right="6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F0FFFF"/>
            </w:tcBorders>
            <w:gridSpan w:val="2"/>
            <w:shd w:val="clear" w:color="auto" w:fill="F0FFFF"/>
          </w:tcPr>
          <w:p>
            <w:pPr>
              <w:spacing w:after="0"/>
              <w:rPr>
                <w:sz w:val="12"/>
                <w:szCs w:val="12"/>
                <w:color w:val="auto"/>
              </w:rPr>
            </w:pPr>
          </w:p>
        </w:tc>
        <w:tc>
          <w:tcPr>
            <w:tcW w:w="660" w:type="dxa"/>
            <w:vAlign w:val="bottom"/>
            <w:tcBorders>
              <w:top w:val="single" w:sz="8" w:color="auto"/>
            </w:tcBorders>
            <w:gridSpan w:val="3"/>
            <w:shd w:val="clear" w:color="auto" w:fill="F0FFFF"/>
          </w:tcPr>
          <w:p>
            <w:pPr>
              <w:jc w:val="right"/>
              <w:ind w:right="588"/>
              <w:spacing w:after="0"/>
              <w:rPr>
                <w:sz w:val="20"/>
                <w:szCs w:val="20"/>
                <w:color w:val="auto"/>
              </w:rPr>
            </w:pPr>
            <w:r>
              <w:rPr>
                <w:rFonts w:ascii="Arial" w:cs="Arial" w:eastAsia="Arial" w:hAnsi="Arial"/>
                <w:sz w:val="14"/>
                <w:szCs w:val="14"/>
                <w:color w:val="auto"/>
              </w:rPr>
              <w:t>6,535</w:t>
            </w:r>
          </w:p>
        </w:tc>
        <w:tc>
          <w:tcPr>
            <w:tcW w:w="200" w:type="dxa"/>
            <w:vAlign w:val="bottom"/>
            <w:tcBorders>
              <w:top w:val="single" w:sz="8" w:color="F0FFFF"/>
            </w:tcBorders>
            <w:gridSpan w:val="2"/>
            <w:shd w:val="clear" w:color="auto" w:fill="F0FFFF"/>
          </w:tcPr>
          <w:p>
            <w:pPr>
              <w:spacing w:after="0"/>
              <w:rPr>
                <w:sz w:val="12"/>
                <w:szCs w:val="12"/>
                <w:color w:val="auto"/>
              </w:rPr>
            </w:pPr>
          </w:p>
        </w:tc>
        <w:tc>
          <w:tcPr>
            <w:tcW w:w="640" w:type="dxa"/>
            <w:vAlign w:val="bottom"/>
            <w:tcBorders>
              <w:top w:val="single" w:sz="8" w:color="auto"/>
            </w:tcBorders>
            <w:gridSpan w:val="3"/>
            <w:shd w:val="clear" w:color="auto" w:fill="F0FFFF"/>
          </w:tcPr>
          <w:p>
            <w:pPr>
              <w:jc w:val="right"/>
              <w:ind w:right="568"/>
              <w:spacing w:after="0"/>
              <w:rPr>
                <w:sz w:val="20"/>
                <w:szCs w:val="20"/>
                <w:color w:val="auto"/>
              </w:rPr>
            </w:pPr>
            <w:r>
              <w:rPr>
                <w:rFonts w:ascii="Arial" w:cs="Arial" w:eastAsia="Arial" w:hAnsi="Arial"/>
                <w:sz w:val="14"/>
                <w:szCs w:val="14"/>
                <w:color w:val="auto"/>
              </w:rPr>
              <w:t>71,928</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420" w:type="dxa"/>
            <w:vAlign w:val="bottom"/>
            <w:gridSpan w:val="61"/>
          </w:tcPr>
          <w:p>
            <w:pPr>
              <w:spacing w:after="0"/>
              <w:rPr>
                <w:sz w:val="20"/>
                <w:szCs w:val="20"/>
                <w:color w:val="auto"/>
              </w:rPr>
            </w:pPr>
            <w:r>
              <w:rPr>
                <w:rFonts w:ascii="Arial" w:cs="Arial" w:eastAsia="Arial" w:hAnsi="Arial"/>
                <w:sz w:val="14"/>
                <w:szCs w:val="14"/>
                <w:color w:val="auto"/>
              </w:rPr>
              <w:t>Allowance for unfunded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commitments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1,930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2,930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2,165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165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18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Arial" w:cs="Arial" w:eastAsia="Arial" w:hAnsi="Arial"/>
                <w:sz w:val="14"/>
                <w:szCs w:val="14"/>
                <w:color w:val="auto"/>
              </w:rPr>
              <w:t>Total allowance for credit losses</w:t>
            </w:r>
          </w:p>
        </w:tc>
        <w:tc>
          <w:tcPr>
            <w:tcW w:w="80" w:type="dxa"/>
            <w:vAlign w:val="bottom"/>
            <w:tcBorders>
              <w:top w:val="single" w:sz="8" w:color="auto"/>
              <w:bottom w:val="single" w:sz="8" w:color="auto"/>
            </w:tcBorders>
            <w:gridSpan w:val="2"/>
            <w:shd w:val="clear" w:color="auto" w:fill="F0FFFF"/>
          </w:tcPr>
          <w:p>
            <w:pPr>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shd w:val="clear" w:color="auto" w:fill="F0FFFF"/>
          </w:tcPr>
          <w:p>
            <w:pPr>
              <w:spacing w:after="0"/>
              <w:rPr>
                <w:sz w:val="15"/>
                <w:szCs w:val="15"/>
                <w:color w:val="auto"/>
              </w:rPr>
            </w:pPr>
          </w:p>
        </w:tc>
        <w:tc>
          <w:tcPr>
            <w:tcW w:w="60" w:type="dxa"/>
            <w:vAlign w:val="bottom"/>
            <w:tcBorders>
              <w:top w:val="single" w:sz="8" w:color="auto"/>
              <w:bottom w:val="single" w:sz="8" w:color="auto"/>
            </w:tcBorders>
            <w:shd w:val="clear" w:color="auto" w:fill="F0FFFF"/>
          </w:tcPr>
          <w:p>
            <w:pPr>
              <w:spacing w:after="0"/>
              <w:rPr>
                <w:sz w:val="15"/>
                <w:szCs w:val="15"/>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73,549</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F0FFFF"/>
          </w:tcPr>
          <w:p>
            <w:pPr>
              <w:spacing w:after="0"/>
              <w:rPr>
                <w:sz w:val="15"/>
                <w:szCs w:val="15"/>
                <w:color w:val="auto"/>
              </w:rPr>
            </w:pPr>
          </w:p>
        </w:tc>
        <w:tc>
          <w:tcPr>
            <w:tcW w:w="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(9,692</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shd w:val="clear" w:color="auto" w:fill="F0FFFF"/>
          </w:tcPr>
          <w:p>
            <w:pPr>
              <w:spacing w:after="0"/>
              <w:rPr>
                <w:sz w:val="15"/>
                <w:szCs w:val="15"/>
                <w:color w:val="auto"/>
              </w:rPr>
            </w:pPr>
          </w:p>
        </w:tc>
        <w:tc>
          <w:tcPr>
            <w:tcW w:w="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4,735</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4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F0FFFF"/>
          </w:tcPr>
          <w:p>
            <w:pPr>
              <w:jc w:val="right"/>
              <w:ind w:right="5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3,400</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71,992</w:t>
            </w:r>
          </w:p>
        </w:tc>
        <w:tc>
          <w:tcPr>
            <w:tcW w:w="4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78,927</w:t>
            </w: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F0FFFF"/>
          </w:tcPr>
          <w:p>
            <w:pPr>
              <w:jc w:val="right"/>
              <w:ind w:right="15"/>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(18,490</w:t>
            </w:r>
          </w:p>
        </w:tc>
        <w:tc>
          <w:tcPr>
            <w:tcW w:w="120" w:type="dxa"/>
            <w:vAlign w:val="bottom"/>
            <w:tcBorders>
              <w:top w:val="single" w:sz="8" w:color="F0FFFF"/>
              <w:bottom w:val="single" w:sz="8" w:color="F0FFFF"/>
            </w:tcBorders>
            <w:gridSpan w:val="2"/>
            <w:shd w:val="clear" w:color="auto" w:fill="F0FFFF"/>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F0FFFF"/>
          </w:tcPr>
          <w:p>
            <w:pPr>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7,121</w:t>
            </w: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6,700</w:t>
            </w: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74,258</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F0FFFF"/>
            </w:tcBorders>
            <w:gridSpan w:val="2"/>
          </w:tcPr>
          <w:p>
            <w:pPr>
              <w:spacing w:after="0" w:line="20" w:lineRule="exact"/>
              <w:rPr>
                <w:sz w:val="1"/>
                <w:szCs w:val="1"/>
                <w:color w:val="auto"/>
              </w:rPr>
            </w:pPr>
          </w:p>
        </w:tc>
        <w:tc>
          <w:tcPr>
            <w:tcW w:w="660" w:type="dxa"/>
            <w:vAlign w:val="bottom"/>
            <w:tcBorders>
              <w:top w:val="single" w:sz="8" w:color="F0FFFF"/>
              <w:bottom w:val="single" w:sz="8" w:color="auto"/>
            </w:tcBorders>
            <w:gridSpan w:val="5"/>
          </w:tcPr>
          <w:p>
            <w:pPr>
              <w:spacing w:after="0" w:line="20" w:lineRule="exact"/>
              <w:rPr>
                <w:sz w:val="1"/>
                <w:szCs w:val="1"/>
                <w:color w:val="auto"/>
              </w:rPr>
            </w:pPr>
          </w:p>
        </w:tc>
        <w:tc>
          <w:tcPr>
            <w:tcW w:w="160" w:type="dxa"/>
            <w:vAlign w:val="bottom"/>
            <w:tcBorders>
              <w:top w:val="single" w:sz="8" w:color="F0FFFF"/>
            </w:tcBorders>
            <w:gridSpan w:val="2"/>
          </w:tcPr>
          <w:p>
            <w:pPr>
              <w:spacing w:after="0" w:line="20" w:lineRule="exact"/>
              <w:rPr>
                <w:sz w:val="1"/>
                <w:szCs w:val="1"/>
                <w:color w:val="auto"/>
              </w:rPr>
            </w:pPr>
          </w:p>
        </w:tc>
        <w:tc>
          <w:tcPr>
            <w:tcW w:w="620" w:type="dxa"/>
            <w:vAlign w:val="bottom"/>
            <w:tcBorders>
              <w:top w:val="single" w:sz="8" w:color="F0FFFF"/>
              <w:bottom w:val="single" w:sz="8" w:color="auto"/>
            </w:tcBorders>
            <w:gridSpan w:val="3"/>
          </w:tcPr>
          <w:p>
            <w:pPr>
              <w:spacing w:after="0" w:line="20" w:lineRule="exact"/>
              <w:rPr>
                <w:sz w:val="1"/>
                <w:szCs w:val="1"/>
                <w:color w:val="auto"/>
              </w:rPr>
            </w:pPr>
          </w:p>
        </w:tc>
        <w:tc>
          <w:tcPr>
            <w:tcW w:w="180" w:type="dxa"/>
            <w:vAlign w:val="bottom"/>
            <w:tcBorders>
              <w:top w:val="single" w:sz="8" w:color="F0FFFF"/>
            </w:tcBorders>
            <w:gridSpan w:val="2"/>
          </w:tcPr>
          <w:p>
            <w:pPr>
              <w:spacing w:after="0" w:line="20" w:lineRule="exact"/>
              <w:rPr>
                <w:sz w:val="1"/>
                <w:szCs w:val="1"/>
                <w:color w:val="auto"/>
              </w:rPr>
            </w:pPr>
          </w:p>
        </w:tc>
        <w:tc>
          <w:tcPr>
            <w:tcW w:w="680" w:type="dxa"/>
            <w:vAlign w:val="bottom"/>
            <w:tcBorders>
              <w:top w:val="single" w:sz="8" w:color="F0FFFF"/>
              <w:bottom w:val="single" w:sz="8" w:color="auto"/>
            </w:tcBorders>
            <w:gridSpan w:val="3"/>
          </w:tcPr>
          <w:p>
            <w:pPr>
              <w:spacing w:after="0" w:line="20" w:lineRule="exact"/>
              <w:rPr>
                <w:sz w:val="1"/>
                <w:szCs w:val="1"/>
                <w:color w:val="auto"/>
              </w:rPr>
            </w:pPr>
          </w:p>
        </w:tc>
        <w:tc>
          <w:tcPr>
            <w:tcW w:w="180" w:type="dxa"/>
            <w:vAlign w:val="bottom"/>
            <w:tcBorders>
              <w:top w:val="single" w:sz="8" w:color="F0FFFF"/>
            </w:tcBorders>
            <w:gridSpan w:val="3"/>
          </w:tcPr>
          <w:p>
            <w:pPr>
              <w:spacing w:after="0" w:line="20" w:lineRule="exact"/>
              <w:rPr>
                <w:sz w:val="1"/>
                <w:szCs w:val="1"/>
                <w:color w:val="auto"/>
              </w:rPr>
            </w:pPr>
          </w:p>
        </w:tc>
        <w:tc>
          <w:tcPr>
            <w:tcW w:w="640" w:type="dxa"/>
            <w:vAlign w:val="bottom"/>
            <w:tcBorders>
              <w:top w:val="single" w:sz="8" w:color="F0FFFF"/>
              <w:bottom w:val="single" w:sz="8" w:color="auto"/>
            </w:tcBorders>
            <w:gridSpan w:val="3"/>
          </w:tcPr>
          <w:p>
            <w:pPr>
              <w:spacing w:after="0" w:line="20" w:lineRule="exact"/>
              <w:rPr>
                <w:sz w:val="1"/>
                <w:szCs w:val="1"/>
                <w:color w:val="auto"/>
              </w:rPr>
            </w:pPr>
          </w:p>
        </w:tc>
        <w:tc>
          <w:tcPr>
            <w:tcW w:w="200" w:type="dxa"/>
            <w:vAlign w:val="bottom"/>
            <w:tcBorders>
              <w:top w:val="single" w:sz="8" w:color="F0FFFF"/>
            </w:tcBorders>
            <w:gridSpan w:val="2"/>
          </w:tcPr>
          <w:p>
            <w:pPr>
              <w:spacing w:after="0" w:line="20" w:lineRule="exact"/>
              <w:rPr>
                <w:sz w:val="1"/>
                <w:szCs w:val="1"/>
                <w:color w:val="auto"/>
              </w:rPr>
            </w:pPr>
          </w:p>
        </w:tc>
        <w:tc>
          <w:tcPr>
            <w:tcW w:w="640" w:type="dxa"/>
            <w:vAlign w:val="bottom"/>
            <w:tcBorders>
              <w:top w:val="single" w:sz="8" w:color="F0FFFF"/>
              <w:bottom w:val="single" w:sz="8" w:color="auto"/>
            </w:tcBorders>
            <w:gridSpan w:val="3"/>
          </w:tcPr>
          <w:p>
            <w:pPr>
              <w:spacing w:after="0" w:line="20" w:lineRule="exact"/>
              <w:rPr>
                <w:sz w:val="1"/>
                <w:szCs w:val="1"/>
                <w:color w:val="auto"/>
              </w:rPr>
            </w:pPr>
          </w:p>
        </w:tc>
        <w:tc>
          <w:tcPr>
            <w:tcW w:w="180" w:type="dxa"/>
            <w:vAlign w:val="bottom"/>
            <w:tcBorders>
              <w:top w:val="single" w:sz="8" w:color="F0FFFF"/>
            </w:tcBorders>
            <w:gridSpan w:val="2"/>
          </w:tcPr>
          <w:p>
            <w:pPr>
              <w:spacing w:after="0" w:line="20" w:lineRule="exact"/>
              <w:rPr>
                <w:sz w:val="1"/>
                <w:szCs w:val="1"/>
                <w:color w:val="auto"/>
              </w:rPr>
            </w:pPr>
          </w:p>
        </w:tc>
        <w:tc>
          <w:tcPr>
            <w:tcW w:w="680" w:type="dxa"/>
            <w:vAlign w:val="bottom"/>
            <w:tcBorders>
              <w:top w:val="single" w:sz="8" w:color="F0FFFF"/>
              <w:bottom w:val="single" w:sz="8" w:color="auto"/>
            </w:tcBorders>
            <w:gridSpan w:val="3"/>
          </w:tcPr>
          <w:p>
            <w:pPr>
              <w:spacing w:after="0" w:line="20" w:lineRule="exact"/>
              <w:rPr>
                <w:sz w:val="1"/>
                <w:szCs w:val="1"/>
                <w:color w:val="auto"/>
              </w:rPr>
            </w:pPr>
          </w:p>
        </w:tc>
        <w:tc>
          <w:tcPr>
            <w:tcW w:w="180" w:type="dxa"/>
            <w:vAlign w:val="bottom"/>
            <w:tcBorders>
              <w:top w:val="single" w:sz="8" w:color="F0FFFF"/>
            </w:tcBorders>
            <w:gridSpan w:val="2"/>
          </w:tcPr>
          <w:p>
            <w:pPr>
              <w:spacing w:after="0" w:line="20" w:lineRule="exact"/>
              <w:rPr>
                <w:sz w:val="1"/>
                <w:szCs w:val="1"/>
                <w:color w:val="auto"/>
              </w:rPr>
            </w:pPr>
          </w:p>
        </w:tc>
        <w:tc>
          <w:tcPr>
            <w:tcW w:w="660" w:type="dxa"/>
            <w:vAlign w:val="bottom"/>
            <w:tcBorders>
              <w:top w:val="single" w:sz="8" w:color="F0FFFF"/>
              <w:bottom w:val="single" w:sz="8" w:color="auto"/>
            </w:tcBorders>
            <w:gridSpan w:val="3"/>
          </w:tcPr>
          <w:p>
            <w:pPr>
              <w:spacing w:after="0" w:line="20" w:lineRule="exact"/>
              <w:rPr>
                <w:sz w:val="1"/>
                <w:szCs w:val="1"/>
                <w:color w:val="auto"/>
              </w:rPr>
            </w:pPr>
          </w:p>
        </w:tc>
        <w:tc>
          <w:tcPr>
            <w:tcW w:w="180" w:type="dxa"/>
            <w:vAlign w:val="bottom"/>
            <w:tcBorders>
              <w:top w:val="single" w:sz="8" w:color="F0FFFF"/>
            </w:tcBorders>
            <w:gridSpan w:val="3"/>
          </w:tcPr>
          <w:p>
            <w:pPr>
              <w:spacing w:after="0" w:line="20" w:lineRule="exact"/>
              <w:rPr>
                <w:sz w:val="1"/>
                <w:szCs w:val="1"/>
                <w:color w:val="auto"/>
              </w:rPr>
            </w:pPr>
          </w:p>
        </w:tc>
        <w:tc>
          <w:tcPr>
            <w:tcW w:w="680" w:type="dxa"/>
            <w:vAlign w:val="bottom"/>
            <w:tcBorders>
              <w:top w:val="single" w:sz="8" w:color="F0FFFF"/>
              <w:bottom w:val="single" w:sz="8" w:color="auto"/>
            </w:tcBorders>
            <w:gridSpan w:val="3"/>
          </w:tcPr>
          <w:p>
            <w:pPr>
              <w:spacing w:after="0" w:line="20" w:lineRule="exact"/>
              <w:rPr>
                <w:sz w:val="1"/>
                <w:szCs w:val="1"/>
                <w:color w:val="auto"/>
              </w:rPr>
            </w:pPr>
          </w:p>
        </w:tc>
        <w:tc>
          <w:tcPr>
            <w:tcW w:w="180" w:type="dxa"/>
            <w:vAlign w:val="bottom"/>
            <w:tcBorders>
              <w:top w:val="single" w:sz="8" w:color="F0FFFF"/>
            </w:tcBorders>
            <w:gridSpan w:val="2"/>
          </w:tcPr>
          <w:p>
            <w:pPr>
              <w:spacing w:after="0" w:line="20" w:lineRule="exact"/>
              <w:rPr>
                <w:sz w:val="1"/>
                <w:szCs w:val="1"/>
                <w:color w:val="auto"/>
              </w:rPr>
            </w:pPr>
          </w:p>
        </w:tc>
        <w:tc>
          <w:tcPr>
            <w:tcW w:w="740" w:type="dxa"/>
            <w:vAlign w:val="bottom"/>
            <w:tcBorders>
              <w:top w:val="single" w:sz="8" w:color="F0FFFF"/>
              <w:bottom w:val="single" w:sz="8" w:color="auto"/>
            </w:tcBorders>
            <w:gridSpan w:val="3"/>
          </w:tcPr>
          <w:p>
            <w:pPr>
              <w:spacing w:after="0" w:line="20" w:lineRule="exact"/>
              <w:rPr>
                <w:sz w:val="1"/>
                <w:szCs w:val="1"/>
                <w:color w:val="auto"/>
              </w:rPr>
            </w:pPr>
          </w:p>
        </w:tc>
        <w:tc>
          <w:tcPr>
            <w:tcW w:w="180" w:type="dxa"/>
            <w:vAlign w:val="bottom"/>
            <w:tcBorders>
              <w:top w:val="single" w:sz="8" w:color="F0FFFF"/>
            </w:tcBorders>
            <w:gridSpan w:val="2"/>
          </w:tcPr>
          <w:p>
            <w:pPr>
              <w:spacing w:after="0" w:line="20" w:lineRule="exact"/>
              <w:rPr>
                <w:sz w:val="1"/>
                <w:szCs w:val="1"/>
                <w:color w:val="auto"/>
              </w:rPr>
            </w:pPr>
          </w:p>
        </w:tc>
        <w:tc>
          <w:tcPr>
            <w:tcW w:w="660" w:type="dxa"/>
            <w:vAlign w:val="bottom"/>
            <w:tcBorders>
              <w:top w:val="single" w:sz="8" w:color="F0FFFF"/>
              <w:bottom w:val="single" w:sz="8" w:color="auto"/>
            </w:tcBorders>
            <w:gridSpan w:val="3"/>
          </w:tcPr>
          <w:p>
            <w:pPr>
              <w:spacing w:after="0" w:line="20" w:lineRule="exact"/>
              <w:rPr>
                <w:sz w:val="1"/>
                <w:szCs w:val="1"/>
                <w:color w:val="auto"/>
              </w:rPr>
            </w:pPr>
          </w:p>
        </w:tc>
        <w:tc>
          <w:tcPr>
            <w:tcW w:w="200" w:type="dxa"/>
            <w:vAlign w:val="bottom"/>
            <w:tcBorders>
              <w:top w:val="single" w:sz="8" w:color="F0FFFF"/>
            </w:tcBorders>
            <w:gridSpan w:val="2"/>
          </w:tcPr>
          <w:p>
            <w:pPr>
              <w:spacing w:after="0" w:line="20" w:lineRule="exact"/>
              <w:rPr>
                <w:sz w:val="1"/>
                <w:szCs w:val="1"/>
                <w:color w:val="auto"/>
              </w:rPr>
            </w:pPr>
          </w:p>
        </w:tc>
        <w:tc>
          <w:tcPr>
            <w:tcW w:w="640" w:type="dxa"/>
            <w:vAlign w:val="bottom"/>
            <w:tcBorders>
              <w:top w:val="single" w:sz="8" w:color="F0FFFF"/>
              <w:bottom w:val="single" w:sz="8" w:color="auto"/>
            </w:tcBorders>
            <w:gridSpan w:val="3"/>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first quarter of 2014, United modified its allowance for loan losses methodology to incorporate a loss emergence period. The increase in precision resulting from the use of the loss emergence period led to the full allocation of the portion of the allowance that had previously been unallocated.</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The following table represents the recorded investment in loans by portfolio segment and the balance of the allowance for loan losses assigned to each segment based on the method of evaluating the loans for impairment as of September 30, 2015, December 31, 2014 and September 30, 2014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7"/>
              </w:rPr>
              <w:t>September 30, 2015</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September 30, 2014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Individually</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Collectively</w:t>
            </w: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89"/>
              </w:rPr>
              <w:t>Purchased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Individually</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Collectively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Individually</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Collectively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with</w:t>
            </w:r>
          </w:p>
        </w:tc>
        <w:tc>
          <w:tcPr>
            <w:tcW w:w="8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Ending</w:t>
            </w:r>
          </w:p>
        </w:tc>
        <w:tc>
          <w:tcPr>
            <w:tcW w:w="98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Allowance for Loan Losses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deteriorated</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evaluated for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100" w:type="dxa"/>
            <w:vAlign w:val="bottom"/>
            <w:gridSpan w:val="3"/>
            <w:vMerge w:val="continue"/>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impairment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credit quality</w:t>
            </w:r>
          </w:p>
        </w:tc>
        <w:tc>
          <w:tcPr>
            <w:tcW w:w="8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Balance</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impairment</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impairment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estate</w:t>
            </w:r>
          </w:p>
        </w:tc>
        <w:tc>
          <w:tcPr>
            <w:tcW w:w="2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1,506</w:t>
            </w:r>
          </w:p>
        </w:tc>
        <w:tc>
          <w:tcPr>
            <w:tcW w:w="14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14,103</w:t>
            </w:r>
          </w:p>
        </w:tc>
        <w:tc>
          <w:tcPr>
            <w:tcW w:w="80" w:type="dxa"/>
            <w:vAlign w:val="bottom"/>
            <w:shd w:val="clear" w:color="auto" w:fill="F0FFFF"/>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15,609</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2,737</w:t>
            </w:r>
          </w:p>
        </w:tc>
        <w:tc>
          <w:tcPr>
            <w:tcW w:w="14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13,304</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16,041</w:t>
            </w:r>
          </w:p>
        </w:tc>
        <w:tc>
          <w:tcPr>
            <w:tcW w:w="2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2,125</w:t>
            </w:r>
          </w:p>
        </w:tc>
        <w:tc>
          <w:tcPr>
            <w:tcW w:w="14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13,175</w:t>
            </w:r>
          </w:p>
        </w:tc>
        <w:tc>
          <w:tcPr>
            <w:tcW w:w="1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15,300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Income producing commercial</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2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7,148</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7,773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1,917</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8,379</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10,296</w:t>
            </w:r>
          </w:p>
        </w:tc>
        <w:tc>
          <w:tcPr>
            <w:tcW w:w="2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2,380</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8,411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129</w:t>
            </w: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5,451</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5,580</w:t>
            </w:r>
          </w:p>
        </w:tc>
        <w:tc>
          <w:tcPr>
            <w:tcW w:w="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3,240</w:t>
            </w: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3,255</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3,192</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Commercial construction</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6,013</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6,495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4,018</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4,747</w:t>
            </w: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1,164</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4,486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3,205</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13,534</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16,739</w:t>
            </w:r>
          </w:p>
        </w:tc>
        <w:tc>
          <w:tcPr>
            <w:tcW w:w="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3,227</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17,084</w:t>
            </w: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20,311</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3,501</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14,085</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17,586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Home equity lines of credit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6,286</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4,527</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4,574</w:t>
            </w: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construction</w:t>
            </w: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207</w:t>
            </w: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8,176</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8,383</w:t>
            </w:r>
          </w:p>
        </w:tc>
        <w:tc>
          <w:tcPr>
            <w:tcW w:w="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1,192</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9,411</w:t>
            </w: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10,603</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1,037</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11,817</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Consumer installment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713</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731</w:t>
            </w: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Indirect auto</w:t>
            </w:r>
          </w:p>
        </w:tc>
        <w:tc>
          <w:tcPr>
            <w:tcW w:w="2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1,413</w:t>
            </w:r>
          </w:p>
        </w:tc>
        <w:tc>
          <w:tcPr>
            <w:tcW w:w="8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1,413</w:t>
            </w:r>
          </w:p>
        </w:tc>
        <w:tc>
          <w:tcPr>
            <w:tcW w:w="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1,061</w:t>
            </w:r>
          </w:p>
        </w:tc>
        <w:tc>
          <w:tcPr>
            <w:tcW w:w="2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951</w:t>
            </w:r>
          </w:p>
        </w:tc>
        <w:tc>
          <w:tcPr>
            <w:tcW w:w="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80" w:type="dxa"/>
            <w:vAlign w:val="bottom"/>
            <w:tcBorders>
              <w:top w:val="single" w:sz="8" w:color="F0FFFF"/>
            </w:tcBorders>
            <w:gridSpan w:val="2"/>
          </w:tcPr>
          <w:p>
            <w:pPr>
              <w:ind w:left="160"/>
              <w:spacing w:after="0" w:line="136" w:lineRule="exact"/>
              <w:rPr>
                <w:sz w:val="20"/>
                <w:szCs w:val="20"/>
                <w:color w:val="auto"/>
              </w:rPr>
            </w:pPr>
            <w:r>
              <w:rPr>
                <w:rFonts w:ascii="Arial" w:cs="Arial" w:eastAsia="Arial" w:hAnsi="Arial"/>
                <w:sz w:val="14"/>
                <w:szCs w:val="14"/>
                <w:color w:val="auto"/>
                <w:w w:val="99"/>
              </w:rPr>
              <w:t>Total allowance for loan losses</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6,183</w:t>
            </w:r>
          </w:p>
        </w:tc>
        <w:tc>
          <w:tcPr>
            <w:tcW w:w="16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62,879</w:t>
            </w:r>
          </w:p>
        </w:tc>
        <w:tc>
          <w:tcPr>
            <w:tcW w:w="1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69,062</w:t>
            </w:r>
          </w:p>
        </w:tc>
        <w:tc>
          <w:tcPr>
            <w:tcW w:w="8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9,882</w:t>
            </w:r>
          </w:p>
        </w:tc>
        <w:tc>
          <w:tcPr>
            <w:tcW w:w="16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61,737</w:t>
            </w:r>
          </w:p>
        </w:tc>
        <w:tc>
          <w:tcPr>
            <w:tcW w:w="16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71,619</w:t>
            </w:r>
          </w:p>
        </w:tc>
        <w:tc>
          <w:tcPr>
            <w:tcW w:w="160" w:type="dxa"/>
            <w:vAlign w:val="bottom"/>
            <w:tcBorders>
              <w:top w:val="single" w:sz="8" w:color="F0FF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10,307</w:t>
            </w:r>
          </w:p>
        </w:tc>
        <w:tc>
          <w:tcPr>
            <w:tcW w:w="18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61,621</w:t>
            </w:r>
          </w:p>
        </w:tc>
        <w:tc>
          <w:tcPr>
            <w:tcW w:w="16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71,928</w:t>
            </w: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Allowance for unfunded</w:t>
            </w: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commitments</w:t>
            </w:r>
          </w:p>
        </w:tc>
        <w:tc>
          <w:tcPr>
            <w:tcW w:w="2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2,930</w:t>
            </w:r>
          </w:p>
        </w:tc>
        <w:tc>
          <w:tcPr>
            <w:tcW w:w="8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2,930</w:t>
            </w: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F0FFFF"/>
          </w:tcPr>
          <w:p>
            <w:pPr>
              <w:spacing w:after="0"/>
              <w:rPr>
                <w:sz w:val="17"/>
                <w:szCs w:val="17"/>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1,930</w:t>
            </w:r>
          </w:p>
        </w:tc>
        <w:tc>
          <w:tcPr>
            <w:tcW w:w="2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2,330</w:t>
            </w: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80" w:type="dxa"/>
            <w:vAlign w:val="bottom"/>
            <w:tcBorders>
              <w:top w:val="single" w:sz="8" w:color="F0FFFF"/>
            </w:tcBorders>
            <w:gridSpan w:val="2"/>
          </w:tcPr>
          <w:p>
            <w:pPr>
              <w:ind w:left="160"/>
              <w:spacing w:after="0" w:line="104" w:lineRule="exact"/>
              <w:rPr>
                <w:sz w:val="20"/>
                <w:szCs w:val="20"/>
                <w:color w:val="auto"/>
              </w:rPr>
            </w:pPr>
            <w:r>
              <w:rPr>
                <w:rFonts w:ascii="Arial" w:cs="Arial" w:eastAsia="Arial" w:hAnsi="Arial"/>
                <w:sz w:val="11"/>
                <w:szCs w:val="11"/>
                <w:color w:val="auto"/>
              </w:rPr>
              <w:t>Total allowance for credit</w:t>
            </w:r>
          </w:p>
        </w:tc>
        <w:tc>
          <w:tcPr>
            <w:tcW w:w="2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F0FFFF"/>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8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6,183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65,809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71,992</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9,882</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63,667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73,549</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10,307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63,951</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Loans Outstanding</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0" w:type="dxa"/>
            <w:vAlign w:val="bottom"/>
            <w:tcBorders>
              <w:top w:val="single" w:sz="8" w:color="auto"/>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6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66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74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60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60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66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0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6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66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6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80" w:type="dxa"/>
            <w:vAlign w:val="bottom"/>
            <w:gridSpan w:val="2"/>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38,513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1,426,787</w:t>
            </w:r>
          </w:p>
        </w:tc>
        <w:tc>
          <w:tcPr>
            <w:tcW w:w="1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13,946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1,479,246</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34,654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1,128,826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1,163,480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33,635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1,120,298</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1,153,933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Income producing commercial</w:t>
            </w: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real estate</w:t>
            </w:r>
          </w:p>
        </w:tc>
        <w:tc>
          <w:tcPr>
            <w:tcW w:w="20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20,580</w:t>
            </w:r>
          </w:p>
        </w:tc>
        <w:tc>
          <w:tcPr>
            <w:tcW w:w="14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769,093</w:t>
            </w: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28,160</w:t>
            </w:r>
          </w:p>
        </w:tc>
        <w:tc>
          <w:tcPr>
            <w:tcW w:w="80" w:type="dxa"/>
            <w:vAlign w:val="bottom"/>
            <w:shd w:val="clear" w:color="auto" w:fill="F0FFFF"/>
          </w:tcPr>
          <w:p>
            <w:pPr>
              <w:spacing w:after="0"/>
              <w:rPr>
                <w:sz w:val="14"/>
                <w:szCs w:val="14"/>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817,833</w:t>
            </w:r>
          </w:p>
        </w:tc>
        <w:tc>
          <w:tcPr>
            <w:tcW w:w="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24,484</w:t>
            </w:r>
          </w:p>
        </w:tc>
        <w:tc>
          <w:tcPr>
            <w:tcW w:w="14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574,053</w:t>
            </w:r>
          </w:p>
        </w:tc>
        <w:tc>
          <w:tcPr>
            <w:tcW w:w="10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598,537</w:t>
            </w:r>
          </w:p>
        </w:tc>
        <w:tc>
          <w:tcPr>
            <w:tcW w:w="20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26,120</w:t>
            </w:r>
          </w:p>
        </w:tc>
        <w:tc>
          <w:tcPr>
            <w:tcW w:w="14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578,607</w:t>
            </w:r>
          </w:p>
        </w:tc>
        <w:tc>
          <w:tcPr>
            <w:tcW w:w="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604,727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Commercial &amp; industrial</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4,564</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885,002</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667</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890,233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3,977</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706,279</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710,256</w:t>
            </w: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4,540</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645,313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construction</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12,413</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303,683</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2,249</w:t>
            </w:r>
          </w:p>
        </w:tc>
        <w:tc>
          <w:tcPr>
            <w:tcW w:w="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318,345</w:t>
            </w:r>
          </w:p>
        </w:tc>
        <w:tc>
          <w:tcPr>
            <w:tcW w:w="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12,321</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183,709</w:t>
            </w: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196,030</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12,127</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168,667</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180,794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22,446</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1,034,893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4,271</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1,061,610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18,775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847,014</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865,789</w:t>
            </w: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18,778</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846,790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865,568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477</w:t>
            </w: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582,754</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1,703</w:t>
            </w:r>
          </w:p>
        </w:tc>
        <w:tc>
          <w:tcPr>
            <w:tcW w:w="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584,934</w:t>
            </w:r>
          </w:p>
        </w:tc>
        <w:tc>
          <w:tcPr>
            <w:tcW w:w="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478</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465,394</w:t>
            </w: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465,872</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458,288</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458,819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8,352</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324,599</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1,133</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334,084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11,604</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287,023</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298,627</w:t>
            </w: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13,055</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294,123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Consumer installment</w:t>
            </w: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235</w:t>
            </w:r>
          </w:p>
        </w:tc>
        <w:tc>
          <w:tcPr>
            <w:tcW w:w="1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116,349</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116,603</w:t>
            </w:r>
          </w:p>
        </w:tc>
        <w:tc>
          <w:tcPr>
            <w:tcW w:w="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179</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104,720</w:t>
            </w: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104,899</w:t>
            </w:r>
          </w:p>
        </w:tc>
        <w:tc>
          <w:tcPr>
            <w:tcW w:w="2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245</w:t>
            </w:r>
          </w:p>
        </w:tc>
        <w:tc>
          <w:tcPr>
            <w:tcW w:w="1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105,100</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105,345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Indirect auto</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420,608</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420,697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268,629</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268,629</w:t>
            </w:r>
          </w:p>
        </w:tc>
        <w:tc>
          <w:tcPr>
            <w:tcW w:w="2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242,669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242,669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8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Arial" w:cs="Arial" w:eastAsia="Arial" w:hAnsi="Arial"/>
                <w:sz w:val="14"/>
                <w:szCs w:val="14"/>
                <w:color w:val="auto"/>
              </w:rPr>
              <w:t>Total loans</w:t>
            </w: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107,580</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5,863,768</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52,237</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3"/>
              </w:rPr>
              <w:t>6,023,585</w:t>
            </w: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106,472</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4,565,647</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3"/>
              </w:rPr>
              <w:t>4,672,119</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109,031</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4,459,855</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3"/>
              </w:rPr>
              <w:t>4,568,886</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Excluding loans accounted for under ASC Topic 310-30, management considers all loans that are on nonaccrual with a balance of $500,000 or greater and all troubled debt restructurings (“TDRs”) to be impaired.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For TDRs less than $500,000, impairment is estimated based on the average impairment of TDRs greater than $500,000 by loan category. For loan types that do not have TDRs greater than $500,000, the average impairment for all TDR loans is used to quantify the amount of required specific reserve.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quarter, United’s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uses eight quarters of historical loss experience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years, the loss rates were weighted toward more recent quarters by multiplying each quarter’s annualized historical net charge-off rate by 1 through 8, with 8 representing the most recent quarter and 1 representing the oldest quarter. Management adopted this method of weighting quarterly loss rates to capture the rapidly deteriorating credit conditions in its loss factors during the financial crisis. In the first quarter of 2014, in light of stabilizing credit conditions, management concluded that it was appropriate to apply a more level weighting to capture the full range and impacts of credit losses experienced during the most recent economic and credit cycle. For the four quarters of 2014, management applied a weighting factor of 1.75 to the most recent four quarters and a weighting of 1.00 for the four oldest quarters. Beginning with the first quarter of 2015, management began applying equal weight to all eight quarters to capture the full range of the loss cycle. Management believes the current weightings are more appropriate to measure the probable losses incurred within the loan portfolio.</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Also, beginning in the first quarter of 2014, management updated its method for measuring the loss emergence period in the calculation of the allowance for credit losses. The rapidly deteriorating credit conditions during the peak of the credit cycle shortened the length of time between management’s estimation of the incurrence of a loss and its recognition as a charge-off. In most cases, the loss emergence period was within a 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Management calculates the loss emergence period for each pool of loans based on the average length of time between the date a loan first exceeds 30 days past due and the date the loan is charged off.</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updates to the weightings to the eight quarters of loss history and the update to our estimation of the loss emergence period did not have a material effect on the total allowance for loan losses or the provision for loan losses, however, the revised loss emergence period resulted in the full allocation of the previously unallocated portion of the allowance for loan losses.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placed on nonaccrual and charged off. Full or partial charge-offs may also be recommended by the Collections Department, the Special Assets Department, the Loss Mitigation Department and the Foreclosure/OREO Department. Nonaccrual real estate loans that are collateral dependent are generally charged down to 80% of the appraised value of the underlying collateral at the time they are placed on nonaccrual status.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and consumer asset quality committees consisting of the Chief Credit Officer, Senior Risk Officers and Senior Credit Officers meet monthly to review charge-offs that have occurred during the previous month.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unless the loan is well secured and in process of collection (within the next 90 days). Open-end (revolving) unsecured retail loans which are past due 90 cumulative days from their contractual due date are generally charged-off.</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September 30, 2015, December 31, 2014 and September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2015</w:t>
            </w: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December 31, 2014</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Unpaid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2"/>
              </w:rPr>
              <w:t>Allowance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Recorded</w:t>
            </w:r>
          </w:p>
        </w:tc>
        <w:tc>
          <w:tcPr>
            <w:tcW w:w="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for Loan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for Loan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for Loan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5"/>
                <w:szCs w:val="15"/>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6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Allocated</w:t>
            </w: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5"/>
                <w:szCs w:val="15"/>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Allocated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5"/>
                <w:szCs w:val="15"/>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Allocated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With no related allowance recorded:</w:t>
            </w: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60"/>
              <w:spacing w:after="0" w:line="130" w:lineRule="exact"/>
              <w:rPr>
                <w:sz w:val="20"/>
                <w:szCs w:val="20"/>
                <w:color w:val="auto"/>
              </w:rPr>
            </w:pPr>
            <w:r>
              <w:rPr>
                <w:rFonts w:ascii="Arial" w:cs="Arial" w:eastAsia="Arial" w:hAnsi="Arial"/>
                <w:sz w:val="14"/>
                <w:szCs w:val="14"/>
                <w:color w:val="auto"/>
              </w:rPr>
              <w:t>Owner occupied commercial real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auto"/>
              </w:rPr>
              <w:t>estate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14,274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13,949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12,025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11,325</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11,370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10,370</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Income producing commercial</w:t>
            </w: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F0FFFF"/>
          </w:tcPr>
          <w:p>
            <w:pPr>
              <w:ind w:left="320"/>
              <w:spacing w:after="0"/>
              <w:rPr>
                <w:sz w:val="20"/>
                <w:szCs w:val="20"/>
                <w:color w:val="auto"/>
              </w:rPr>
            </w:pPr>
            <w:r>
              <w:rPr>
                <w:rFonts w:ascii="Arial" w:cs="Arial" w:eastAsia="Arial" w:hAnsi="Arial"/>
                <w:sz w:val="14"/>
                <w:szCs w:val="14"/>
                <w:color w:val="auto"/>
              </w:rPr>
              <w:t>real estate</w:t>
            </w:r>
          </w:p>
        </w:tc>
        <w:tc>
          <w:tcPr>
            <w:tcW w:w="10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10,746</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10,603</w:t>
            </w:r>
          </w:p>
        </w:tc>
        <w:tc>
          <w:tcPr>
            <w:tcW w:w="6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8,311</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8,311</w:t>
            </w:r>
          </w:p>
        </w:tc>
        <w:tc>
          <w:tcPr>
            <w:tcW w:w="4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9,872</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9,872</w:t>
            </w: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1,624</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Commercial construction</w:t>
            </w: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Borders>
              <w:top w:val="single" w:sz="8" w:color="F0FFFF"/>
            </w:tcBorders>
          </w:tcPr>
          <w:p>
            <w:pPr>
              <w:ind w:left="320"/>
              <w:spacing w:after="0" w:line="136" w:lineRule="exact"/>
              <w:rPr>
                <w:sz w:val="20"/>
                <w:szCs w:val="20"/>
                <w:color w:val="auto"/>
              </w:rPr>
            </w:pPr>
            <w:r>
              <w:rPr>
                <w:rFonts w:ascii="Arial" w:cs="Arial" w:eastAsia="Arial" w:hAnsi="Arial"/>
                <w:sz w:val="14"/>
                <w:szCs w:val="14"/>
                <w:color w:val="auto"/>
              </w:rPr>
              <w:t>Total commercial</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26,741</w:t>
            </w:r>
          </w:p>
        </w:tc>
        <w:tc>
          <w:tcPr>
            <w:tcW w:w="2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26,176</w:t>
            </w:r>
          </w:p>
        </w:tc>
        <w:tc>
          <w:tcPr>
            <w:tcW w:w="26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22,015</w:t>
            </w:r>
          </w:p>
        </w:tc>
        <w:tc>
          <w:tcPr>
            <w:tcW w:w="2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20,678</w:t>
            </w:r>
          </w:p>
        </w:tc>
        <w:tc>
          <w:tcPr>
            <w:tcW w:w="180" w:type="dxa"/>
            <w:vAlign w:val="bottom"/>
            <w:tcBorders>
              <w:top w:val="single" w:sz="8" w:color="F0FFFF"/>
            </w:tcBorders>
          </w:tcPr>
          <w:p>
            <w:pPr>
              <w:spacing w:after="0"/>
              <w:rPr>
                <w:sz w:val="11"/>
                <w:szCs w:val="11"/>
                <w:color w:val="auto"/>
              </w:rPr>
            </w:pPr>
          </w:p>
        </w:tc>
        <w:tc>
          <w:tcPr>
            <w:tcW w:w="4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23,420</w:t>
            </w:r>
          </w:p>
        </w:tc>
        <w:tc>
          <w:tcPr>
            <w:tcW w:w="20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21,802</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1,943</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1,220</w:t>
            </w:r>
          </w:p>
        </w:tc>
        <w:tc>
          <w:tcPr>
            <w:tcW w:w="6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2,569</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1,472</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1,319</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954</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3,255</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3,255</w:t>
            </w:r>
          </w:p>
        </w:tc>
        <w:tc>
          <w:tcPr>
            <w:tcW w:w="6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4,338</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3,338</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5,460</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4,172</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Indirect auto</w:t>
            </w:r>
          </w:p>
        </w:tc>
        <w:tc>
          <w:tcPr>
            <w:tcW w:w="10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280" w:type="dxa"/>
            <w:vAlign w:val="bottom"/>
            <w:tcBorders>
              <w:top w:val="single" w:sz="8" w:color="F0FFFF"/>
            </w:tcBorders>
          </w:tcPr>
          <w:p>
            <w:pPr>
              <w:ind w:left="320"/>
              <w:spacing w:after="0" w:line="104" w:lineRule="exact"/>
              <w:rPr>
                <w:sz w:val="20"/>
                <w:szCs w:val="20"/>
                <w:color w:val="auto"/>
              </w:rPr>
            </w:pPr>
            <w:r>
              <w:rPr>
                <w:rFonts w:ascii="Arial" w:cs="Arial" w:eastAsia="Arial" w:hAnsi="Arial"/>
                <w:sz w:val="11"/>
                <w:szCs w:val="11"/>
                <w:color w:val="auto"/>
              </w:rPr>
              <w:t>Total with no related allowance</w:t>
            </w: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F0FF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40" w:type="dxa"/>
            <w:vAlign w:val="bottom"/>
            <w:tcBorders>
              <w:top w:val="single" w:sz="8" w:color="F0FF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F0FFFF"/>
            </w:tcBorders>
          </w:tcPr>
          <w:p>
            <w:pPr>
              <w:spacing w:after="0"/>
              <w:rPr>
                <w:sz w:val="8"/>
                <w:szCs w:val="8"/>
                <w:color w:val="auto"/>
              </w:rPr>
            </w:pPr>
          </w:p>
        </w:tc>
        <w:tc>
          <w:tcPr>
            <w:tcW w:w="10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F0FFFF"/>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tcPr>
          <w:p>
            <w:pPr>
              <w:ind w:left="480"/>
              <w:spacing w:after="0"/>
              <w:rPr>
                <w:sz w:val="20"/>
                <w:szCs w:val="20"/>
                <w:color w:val="auto"/>
              </w:rPr>
            </w:pPr>
            <w:r>
              <w:rPr>
                <w:rFonts w:ascii="Arial" w:cs="Arial" w:eastAsia="Arial" w:hAnsi="Arial"/>
                <w:sz w:val="14"/>
                <w:szCs w:val="14"/>
                <w:color w:val="auto"/>
              </w:rPr>
              <w:t>recorded</w:t>
            </w: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31,939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30,651</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28,922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25,488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30,199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26,928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4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With an allowance recorded: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Owner occupied commercial real</w:t>
            </w: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F0FFFF"/>
          </w:tcPr>
          <w:p>
            <w:pPr>
              <w:ind w:left="320"/>
              <w:spacing w:after="0"/>
              <w:rPr>
                <w:sz w:val="20"/>
                <w:szCs w:val="20"/>
                <w:color w:val="auto"/>
              </w:rPr>
            </w:pPr>
            <w:r>
              <w:rPr>
                <w:rFonts w:ascii="Arial" w:cs="Arial" w:eastAsia="Arial" w:hAnsi="Arial"/>
                <w:sz w:val="14"/>
                <w:szCs w:val="14"/>
                <w:color w:val="auto"/>
              </w:rPr>
              <w:t>estate</w:t>
            </w:r>
          </w:p>
        </w:tc>
        <w:tc>
          <w:tcPr>
            <w:tcW w:w="10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24,755</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24,564</w:t>
            </w:r>
          </w:p>
        </w:tc>
        <w:tc>
          <w:tcPr>
            <w:tcW w:w="6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24,728</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23,329</w:t>
            </w:r>
          </w:p>
        </w:tc>
        <w:tc>
          <w:tcPr>
            <w:tcW w:w="4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24,828</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23,265</w:t>
            </w: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2,125</w:t>
            </w: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60"/>
              <w:spacing w:after="0" w:line="130" w:lineRule="exact"/>
              <w:rPr>
                <w:sz w:val="20"/>
                <w:szCs w:val="20"/>
                <w:color w:val="auto"/>
              </w:rPr>
            </w:pPr>
            <w:r>
              <w:rPr>
                <w:rFonts w:ascii="Arial" w:cs="Arial" w:eastAsia="Arial" w:hAnsi="Arial"/>
                <w:sz w:val="14"/>
                <w:szCs w:val="14"/>
                <w:color w:val="auto"/>
              </w:rPr>
              <w:t>Income producing commercial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auto"/>
              </w:rPr>
              <w:t>real estate</w:t>
            </w: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10,067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9,977</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16,352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16,173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16,248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2,380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2,940</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2,940</w:t>
            </w:r>
          </w:p>
        </w:tc>
        <w:tc>
          <w:tcPr>
            <w:tcW w:w="6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129</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2,936</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2,935</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2,980</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2,980</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12,584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12,413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12,401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12,321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12,281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12,127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1,164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F0FFFF"/>
            </w:tcBorders>
            <w:shd w:val="clear" w:color="auto" w:fill="F0FFFF"/>
          </w:tcPr>
          <w:p>
            <w:pPr>
              <w:ind w:left="320"/>
              <w:spacing w:after="0" w:line="149" w:lineRule="exact"/>
              <w:rPr>
                <w:sz w:val="20"/>
                <w:szCs w:val="20"/>
                <w:color w:val="auto"/>
              </w:rPr>
            </w:pPr>
            <w:r>
              <w:rPr>
                <w:rFonts w:ascii="Arial" w:cs="Arial" w:eastAsia="Arial" w:hAnsi="Arial"/>
                <w:sz w:val="14"/>
                <w:szCs w:val="14"/>
                <w:color w:val="auto"/>
              </w:rPr>
              <w:t>Total commercial</w:t>
            </w:r>
          </w:p>
        </w:tc>
        <w:tc>
          <w:tcPr>
            <w:tcW w:w="10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50,346</w:t>
            </w:r>
          </w:p>
        </w:tc>
        <w:tc>
          <w:tcPr>
            <w:tcW w:w="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49,894</w:t>
            </w:r>
          </w:p>
        </w:tc>
        <w:tc>
          <w:tcPr>
            <w:tcW w:w="26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2,742</w:t>
            </w: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56,417</w:t>
            </w:r>
          </w:p>
        </w:tc>
        <w:tc>
          <w:tcPr>
            <w:tcW w:w="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54,758</w:t>
            </w:r>
          </w:p>
        </w:tc>
        <w:tc>
          <w:tcPr>
            <w:tcW w:w="180" w:type="dxa"/>
            <w:vAlign w:val="bottom"/>
            <w:tcBorders>
              <w:top w:val="single" w:sz="8" w:color="F0FFFF"/>
            </w:tcBorders>
            <w:shd w:val="clear" w:color="auto" w:fill="F0FFFF"/>
          </w:tcPr>
          <w:p>
            <w:pPr>
              <w:spacing w:after="0"/>
              <w:rPr>
                <w:sz w:val="12"/>
                <w:szCs w:val="12"/>
                <w:color w:val="auto"/>
              </w:rPr>
            </w:pPr>
          </w:p>
        </w:tc>
        <w:tc>
          <w:tcPr>
            <w:tcW w:w="4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5,398</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56,886</w:t>
            </w:r>
          </w:p>
        </w:tc>
        <w:tc>
          <w:tcPr>
            <w:tcW w:w="2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54,620</w:t>
            </w:r>
          </w:p>
        </w:tc>
        <w:tc>
          <w:tcPr>
            <w:tcW w:w="2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5,695</w:t>
            </w: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21,738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21,226</w:t>
            </w:r>
          </w:p>
        </w:tc>
        <w:tc>
          <w:tcPr>
            <w:tcW w:w="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3,205</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17,732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17,303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18,657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477</w:t>
            </w: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477</w:t>
            </w:r>
          </w:p>
        </w:tc>
        <w:tc>
          <w:tcPr>
            <w:tcW w:w="2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478</w:t>
            </w: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478</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531</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531</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6,098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5,097</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8,266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9,427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8,883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235</w:t>
            </w:r>
          </w:p>
        </w:tc>
        <w:tc>
          <w:tcPr>
            <w:tcW w:w="2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179</w:t>
            </w:r>
          </w:p>
        </w:tc>
        <w:tc>
          <w:tcPr>
            <w:tcW w:w="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179</w:t>
            </w:r>
          </w:p>
        </w:tc>
        <w:tc>
          <w:tcPr>
            <w:tcW w:w="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245</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245</w:t>
            </w: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Indirect auto</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tcBorders>
              <w:top w:val="single" w:sz="8" w:color="F0FFFF"/>
            </w:tcBorders>
            <w:shd w:val="clear" w:color="auto" w:fill="F0FFFF"/>
          </w:tcPr>
          <w:p>
            <w:pPr>
              <w:ind w:left="320"/>
              <w:spacing w:after="0" w:line="116" w:lineRule="exact"/>
              <w:rPr>
                <w:sz w:val="20"/>
                <w:szCs w:val="20"/>
                <w:color w:val="auto"/>
              </w:rPr>
            </w:pPr>
            <w:r>
              <w:rPr>
                <w:rFonts w:ascii="Arial" w:cs="Arial" w:eastAsia="Arial" w:hAnsi="Arial"/>
                <w:sz w:val="13"/>
                <w:szCs w:val="13"/>
                <w:color w:val="auto"/>
              </w:rPr>
              <w:t>Total with an allowance</w:t>
            </w:r>
          </w:p>
        </w:tc>
        <w:tc>
          <w:tcPr>
            <w:tcW w:w="10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auto"/>
            </w:tcBorders>
            <w:shd w:val="clear" w:color="auto" w:fill="F0FFFF"/>
          </w:tcPr>
          <w:p>
            <w:pPr>
              <w:spacing w:after="0"/>
              <w:rPr>
                <w:sz w:val="10"/>
                <w:szCs w:val="10"/>
                <w:color w:val="auto"/>
              </w:rPr>
            </w:pPr>
          </w:p>
        </w:tc>
        <w:tc>
          <w:tcPr>
            <w:tcW w:w="74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4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2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20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auto"/>
            </w:tcBorders>
            <w:shd w:val="clear" w:color="auto" w:fill="F0FFFF"/>
          </w:tcPr>
          <w:p>
            <w:pPr>
              <w:spacing w:after="0"/>
              <w:rPr>
                <w:sz w:val="10"/>
                <w:szCs w:val="10"/>
                <w:color w:val="auto"/>
              </w:rPr>
            </w:pPr>
          </w:p>
        </w:tc>
        <w:tc>
          <w:tcPr>
            <w:tcW w:w="720" w:type="dxa"/>
            <w:vAlign w:val="bottom"/>
            <w:tcBorders>
              <w:top w:val="single" w:sz="8" w:color="auto"/>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shd w:val="clear" w:color="auto" w:fill="F0FFFF"/>
          </w:tcPr>
          <w:p>
            <w:pPr>
              <w:ind w:left="480"/>
              <w:spacing w:after="0"/>
              <w:rPr>
                <w:sz w:val="20"/>
                <w:szCs w:val="20"/>
                <w:color w:val="auto"/>
              </w:rPr>
            </w:pPr>
            <w:r>
              <w:rPr>
                <w:rFonts w:ascii="Arial" w:cs="Arial" w:eastAsia="Arial" w:hAnsi="Arial"/>
                <w:sz w:val="14"/>
                <w:szCs w:val="14"/>
                <w:color w:val="auto"/>
              </w:rPr>
              <w:t>recorded</w:t>
            </w:r>
          </w:p>
        </w:tc>
        <w:tc>
          <w:tcPr>
            <w:tcW w:w="10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78,919</w:t>
            </w:r>
          </w:p>
        </w:tc>
        <w:tc>
          <w:tcPr>
            <w:tcW w:w="2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76,929</w:t>
            </w:r>
          </w:p>
        </w:tc>
        <w:tc>
          <w:tcPr>
            <w:tcW w:w="6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6,183</w:t>
            </w:r>
          </w:p>
        </w:tc>
        <w:tc>
          <w:tcPr>
            <w:tcW w:w="10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83,768</w:t>
            </w:r>
          </w:p>
        </w:tc>
        <w:tc>
          <w:tcPr>
            <w:tcW w:w="2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80,984</w:t>
            </w:r>
          </w:p>
        </w:tc>
        <w:tc>
          <w:tcPr>
            <w:tcW w:w="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9,882</w:t>
            </w: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85,746</w:t>
            </w:r>
          </w:p>
        </w:tc>
        <w:tc>
          <w:tcPr>
            <w:tcW w:w="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82,103</w:t>
            </w:r>
          </w:p>
        </w:tc>
        <w:tc>
          <w:tcPr>
            <w:tcW w:w="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10,307</w:t>
            </w: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F0FFFF"/>
            </w:tcBorders>
          </w:tcPr>
          <w:p>
            <w:pPr>
              <w:ind w:left="480"/>
              <w:spacing w:after="0" w:line="149" w:lineRule="exact"/>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110,858</w:t>
            </w:r>
          </w:p>
        </w:tc>
        <w:tc>
          <w:tcPr>
            <w:tcW w:w="2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107,580</w:t>
            </w:r>
          </w:p>
        </w:tc>
        <w:tc>
          <w:tcPr>
            <w:tcW w:w="260" w:type="dxa"/>
            <w:vAlign w:val="bottom"/>
            <w:tcBorders>
              <w:top w:val="single" w:sz="8" w:color="F0FF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6,183</w:t>
            </w:r>
          </w:p>
        </w:tc>
        <w:tc>
          <w:tcPr>
            <w:tcW w:w="24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112,690</w:t>
            </w:r>
          </w:p>
        </w:tc>
        <w:tc>
          <w:tcPr>
            <w:tcW w:w="2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106,472</w:t>
            </w:r>
          </w:p>
        </w:tc>
        <w:tc>
          <w:tcPr>
            <w:tcW w:w="180" w:type="dxa"/>
            <w:vAlign w:val="bottom"/>
            <w:tcBorders>
              <w:top w:val="single" w:sz="8" w:color="F0FFFF"/>
            </w:tcBorders>
          </w:tcPr>
          <w:p>
            <w:pPr>
              <w:spacing w:after="0"/>
              <w:rPr>
                <w:sz w:val="12"/>
                <w:szCs w:val="12"/>
                <w:color w:val="auto"/>
              </w:rPr>
            </w:pPr>
          </w:p>
        </w:tc>
        <w:tc>
          <w:tcPr>
            <w:tcW w:w="40" w:type="dxa"/>
            <w:vAlign w:val="bottom"/>
            <w:tcBorders>
              <w:top w:val="single" w:sz="8" w:color="F0FF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9,882</w:t>
            </w: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115,945</w:t>
            </w:r>
          </w:p>
        </w:tc>
        <w:tc>
          <w:tcPr>
            <w:tcW w:w="200" w:type="dxa"/>
            <w:vAlign w:val="bottom"/>
            <w:tcBorders>
              <w:top w:val="single" w:sz="8" w:color="F0FF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109,031</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10,307</w:t>
            </w:r>
          </w:p>
        </w:tc>
        <w:tc>
          <w:tcPr>
            <w:tcW w:w="20" w:type="dxa"/>
            <w:vAlign w:val="bottom"/>
            <w:tcBorders>
              <w:top w:val="single" w:sz="8" w:color="F0FFFF"/>
              <w:bottom w:val="single" w:sz="8" w:color="auto"/>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Excluding loans accounted for under ASC Topic 310-30, there were no loans more than 90 days past due and still accruing interest at September 30, 2015, December 31, 2014 or September 30, 2014.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Loans accounted for under ASC Topic 310-30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Loans accounted for under ASC Topic 310-30 were not classified as nonaccrual at September 30, 2015 as the carrying value of the respective loan or pool of loans cash flows were considered estimable and probable of collection. Therefore, interest income, through accretion of the difference between the carrying value of the loans and the expected cash flows, is being recognized on all acquired loans being accounted for under ASC Topic 310-30.</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gross additional interest revenue that would have been earned if the loans classified as nonaccrual had performed in accordance with the original terms was approximately $262,000 and $705,000 for the three months ended September 30, 2015 and 2014, respectively and $686,000 and $1.37 million for the nine months ended September 30, 2015 and 2014, respectively. The gross additional interest revenue that would have been earned for the three and nine months ended September 30, 2015 and 2014 had performing TDRs performed in accordance with the original terms is immaterial.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three and nine months ended September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Interest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Cash Basis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Cash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Recognized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During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During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Impairment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Received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Impairment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37,840</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33,715</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448</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4,637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4,698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75,863</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77,238</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970</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8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108,318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110,408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8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3" w:lineRule="exact"/>
              <w:rPr>
                <w:sz w:val="20"/>
                <w:szCs w:val="20"/>
                <w:color w:val="auto"/>
              </w:rPr>
            </w:pPr>
            <w:r>
              <w:rPr>
                <w:rFonts w:ascii="Arial" w:cs="Arial" w:eastAsia="Arial" w:hAnsi="Arial"/>
                <w:sz w:val="18"/>
                <w:szCs w:val="18"/>
                <w:color w:val="auto"/>
              </w:rPr>
              <w:t>Owner occupied commercial real estate</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37,605</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1,413</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1,491</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31,460</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1,191</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21,427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26,299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953</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12,340</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12,086</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vMerge w:val="restart"/>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2,614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21,955</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20,384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672</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9,294</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13,315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452</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107,937</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108,734</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the recorded investment in nonaccrual loans by loan class as of September 30, 2015, December 31, 2014 and September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4"/>
              </w:rPr>
              <w:t>Nonaccrual Loans</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8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5,918</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1,068</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Commercial construction</w:t>
            </w:r>
          </w:p>
        </w:tc>
        <w:tc>
          <w:tcPr>
            <w:tcW w:w="17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F0FFFF"/>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8,480</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Residential mortgage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Indirect auto</w:t>
            </w:r>
          </w:p>
        </w:tc>
        <w:tc>
          <w:tcPr>
            <w:tcW w:w="17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F0FFFF"/>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402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20,064</w:t>
            </w:r>
          </w:p>
        </w:tc>
        <w:tc>
          <w:tcPr>
            <w:tcW w:w="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18,745</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Borders>
              <w:top w:val="single" w:sz="8" w:color="F0FFFF"/>
            </w:tcBorders>
          </w:tcPr>
          <w:p>
            <w:pPr>
              <w:spacing w:after="0" w:line="20" w:lineRule="exact"/>
              <w:rPr>
                <w:sz w:val="1"/>
                <w:szCs w:val="1"/>
                <w:color w:val="auto"/>
              </w:rPr>
            </w:pPr>
          </w:p>
        </w:tc>
        <w:tc>
          <w:tcPr>
            <w:tcW w:w="1760" w:type="dxa"/>
            <w:vAlign w:val="bottom"/>
            <w:tcBorders>
              <w:top w:val="single" w:sz="8" w:color="F0FFFF"/>
              <w:bottom w:val="single" w:sz="8" w:color="F0FFFF"/>
            </w:tcBorders>
            <w:vMerge w:val="restart"/>
          </w:tcPr>
          <w:p>
            <w:pPr>
              <w:jc w:val="right"/>
              <w:ind w:right="45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80" w:type="dxa"/>
            <w:vAlign w:val="bottom"/>
            <w:tcBorders>
              <w:bottom w:val="single" w:sz="8" w:color="DCDCDC"/>
            </w:tcBorders>
          </w:tcPr>
          <w:p>
            <w:pPr>
              <w:spacing w:after="0"/>
              <w:rPr>
                <w:sz w:val="24"/>
                <w:szCs w:val="24"/>
                <w:color w:val="auto"/>
              </w:rPr>
            </w:pPr>
          </w:p>
        </w:tc>
        <w:tc>
          <w:tcPr>
            <w:tcW w:w="4020" w:type="dxa"/>
            <w:vAlign w:val="bottom"/>
            <w:tcBorders>
              <w:bottom w:val="single" w:sz="8" w:color="DCDCDC"/>
            </w:tcBorders>
          </w:tcPr>
          <w:p>
            <w:pPr>
              <w:spacing w:after="0"/>
              <w:rPr>
                <w:sz w:val="24"/>
                <w:szCs w:val="24"/>
                <w:color w:val="auto"/>
              </w:rPr>
            </w:pPr>
          </w:p>
        </w:tc>
        <w:tc>
          <w:tcPr>
            <w:tcW w:w="1760" w:type="dxa"/>
            <w:vAlign w:val="bottom"/>
            <w:tcBorders>
              <w:bottom w:val="single" w:sz="8" w:color="DCDCDC"/>
            </w:tcBorders>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September 30, 2015, December 31, 2014 and September 30, 2014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Loans Past Due</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Loans Not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60" w:type="dxa"/>
            <w:vAlign w:val="bottom"/>
            <w:gridSpan w:val="4"/>
          </w:tcPr>
          <w:p>
            <w:pPr>
              <w:spacing w:after="0" w:line="156" w:lineRule="exact"/>
              <w:rPr>
                <w:sz w:val="20"/>
                <w:szCs w:val="20"/>
                <w:color w:val="auto"/>
              </w:rPr>
            </w:pPr>
            <w:r>
              <w:rPr>
                <w:rFonts w:ascii="Arial" w:cs="Arial" w:eastAsia="Arial" w:hAnsi="Arial"/>
                <w:sz w:val="18"/>
                <w:szCs w:val="18"/>
                <w:b w:val="1"/>
                <w:bCs w:val="1"/>
                <w:color w:val="auto"/>
              </w:rPr>
              <w:t>As of September 30, 2015</w:t>
            </w:r>
          </w:p>
        </w:tc>
        <w:tc>
          <w:tcPr>
            <w:tcW w:w="1280" w:type="dxa"/>
            <w:vAlign w:val="bottom"/>
            <w:gridSpan w:val="3"/>
          </w:tcPr>
          <w:p>
            <w:pPr>
              <w:jc w:val="right"/>
              <w:ind w:right="280"/>
              <w:spacing w:after="0" w:line="156" w:lineRule="exact"/>
              <w:rPr>
                <w:sz w:val="20"/>
                <w:szCs w:val="20"/>
                <w:color w:val="auto"/>
              </w:rPr>
            </w:pPr>
            <w:r>
              <w:rPr>
                <w:rFonts w:ascii="Arial" w:cs="Arial" w:eastAsia="Arial" w:hAnsi="Arial"/>
                <w:sz w:val="18"/>
                <w:szCs w:val="18"/>
                <w:b w:val="1"/>
                <w:bCs w:val="1"/>
                <w:color w:val="auto"/>
                <w:w w:val="94"/>
              </w:rPr>
              <w:t>30 - 59 Days</w:t>
            </w:r>
          </w:p>
        </w:tc>
        <w:tc>
          <w:tcPr>
            <w:tcW w:w="1280" w:type="dxa"/>
            <w:vAlign w:val="bottom"/>
            <w:gridSpan w:val="3"/>
          </w:tcPr>
          <w:p>
            <w:pPr>
              <w:jc w:val="right"/>
              <w:ind w:right="280"/>
              <w:spacing w:after="0" w:line="156" w:lineRule="exact"/>
              <w:rPr>
                <w:sz w:val="20"/>
                <w:szCs w:val="20"/>
                <w:color w:val="auto"/>
              </w:rPr>
            </w:pPr>
            <w:r>
              <w:rPr>
                <w:rFonts w:ascii="Arial" w:cs="Arial" w:eastAsia="Arial" w:hAnsi="Arial"/>
                <w:sz w:val="18"/>
                <w:szCs w:val="18"/>
                <w:b w:val="1"/>
                <w:bCs w:val="1"/>
                <w:color w:val="auto"/>
                <w:w w:val="94"/>
              </w:rPr>
              <w:t>60 - 89 Days</w:t>
            </w:r>
          </w:p>
        </w:tc>
        <w:tc>
          <w:tcPr>
            <w:tcW w:w="120" w:type="dxa"/>
            <w:vAlign w:val="bottom"/>
          </w:tcPr>
          <w:p>
            <w:pPr>
              <w:spacing w:after="0"/>
              <w:rPr>
                <w:sz w:val="15"/>
                <w:szCs w:val="15"/>
                <w:color w:val="auto"/>
              </w:rPr>
            </w:pPr>
          </w:p>
        </w:tc>
        <w:tc>
          <w:tcPr>
            <w:tcW w:w="1060" w:type="dxa"/>
            <w:vAlign w:val="bottom"/>
            <w:gridSpan w:val="2"/>
          </w:tcPr>
          <w:p>
            <w:pPr>
              <w:jc w:val="right"/>
              <w:ind w:right="280"/>
              <w:spacing w:after="0" w:line="156" w:lineRule="exact"/>
              <w:rPr>
                <w:sz w:val="20"/>
                <w:szCs w:val="20"/>
                <w:color w:val="auto"/>
              </w:rPr>
            </w:pPr>
            <w:r>
              <w:rPr>
                <w:rFonts w:ascii="Arial" w:cs="Arial" w:eastAsia="Arial" w:hAnsi="Arial"/>
                <w:sz w:val="18"/>
                <w:szCs w:val="18"/>
                <w:b w:val="1"/>
                <w:bCs w:val="1"/>
                <w:color w:val="auto"/>
                <w:w w:val="90"/>
              </w:rPr>
              <w:t>&gt; 90 Days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10"/>
              <w:spacing w:after="0" w:line="15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line="156" w:lineRule="exact"/>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56" w:lineRule="exact"/>
              <w:rPr>
                <w:sz w:val="20"/>
                <w:szCs w:val="20"/>
                <w:color w:val="auto"/>
              </w:rPr>
            </w:pPr>
            <w:r>
              <w:rPr>
                <w:rFonts w:ascii="Arial" w:cs="Arial" w:eastAsia="Arial" w:hAnsi="Arial"/>
                <w:sz w:val="18"/>
                <w:szCs w:val="18"/>
                <w:b w:val="1"/>
                <w:bCs w:val="1"/>
                <w:color w:val="auto"/>
                <w:w w:val="90"/>
              </w:rPr>
              <w:t>PCI Loans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00"/>
              <w:spacing w:after="0" w:line="15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80" w:type="dxa"/>
            <w:vAlign w:val="bottom"/>
            <w:tcBorders>
              <w:top w:val="single" w:sz="8" w:color="auto"/>
              <w:bottom w:val="single" w:sz="8" w:color="F0FFFF"/>
            </w:tcBorders>
          </w:tcPr>
          <w:p>
            <w:pPr>
              <w:spacing w:after="0"/>
              <w:rPr>
                <w:sz w:val="3"/>
                <w:szCs w:val="3"/>
                <w:color w:val="auto"/>
              </w:rPr>
            </w:pPr>
          </w:p>
        </w:tc>
        <w:tc>
          <w:tcPr>
            <w:tcW w:w="60" w:type="dxa"/>
            <w:vAlign w:val="bottom"/>
            <w:tcBorders>
              <w:top w:val="single" w:sz="8" w:color="auto"/>
              <w:bottom w:val="single" w:sz="8" w:color="F0FFFF"/>
            </w:tcBorders>
          </w:tcPr>
          <w:p>
            <w:pPr>
              <w:spacing w:after="0"/>
              <w:rPr>
                <w:sz w:val="3"/>
                <w:szCs w:val="3"/>
                <w:color w:val="auto"/>
              </w:rPr>
            </w:pPr>
          </w:p>
        </w:tc>
        <w:tc>
          <w:tcPr>
            <w:tcW w:w="800" w:type="dxa"/>
            <w:vAlign w:val="bottom"/>
            <w:tcBorders>
              <w:bottom w:val="single" w:sz="8" w:color="F0FF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F0FF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F0FF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F0FFFF"/>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40" w:type="dxa"/>
            <w:vAlign w:val="bottom"/>
            <w:gridSpan w:val="3"/>
            <w:shd w:val="clear" w:color="auto" w:fill="F0FFFF"/>
          </w:tcPr>
          <w:p>
            <w:pPr>
              <w:spacing w:after="0" w:line="189" w:lineRule="exact"/>
              <w:rPr>
                <w:sz w:val="20"/>
                <w:szCs w:val="20"/>
                <w:color w:val="auto"/>
              </w:rPr>
            </w:pPr>
            <w:r>
              <w:rPr>
                <w:rFonts w:ascii="Arial" w:cs="Arial" w:eastAsia="Arial" w:hAnsi="Arial"/>
                <w:sz w:val="18"/>
                <w:szCs w:val="18"/>
                <w:color w:val="auto"/>
              </w:rPr>
              <w:t>Owner occupied commercial real</w:t>
            </w:r>
          </w:p>
        </w:tc>
        <w:tc>
          <w:tcPr>
            <w:tcW w:w="32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estate</w:t>
            </w: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F0FFFF"/>
          </w:tcPr>
          <w:p>
            <w:pPr>
              <w:spacing w:after="0"/>
              <w:rPr>
                <w:sz w:val="20"/>
                <w:szCs w:val="20"/>
                <w:color w:val="auto"/>
              </w:rPr>
            </w:pP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3,267</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7,255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1,458,045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13,946</w:t>
            </w:r>
          </w:p>
        </w:tc>
        <w:tc>
          <w:tcPr>
            <w:tcW w:w="3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1,479,246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3"/>
          </w:tcPr>
          <w:p>
            <w:pPr>
              <w:spacing w:after="0" w:line="201" w:lineRule="exact"/>
              <w:rPr>
                <w:sz w:val="20"/>
                <w:szCs w:val="20"/>
                <w:color w:val="auto"/>
              </w:rPr>
            </w:pPr>
            <w:r>
              <w:rPr>
                <w:rFonts w:ascii="Arial" w:cs="Arial" w:eastAsia="Arial" w:hAnsi="Arial"/>
                <w:sz w:val="18"/>
                <w:szCs w:val="18"/>
                <w:color w:val="auto"/>
                <w:w w:val="98"/>
              </w:rPr>
              <w:t>Income producing commercial real</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3"/>
          </w:tcPr>
          <w:p>
            <w:pPr>
              <w:ind w:left="160"/>
              <w:spacing w:after="0"/>
              <w:rPr>
                <w:sz w:val="20"/>
                <w:szCs w:val="20"/>
                <w:color w:val="auto"/>
              </w:rPr>
            </w:pPr>
            <w:r>
              <w:rPr>
                <w:rFonts w:ascii="Arial" w:cs="Arial" w:eastAsia="Arial" w:hAnsi="Arial"/>
                <w:sz w:val="18"/>
                <w:szCs w:val="18"/>
                <w:color w:val="auto"/>
              </w:rPr>
              <w:t>estate</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787,419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28,160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1,040</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887,505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890,233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315,688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318,345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6,339</w:t>
            </w:r>
          </w:p>
        </w:tc>
        <w:tc>
          <w:tcPr>
            <w:tcW w:w="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1,030</w:t>
            </w:r>
          </w:p>
        </w:tc>
        <w:tc>
          <w:tcPr>
            <w:tcW w:w="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4,609</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11,978</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3,448,657</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45,022</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3,505,657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9,942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1,047,397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1,237</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581,438</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332,071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115,891</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116,603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852</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418,969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420,697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7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14,577</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4,541</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7,807</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26,925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5,944,423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52,237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6,023,585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2014</w:t>
            </w:r>
          </w:p>
        </w:tc>
        <w:tc>
          <w:tcPr>
            <w:tcW w:w="32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80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gridSpan w:val="3"/>
          </w:tcPr>
          <w:p>
            <w:pPr>
              <w:spacing w:after="0" w:line="201" w:lineRule="exact"/>
              <w:rPr>
                <w:sz w:val="20"/>
                <w:szCs w:val="20"/>
                <w:color w:val="auto"/>
              </w:rPr>
            </w:pPr>
            <w:r>
              <w:rPr>
                <w:rFonts w:ascii="Arial" w:cs="Arial" w:eastAsia="Arial" w:hAnsi="Arial"/>
                <w:sz w:val="18"/>
                <w:szCs w:val="18"/>
                <w:color w:val="auto"/>
              </w:rPr>
              <w:t>Owner occupied commercial real</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3"/>
          </w:tcPr>
          <w:p>
            <w:pPr>
              <w:ind w:left="160"/>
              <w:spacing w:after="0"/>
              <w:rPr>
                <w:sz w:val="20"/>
                <w:szCs w:val="20"/>
                <w:color w:val="auto"/>
              </w:rPr>
            </w:pPr>
            <w:r>
              <w:rPr>
                <w:rFonts w:ascii="Arial" w:cs="Arial" w:eastAsia="Arial" w:hAnsi="Arial"/>
                <w:sz w:val="18"/>
                <w:szCs w:val="18"/>
                <w:color w:val="auto"/>
              </w:rPr>
              <w:t>estate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20"/>
                <w:szCs w:val="20"/>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1,158,966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1,163,480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3"/>
            <w:shd w:val="clear" w:color="auto" w:fill="F0FFFF"/>
          </w:tcPr>
          <w:p>
            <w:pPr>
              <w:spacing w:after="0" w:line="201" w:lineRule="exact"/>
              <w:rPr>
                <w:sz w:val="20"/>
                <w:szCs w:val="20"/>
                <w:color w:val="auto"/>
              </w:rPr>
            </w:pPr>
            <w:r>
              <w:rPr>
                <w:rFonts w:ascii="Arial" w:cs="Arial" w:eastAsia="Arial" w:hAnsi="Arial"/>
                <w:sz w:val="18"/>
                <w:szCs w:val="18"/>
                <w:color w:val="auto"/>
                <w:w w:val="98"/>
              </w:rPr>
              <w:t>Income producing commercial real</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estate</w:t>
            </w:r>
          </w:p>
        </w:tc>
        <w:tc>
          <w:tcPr>
            <w:tcW w:w="320" w:type="dxa"/>
            <w:vAlign w:val="bottom"/>
            <w:shd w:val="clear" w:color="auto" w:fill="F0FFFF"/>
          </w:tcPr>
          <w:p>
            <w:pPr>
              <w:spacing w:after="0"/>
              <w:rPr>
                <w:sz w:val="20"/>
                <w:szCs w:val="20"/>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2,322</w:t>
            </w:r>
          </w:p>
        </w:tc>
        <w:tc>
          <w:tcPr>
            <w:tcW w:w="24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595,043</w:t>
            </w: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708,489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710,256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320" w:type="dxa"/>
            <w:vAlign w:val="bottom"/>
            <w:shd w:val="clear" w:color="auto" w:fill="F0FFFF"/>
          </w:tcPr>
          <w:p>
            <w:pPr>
              <w:spacing w:after="0"/>
              <w:rPr>
                <w:sz w:val="21"/>
                <w:szCs w:val="21"/>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195,964</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196,030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Borders>
              <w:top w:val="single" w:sz="8" w:color="F0FFFF"/>
            </w:tcBorders>
            <w:gridSpan w:val="3"/>
          </w:tcPr>
          <w:p>
            <w:pPr>
              <w:ind w:left="320"/>
              <w:spacing w:after="0" w:line="203" w:lineRule="exact"/>
              <w:rPr>
                <w:sz w:val="20"/>
                <w:szCs w:val="20"/>
                <w:color w:val="auto"/>
              </w:rPr>
            </w:pPr>
            <w:r>
              <w:rPr>
                <w:rFonts w:ascii="Arial" w:cs="Arial" w:eastAsia="Arial" w:hAnsi="Arial"/>
                <w:sz w:val="18"/>
                <w:szCs w:val="18"/>
                <w:color w:val="auto"/>
              </w:rPr>
              <w:t>Total commercial</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4,068</w:t>
            </w:r>
          </w:p>
        </w:tc>
        <w:tc>
          <w:tcPr>
            <w:tcW w:w="24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3,141</w:t>
            </w: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2,632</w:t>
            </w:r>
          </w:p>
        </w:tc>
        <w:tc>
          <w:tcPr>
            <w:tcW w:w="1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9,841</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2,658,462</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2,668,303</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5,234</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2,931</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11,443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854,346</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464,441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295,792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104,899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Indirect auto</w:t>
            </w:r>
          </w:p>
        </w:tc>
        <w:tc>
          <w:tcPr>
            <w:tcW w:w="3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268,142</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268,629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tcBorders>
              <w:top w:val="single" w:sz="8" w:color="F0FFFF"/>
            </w:tcBorders>
            <w:gridSpan w:val="3"/>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24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w:t>
            </w: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26,813</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4,645,306</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4,672,119</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8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As of September 30, 2014</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gridSpan w:val="3"/>
            <w:shd w:val="clear" w:color="auto" w:fill="F0FFFF"/>
          </w:tcPr>
          <w:p>
            <w:pPr>
              <w:spacing w:after="0" w:line="201" w:lineRule="exact"/>
              <w:rPr>
                <w:sz w:val="20"/>
                <w:szCs w:val="20"/>
                <w:color w:val="auto"/>
              </w:rPr>
            </w:pPr>
            <w:r>
              <w:rPr>
                <w:rFonts w:ascii="Arial" w:cs="Arial" w:eastAsia="Arial" w:hAnsi="Arial"/>
                <w:sz w:val="18"/>
                <w:szCs w:val="18"/>
                <w:color w:val="auto"/>
              </w:rPr>
              <w:t>Owner occupied commercial real</w:t>
            </w: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estate</w:t>
            </w: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2,769</w:t>
            </w:r>
          </w:p>
        </w:tc>
        <w:tc>
          <w:tcPr>
            <w:tcW w:w="240" w:type="dxa"/>
            <w:vAlign w:val="bottom"/>
            <w:shd w:val="clear" w:color="auto" w:fill="F0FFFF"/>
          </w:tcPr>
          <w:p>
            <w:pPr>
              <w:spacing w:after="0"/>
              <w:rPr>
                <w:sz w:val="20"/>
                <w:szCs w:val="20"/>
                <w:color w:val="auto"/>
              </w:rPr>
            </w:pP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947</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3,973</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1,149,960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1,153,933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3"/>
          </w:tcPr>
          <w:p>
            <w:pPr>
              <w:spacing w:after="0" w:line="201" w:lineRule="exact"/>
              <w:rPr>
                <w:sz w:val="20"/>
                <w:szCs w:val="20"/>
                <w:color w:val="auto"/>
              </w:rPr>
            </w:pPr>
            <w:r>
              <w:rPr>
                <w:rFonts w:ascii="Arial" w:cs="Arial" w:eastAsia="Arial" w:hAnsi="Arial"/>
                <w:sz w:val="18"/>
                <w:szCs w:val="18"/>
                <w:color w:val="auto"/>
                <w:w w:val="98"/>
              </w:rPr>
              <w:t>Income producing commercial real</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3"/>
          </w:tcPr>
          <w:p>
            <w:pPr>
              <w:ind w:left="160"/>
              <w:spacing w:after="0"/>
              <w:rPr>
                <w:sz w:val="20"/>
                <w:szCs w:val="20"/>
                <w:color w:val="auto"/>
              </w:rPr>
            </w:pPr>
            <w:r>
              <w:rPr>
                <w:rFonts w:ascii="Arial" w:cs="Arial" w:eastAsia="Arial" w:hAnsi="Arial"/>
                <w:sz w:val="18"/>
                <w:szCs w:val="18"/>
                <w:color w:val="auto"/>
              </w:rPr>
              <w:t>estate</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603,093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647,989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649,853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180,489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1,533</w:t>
            </w:r>
          </w:p>
        </w:tc>
        <w:tc>
          <w:tcPr>
            <w:tcW w:w="2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2,034</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7,776</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2,581,531</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2,589,307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852,884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1,566</w:t>
            </w: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456,505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302,784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995</w:t>
            </w:r>
          </w:p>
        </w:tc>
        <w:tc>
          <w:tcPr>
            <w:tcW w:w="3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103,837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105,345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3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242,108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242,669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74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15,295</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5,776</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8,166</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29,237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4,539,649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4,568,886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2015, December 31, 2014, and September 30, 2014, $5.66 million, $9.72 million and $9.82 million, respectively, of specific reserves were allocated to customers whose loan terms have been modified in TDRs. United committed to lend additional amounts totaling up to $189,000, $51,000 and $38,000 as of September 30, 2015, December 31, 2014 and September 30, 2014, respectively, to customers with outstanding loans that are classified as TDRs.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31" w:gutter="0" w:footer="0" w:header="0"/>
        </w:sectPr>
      </w:pPr>
    </w:p>
    <w:bookmarkStart w:id="26" w:name="page27"/>
    <w:bookmarkEnd w:id="26"/>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information on TDRs including the number of loan contracts restructured and the pre- and post-modification recorded investment as of September 30, 2015, December 31, 2014 and September 30, 2014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2015</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5"/>
              </w:rPr>
              <w:t>Post-</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Pre-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1"/>
              </w:rPr>
              <w:t>Post-</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Pre-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4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Investment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Owner occupied</w:t>
            </w:r>
          </w:p>
        </w:tc>
        <w:tc>
          <w:tcPr>
            <w:tcW w:w="9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commercial real</w:t>
            </w:r>
          </w:p>
        </w:tc>
        <w:tc>
          <w:tcPr>
            <w:tcW w:w="9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estate</w:t>
            </w: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55</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32,931</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32,796</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27,695</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26,296</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52</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27,811</w:t>
            </w: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26,248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00" w:type="dxa"/>
            <w:vAlign w:val="bottom"/>
          </w:tcPr>
          <w:p>
            <w:pPr>
              <w:spacing w:after="0" w:line="130" w:lineRule="exact"/>
              <w:rPr>
                <w:sz w:val="20"/>
                <w:szCs w:val="20"/>
                <w:color w:val="auto"/>
              </w:rPr>
            </w:pPr>
            <w:r>
              <w:rPr>
                <w:rFonts w:ascii="Arial" w:cs="Arial" w:eastAsia="Arial" w:hAnsi="Arial"/>
                <w:sz w:val="14"/>
                <w:szCs w:val="14"/>
                <w:color w:val="auto"/>
              </w:rPr>
              <w:t>Income producing</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ind w:left="160"/>
              <w:spacing w:after="0" w:line="149" w:lineRule="exact"/>
              <w:rPr>
                <w:sz w:val="20"/>
                <w:szCs w:val="20"/>
                <w:color w:val="auto"/>
              </w:rPr>
            </w:pPr>
            <w:r>
              <w:rPr>
                <w:rFonts w:ascii="Arial" w:cs="Arial" w:eastAsia="Arial" w:hAnsi="Arial"/>
                <w:sz w:val="14"/>
                <w:szCs w:val="14"/>
                <w:color w:val="auto"/>
              </w:rPr>
              <w:t>commercial real</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ind w:left="160"/>
              <w:spacing w:after="0"/>
              <w:rPr>
                <w:sz w:val="20"/>
                <w:szCs w:val="20"/>
                <w:color w:val="auto"/>
              </w:rPr>
            </w:pPr>
            <w:r>
              <w:rPr>
                <w:rFonts w:ascii="Arial" w:cs="Arial" w:eastAsia="Arial" w:hAnsi="Arial"/>
                <w:sz w:val="14"/>
                <w:szCs w:val="14"/>
                <w:color w:val="auto"/>
              </w:rPr>
              <w:t>estate</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14,435</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14,361</w:t>
            </w: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18,094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17,915</w:t>
            </w: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19,652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19,104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Commercial &amp;</w:t>
            </w:r>
          </w:p>
        </w:tc>
        <w:tc>
          <w:tcPr>
            <w:tcW w:w="9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industrial</w:t>
            </w: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31</w:t>
            </w:r>
          </w:p>
        </w:tc>
        <w:tc>
          <w:tcPr>
            <w:tcW w:w="2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3,465</w:t>
            </w: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3,459</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2,848</w:t>
            </w:r>
          </w:p>
        </w:tc>
        <w:tc>
          <w:tcPr>
            <w:tcW w:w="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2,847</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2,941</w:t>
            </w:r>
          </w:p>
        </w:tc>
        <w:tc>
          <w:tcPr>
            <w:tcW w:w="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2,941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00" w:type="dxa"/>
            <w:vAlign w:val="bottom"/>
          </w:tcPr>
          <w:p>
            <w:pPr>
              <w:spacing w:after="0" w:line="130" w:lineRule="exact"/>
              <w:rPr>
                <w:sz w:val="20"/>
                <w:szCs w:val="20"/>
                <w:color w:val="auto"/>
              </w:rPr>
            </w:pPr>
            <w:r>
              <w:rPr>
                <w:rFonts w:ascii="Arial" w:cs="Arial" w:eastAsia="Arial" w:hAnsi="Arial"/>
                <w:sz w:val="14"/>
                <w:szCs w:val="14"/>
                <w:color w:val="auto"/>
              </w:rPr>
              <w:t>Commercial</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Arial" w:cs="Arial" w:eastAsia="Arial" w:hAnsi="Arial"/>
                <w:sz w:val="14"/>
                <w:szCs w:val="14"/>
                <w:color w:val="auto"/>
              </w:rPr>
              <w:t>construction</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11,557</w:t>
            </w:r>
          </w:p>
        </w:tc>
        <w:tc>
          <w:tcPr>
            <w:tcW w:w="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11,386</w:t>
            </w: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11,360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11,280</w:t>
            </w: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11,238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11,084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00" w:type="dxa"/>
            <w:vAlign w:val="bottom"/>
            <w:tcBorders>
              <w:top w:val="single" w:sz="8" w:color="F0FFFF"/>
            </w:tcBorders>
            <w:shd w:val="clear" w:color="auto" w:fill="F0FFFF"/>
          </w:tcPr>
          <w:p>
            <w:pPr>
              <w:ind w:left="320"/>
              <w:spacing w:after="0" w:line="116" w:lineRule="exact"/>
              <w:rPr>
                <w:sz w:val="20"/>
                <w:szCs w:val="20"/>
                <w:color w:val="auto"/>
              </w:rPr>
            </w:pPr>
            <w:r>
              <w:rPr>
                <w:rFonts w:ascii="Arial" w:cs="Arial" w:eastAsia="Arial" w:hAnsi="Arial"/>
                <w:sz w:val="13"/>
                <w:szCs w:val="13"/>
                <w:color w:val="auto"/>
              </w:rPr>
              <w:t>Total</w:t>
            </w:r>
          </w:p>
        </w:tc>
        <w:tc>
          <w:tcPr>
            <w:tcW w:w="920" w:type="dxa"/>
            <w:vAlign w:val="bottom"/>
            <w:tcBorders>
              <w:top w:val="single" w:sz="8" w:color="auto"/>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20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auto"/>
            </w:tcBorders>
            <w:shd w:val="clear" w:color="auto" w:fill="F0FFFF"/>
          </w:tcPr>
          <w:p>
            <w:pPr>
              <w:spacing w:after="0"/>
              <w:rPr>
                <w:sz w:val="10"/>
                <w:szCs w:val="10"/>
                <w:color w:val="auto"/>
              </w:rPr>
            </w:pPr>
          </w:p>
        </w:tc>
        <w:tc>
          <w:tcPr>
            <w:tcW w:w="86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84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90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800" w:type="dxa"/>
            <w:vAlign w:val="bottom"/>
            <w:tcBorders>
              <w:top w:val="single" w:sz="8" w:color="auto"/>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4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80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920" w:type="dxa"/>
            <w:vAlign w:val="bottom"/>
            <w:tcBorders>
              <w:top w:val="single" w:sz="8" w:color="auto"/>
            </w:tcBorders>
            <w:shd w:val="clear" w:color="auto" w:fill="F0FFFF"/>
          </w:tcPr>
          <w:p>
            <w:pPr>
              <w:spacing w:after="0"/>
              <w:rPr>
                <w:sz w:val="10"/>
                <w:szCs w:val="10"/>
                <w:color w:val="auto"/>
              </w:rPr>
            </w:pPr>
          </w:p>
        </w:tc>
        <w:tc>
          <w:tcPr>
            <w:tcW w:w="2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820" w:type="dxa"/>
            <w:vAlign w:val="bottom"/>
            <w:tcBorders>
              <w:top w:val="single" w:sz="8" w:color="auto"/>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82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F0FFFF"/>
          </w:tcPr>
          <w:p>
            <w:pPr>
              <w:ind w:left="480"/>
              <w:spacing w:after="0"/>
              <w:rPr>
                <w:sz w:val="20"/>
                <w:szCs w:val="20"/>
                <w:color w:val="auto"/>
              </w:rPr>
            </w:pPr>
            <w:r>
              <w:rPr>
                <w:rFonts w:ascii="Arial" w:cs="Arial" w:eastAsia="Arial" w:hAnsi="Arial"/>
                <w:sz w:val="14"/>
                <w:szCs w:val="14"/>
                <w:color w:val="auto"/>
              </w:rPr>
              <w:t>commercial</w:t>
            </w: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62,388</w:t>
            </w: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62,002</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59,997</w:t>
            </w:r>
          </w:p>
        </w:tc>
        <w:tc>
          <w:tcPr>
            <w:tcW w:w="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58,338</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131</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61,642</w:t>
            </w:r>
          </w:p>
        </w:tc>
        <w:tc>
          <w:tcPr>
            <w:tcW w:w="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59,377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00" w:type="dxa"/>
            <w:vAlign w:val="bottom"/>
          </w:tcPr>
          <w:p>
            <w:pPr>
              <w:spacing w:after="0" w:line="130" w:lineRule="exact"/>
              <w:rPr>
                <w:sz w:val="20"/>
                <w:szCs w:val="20"/>
                <w:color w:val="auto"/>
              </w:rPr>
            </w:pPr>
            <w:r>
              <w:rPr>
                <w:rFonts w:ascii="Arial" w:cs="Arial" w:eastAsia="Arial" w:hAnsi="Arial"/>
                <w:sz w:val="14"/>
                <w:szCs w:val="14"/>
                <w:color w:val="auto"/>
              </w:rPr>
              <w:t>Residential</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ind w:left="160"/>
              <w:spacing w:after="0"/>
              <w:rPr>
                <w:sz w:val="20"/>
                <w:szCs w:val="20"/>
                <w:color w:val="auto"/>
              </w:rPr>
            </w:pPr>
            <w:r>
              <w:rPr>
                <w:rFonts w:ascii="Arial" w:cs="Arial" w:eastAsia="Arial" w:hAnsi="Arial"/>
                <w:sz w:val="14"/>
                <w:szCs w:val="14"/>
                <w:color w:val="auto"/>
              </w:rPr>
              <w:t>mortgage</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171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20,074</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19,421</w:t>
            </w: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18,630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17,836</w:t>
            </w:r>
          </w:p>
        </w:tc>
        <w:tc>
          <w:tcPr>
            <w:tcW w:w="920" w:type="dxa"/>
            <w:vAlign w:val="bottom"/>
          </w:tcPr>
          <w:p>
            <w:pPr>
              <w:jc w:val="right"/>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19,555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18,356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Home equity lines</w:t>
            </w:r>
          </w:p>
        </w:tc>
        <w:tc>
          <w:tcPr>
            <w:tcW w:w="9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of credit</w:t>
            </w: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2</w:t>
            </w:r>
          </w:p>
        </w:tc>
        <w:tc>
          <w:tcPr>
            <w:tcW w:w="2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477</w:t>
            </w: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477</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478</w:t>
            </w:r>
          </w:p>
        </w:tc>
        <w:tc>
          <w:tcPr>
            <w:tcW w:w="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478</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531</w:t>
            </w:r>
          </w:p>
        </w:tc>
        <w:tc>
          <w:tcPr>
            <w:tcW w:w="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00" w:type="dxa"/>
            <w:vAlign w:val="bottom"/>
          </w:tcPr>
          <w:p>
            <w:pPr>
              <w:spacing w:after="0" w:line="130" w:lineRule="exact"/>
              <w:rPr>
                <w:sz w:val="20"/>
                <w:szCs w:val="20"/>
                <w:color w:val="auto"/>
              </w:rPr>
            </w:pPr>
            <w:r>
              <w:rPr>
                <w:rFonts w:ascii="Arial" w:cs="Arial" w:eastAsia="Arial" w:hAnsi="Arial"/>
                <w:sz w:val="14"/>
                <w:szCs w:val="14"/>
                <w:color w:val="auto"/>
              </w:rPr>
              <w:t>Residential</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ind w:left="160"/>
              <w:spacing w:after="0"/>
              <w:rPr>
                <w:sz w:val="20"/>
                <w:szCs w:val="20"/>
                <w:color w:val="auto"/>
              </w:rPr>
            </w:pPr>
            <w:r>
              <w:rPr>
                <w:rFonts w:ascii="Arial" w:cs="Arial" w:eastAsia="Arial" w:hAnsi="Arial"/>
                <w:sz w:val="14"/>
                <w:szCs w:val="14"/>
                <w:color w:val="auto"/>
              </w:rPr>
              <w:t>construction</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6,585</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5,968</w:t>
            </w:r>
          </w:p>
        </w:tc>
        <w:tc>
          <w:tcPr>
            <w:tcW w:w="900" w:type="dxa"/>
            <w:vAlign w:val="bottom"/>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8,962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8,265</w:t>
            </w: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10,916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10,084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Consumer</w:t>
            </w:r>
          </w:p>
        </w:tc>
        <w:tc>
          <w:tcPr>
            <w:tcW w:w="9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installment</w:t>
            </w: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22</w:t>
            </w:r>
          </w:p>
        </w:tc>
        <w:tc>
          <w:tcPr>
            <w:tcW w:w="2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254</w:t>
            </w: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235</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179</w:t>
            </w:r>
          </w:p>
        </w:tc>
        <w:tc>
          <w:tcPr>
            <w:tcW w:w="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179</w:t>
            </w:r>
          </w:p>
        </w:tc>
        <w:tc>
          <w:tcPr>
            <w:tcW w:w="9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245</w:t>
            </w:r>
          </w:p>
        </w:tc>
        <w:tc>
          <w:tcPr>
            <w:tcW w:w="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Indirect auto</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572</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13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 loans</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404</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90,350</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88,675</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352</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88,246</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85,096</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365</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92,889</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88,593</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Loans modified under the terms of a TDR during the three and nine months ended September 30, 2015 and 2014 are presented in the table below. In addition, the following table presents loans modified under the terms of a TDR that became 90 days or more delinquent during the three and nine months ended September 30, 2015 and 2014, that were initially restructured within one year prior to becoming delinquent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Borders>
              <w:bottom w:val="single" w:sz="8" w:color="auto"/>
            </w:tcBorders>
            <w:gridSpan w:val="13"/>
          </w:tcPr>
          <w:p>
            <w:pPr>
              <w:ind w:left="540"/>
              <w:spacing w:after="0"/>
              <w:rPr>
                <w:sz w:val="20"/>
                <w:szCs w:val="20"/>
                <w:color w:val="auto"/>
              </w:rPr>
            </w:pPr>
            <w:r>
              <w:rPr>
                <w:rFonts w:ascii="Arial" w:cs="Arial" w:eastAsia="Arial" w:hAnsi="Arial"/>
                <w:sz w:val="14"/>
                <w:szCs w:val="14"/>
                <w:b w:val="1"/>
                <w:bCs w:val="1"/>
                <w:color w:val="auto"/>
                <w:w w:val="98"/>
              </w:rPr>
              <w:t>New TDRs for the Three Months Ended September 30,</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160" w:type="dxa"/>
            <w:vAlign w:val="bottom"/>
            <w:tcBorders>
              <w:bottom w:val="single" w:sz="8" w:color="auto"/>
            </w:tcBorders>
            <w:gridSpan w:val="12"/>
          </w:tcPr>
          <w:p>
            <w:pPr>
              <w:ind w:left="600"/>
              <w:spacing w:after="0"/>
              <w:rPr>
                <w:sz w:val="20"/>
                <w:szCs w:val="20"/>
                <w:color w:val="auto"/>
              </w:rPr>
            </w:pPr>
            <w:r>
              <w:rPr>
                <w:rFonts w:ascii="Arial" w:cs="Arial" w:eastAsia="Arial" w:hAnsi="Arial"/>
                <w:sz w:val="14"/>
                <w:szCs w:val="14"/>
                <w:b w:val="1"/>
                <w:bCs w:val="1"/>
                <w:color w:val="auto"/>
              </w:rPr>
              <w:t>New TDRs for the Nine Months Ended 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gridSpan w:val="5"/>
          </w:tcPr>
          <w:p>
            <w:pPr>
              <w:jc w:val="right"/>
              <w:ind w:right="108"/>
              <w:spacing w:after="0" w:line="126" w:lineRule="exact"/>
              <w:rPr>
                <w:sz w:val="20"/>
                <w:szCs w:val="20"/>
                <w:color w:val="auto"/>
              </w:rPr>
            </w:pPr>
            <w:r>
              <w:rPr>
                <w:rFonts w:ascii="Arial" w:cs="Arial" w:eastAsia="Arial" w:hAnsi="Arial"/>
                <w:sz w:val="14"/>
                <w:szCs w:val="14"/>
                <w:b w:val="1"/>
                <w:bCs w:val="1"/>
                <w:color w:val="auto"/>
              </w:rPr>
              <w:t>Modified Within the</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4"/>
          </w:tcPr>
          <w:p>
            <w:pPr>
              <w:jc w:val="center"/>
              <w:spacing w:after="0" w:line="126" w:lineRule="exact"/>
              <w:rPr>
                <w:sz w:val="20"/>
                <w:szCs w:val="20"/>
                <w:color w:val="auto"/>
              </w:rPr>
            </w:pPr>
            <w:r>
              <w:rPr>
                <w:rFonts w:ascii="Arial" w:cs="Arial" w:eastAsia="Arial" w:hAnsi="Arial"/>
                <w:sz w:val="14"/>
                <w:szCs w:val="14"/>
                <w:b w:val="1"/>
                <w:bCs w:val="1"/>
                <w:color w:val="auto"/>
                <w:w w:val="96"/>
              </w:rPr>
              <w:t>Modified Within the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Post-</w:t>
            </w:r>
          </w:p>
        </w:tc>
        <w:tc>
          <w:tcPr>
            <w:tcW w:w="1780" w:type="dxa"/>
            <w:vAlign w:val="bottom"/>
            <w:gridSpan w:val="6"/>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Defaulted During the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5"/>
              </w:rPr>
              <w:t>Post-</w:t>
            </w:r>
          </w:p>
        </w:tc>
        <w:tc>
          <w:tcPr>
            <w:tcW w:w="180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94"/>
              </w:rPr>
              <w:t>Defaulted During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17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100" w:type="dxa"/>
            <w:vAlign w:val="bottom"/>
          </w:tcPr>
          <w:p>
            <w:pPr>
              <w:spacing w:after="0"/>
              <w:rPr>
                <w:sz w:val="12"/>
                <w:szCs w:val="12"/>
                <w:color w:val="auto"/>
              </w:rPr>
            </w:pPr>
          </w:p>
        </w:tc>
        <w:tc>
          <w:tcPr>
            <w:tcW w:w="1260" w:type="dxa"/>
            <w:vAlign w:val="bottom"/>
            <w:gridSpan w:val="3"/>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17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 2015</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26"/>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0"/>
                <w:szCs w:val="10"/>
                <w:color w:val="auto"/>
              </w:rPr>
            </w:pPr>
          </w:p>
        </w:tc>
        <w:tc>
          <w:tcPr>
            <w:tcW w:w="880" w:type="dxa"/>
            <w:vAlign w:val="bottom"/>
            <w:gridSpan w:val="3"/>
          </w:tcPr>
          <w:p>
            <w:pPr>
              <w:jc w:val="center"/>
              <w:ind w:right="220"/>
              <w:spacing w:after="0" w:line="126"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0"/>
                <w:szCs w:val="10"/>
                <w:color w:val="auto"/>
              </w:rPr>
            </w:pPr>
          </w:p>
        </w:tc>
        <w:tc>
          <w:tcPr>
            <w:tcW w:w="9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9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2"/>
              </w:rPr>
              <w:t>Recorded</w:t>
            </w:r>
          </w:p>
        </w:tc>
        <w:tc>
          <w:tcPr>
            <w:tcW w:w="780" w:type="dxa"/>
            <w:vAlign w:val="bottom"/>
            <w:tcBorders>
              <w:top w:val="single" w:sz="8" w:color="auto"/>
            </w:tcBorders>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Recorded</w:t>
            </w:r>
          </w:p>
        </w:tc>
        <w:tc>
          <w:tcPr>
            <w:tcW w:w="200" w:type="dxa"/>
            <w:vAlign w:val="bottom"/>
          </w:tcPr>
          <w:p>
            <w:pPr>
              <w:spacing w:after="0"/>
              <w:rPr>
                <w:sz w:val="10"/>
                <w:szCs w:val="10"/>
                <w:color w:val="auto"/>
              </w:rPr>
            </w:pPr>
          </w:p>
        </w:tc>
        <w:tc>
          <w:tcPr>
            <w:tcW w:w="90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0"/>
                <w:szCs w:val="10"/>
                <w:color w:val="auto"/>
              </w:rPr>
            </w:pPr>
          </w:p>
        </w:tc>
        <w:tc>
          <w:tcPr>
            <w:tcW w:w="92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7"/>
              </w:rPr>
              <w:t>Number of</w:t>
            </w:r>
          </w:p>
        </w:tc>
        <w:tc>
          <w:tcPr>
            <w:tcW w:w="7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4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68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gridSpan w:val="2"/>
            <w:shd w:val="clear" w:color="auto" w:fill="F0FFFF"/>
          </w:tcPr>
          <w:p>
            <w:pPr>
              <w:ind w:left="160"/>
              <w:spacing w:after="0"/>
              <w:rPr>
                <w:sz w:val="20"/>
                <w:szCs w:val="20"/>
                <w:color w:val="auto"/>
              </w:rPr>
            </w:pPr>
            <w:r>
              <w:rPr>
                <w:rFonts w:ascii="Arial" w:cs="Arial" w:eastAsia="Arial" w:hAnsi="Arial"/>
                <w:sz w:val="14"/>
                <w:szCs w:val="14"/>
                <w:color w:val="auto"/>
              </w:rPr>
              <w:t>estate</w:t>
            </w: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667</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666</w:t>
            </w:r>
          </w:p>
        </w:tc>
        <w:tc>
          <w:tcPr>
            <w:tcW w:w="22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w:t>
            </w:r>
          </w:p>
        </w:tc>
        <w:tc>
          <w:tcPr>
            <w:tcW w:w="42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178</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w:t>
            </w:r>
          </w:p>
        </w:tc>
        <w:tc>
          <w:tcPr>
            <w:tcW w:w="80" w:type="dxa"/>
            <w:vAlign w:val="bottom"/>
            <w:shd w:val="clear" w:color="auto" w:fill="F0FFFF"/>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13,204</w:t>
            </w:r>
          </w:p>
        </w:tc>
        <w:tc>
          <w:tcPr>
            <w:tcW w:w="80" w:type="dxa"/>
            <w:vAlign w:val="bottom"/>
            <w:shd w:val="clear" w:color="auto" w:fill="F0FFFF"/>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13,159</w:t>
            </w:r>
          </w:p>
        </w:tc>
        <w:tc>
          <w:tcPr>
            <w:tcW w:w="7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gridSpan w:val="2"/>
          </w:tcPr>
          <w:p>
            <w:pPr>
              <w:spacing w:after="0" w:line="130" w:lineRule="exact"/>
              <w:rPr>
                <w:sz w:val="20"/>
                <w:szCs w:val="20"/>
                <w:color w:val="auto"/>
              </w:rPr>
            </w:pPr>
            <w:r>
              <w:rPr>
                <w:rFonts w:ascii="Arial" w:cs="Arial" w:eastAsia="Arial" w:hAnsi="Arial"/>
                <w:sz w:val="14"/>
                <w:szCs w:val="14"/>
                <w:color w:val="auto"/>
                <w:w w:val="99"/>
              </w:rPr>
              <w:t>Income producing commercial real</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gridSpan w:val="2"/>
          </w:tcPr>
          <w:p>
            <w:pPr>
              <w:ind w:left="160"/>
              <w:spacing w:after="0"/>
              <w:rPr>
                <w:sz w:val="20"/>
                <w:szCs w:val="20"/>
                <w:color w:val="auto"/>
              </w:rPr>
            </w:pPr>
            <w:r>
              <w:rPr>
                <w:rFonts w:ascii="Arial" w:cs="Arial" w:eastAsia="Arial" w:hAnsi="Arial"/>
                <w:sz w:val="14"/>
                <w:szCs w:val="14"/>
                <w:color w:val="auto"/>
              </w:rPr>
              <w:t>estate</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w:t>
            </w: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1,203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1,203</w:t>
            </w:r>
          </w:p>
        </w:tc>
        <w:tc>
          <w:tcPr>
            <w:tcW w:w="1000" w:type="dxa"/>
            <w:vAlign w:val="bottom"/>
            <w:gridSpan w:val="3"/>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Borders>
              <w:top w:val="single" w:sz="8" w:color="F0FFFF"/>
            </w:tcBorders>
            <w:gridSpan w:val="2"/>
            <w:shd w:val="clear" w:color="auto" w:fill="F0FFFF"/>
          </w:tcPr>
          <w:p>
            <w:pPr>
              <w:ind w:left="320"/>
              <w:spacing w:after="0" w:line="149" w:lineRule="exact"/>
              <w:rPr>
                <w:sz w:val="20"/>
                <w:szCs w:val="20"/>
                <w:color w:val="auto"/>
              </w:rPr>
            </w:pPr>
            <w:r>
              <w:rPr>
                <w:rFonts w:ascii="Arial" w:cs="Arial" w:eastAsia="Arial" w:hAnsi="Arial"/>
                <w:sz w:val="14"/>
                <w:szCs w:val="14"/>
                <w:color w:val="auto"/>
              </w:rPr>
              <w:t>Total commercial</w:t>
            </w: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690</w:t>
            </w:r>
          </w:p>
        </w:tc>
        <w:tc>
          <w:tcPr>
            <w:tcW w:w="2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689</w:t>
            </w:r>
          </w:p>
        </w:tc>
        <w:tc>
          <w:tcPr>
            <w:tcW w:w="2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300" w:type="dxa"/>
            <w:vAlign w:val="bottom"/>
            <w:tcBorders>
              <w:top w:val="single" w:sz="8" w:color="auto"/>
            </w:tcBorders>
            <w:shd w:val="clear" w:color="auto" w:fill="F0FFFF"/>
          </w:tcPr>
          <w:p>
            <w:pPr>
              <w:spacing w:after="0"/>
              <w:rPr>
                <w:sz w:val="12"/>
                <w:szCs w:val="12"/>
                <w:color w:val="auto"/>
              </w:rPr>
            </w:pPr>
          </w:p>
        </w:tc>
        <w:tc>
          <w:tcPr>
            <w:tcW w:w="3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178</w:t>
            </w:r>
          </w:p>
        </w:tc>
        <w:tc>
          <w:tcPr>
            <w:tcW w:w="20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22</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14,950</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14,905</w:t>
            </w: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F0FFFF"/>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spacing w:after="0"/>
              <w:rPr>
                <w:sz w:val="12"/>
                <w:szCs w:val="12"/>
                <w:color w:val="auto"/>
              </w:rPr>
            </w:pPr>
          </w:p>
        </w:tc>
        <w:tc>
          <w:tcPr>
            <w:tcW w:w="3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178</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939</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3,060</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3,060</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74</w:t>
            </w:r>
          </w:p>
        </w:tc>
        <w:tc>
          <w:tcPr>
            <w:tcW w:w="120" w:type="dxa"/>
            <w:vAlign w:val="bottom"/>
            <w:shd w:val="clear" w:color="auto" w:fill="F0FFFF"/>
          </w:tcPr>
          <w:p>
            <w:pPr>
              <w:spacing w:after="0"/>
              <w:rPr>
                <w:sz w:val="12"/>
                <w:szCs w:val="12"/>
                <w:color w:val="auto"/>
              </w:rPr>
            </w:pPr>
          </w:p>
        </w:tc>
        <w:tc>
          <w:tcPr>
            <w:tcW w:w="1000" w:type="dxa"/>
            <w:vAlign w:val="bottom"/>
            <w:gridSpan w:val="3"/>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12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Consumer installment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58</w:t>
            </w: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86</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color w:val="auto"/>
              </w:rPr>
              <w:t>Indirect auto</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14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Arial" w:cs="Arial" w:eastAsia="Arial" w:hAnsi="Arial"/>
                <w:sz w:val="14"/>
                <w:szCs w:val="14"/>
                <w:color w:val="auto"/>
              </w:rPr>
              <w:t>Total loans</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19</w:t>
            </w:r>
          </w:p>
        </w:tc>
        <w:tc>
          <w:tcPr>
            <w:tcW w:w="2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2,034</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2,033</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3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65</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18,689</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18,611</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3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gridSpan w:val="2"/>
          </w:tcPr>
          <w:p>
            <w:pPr>
              <w:spacing w:after="0" w:line="20" w:lineRule="exact"/>
              <w:rPr>
                <w:sz w:val="1"/>
                <w:szCs w:val="1"/>
                <w:color w:val="auto"/>
              </w:rPr>
            </w:pPr>
          </w:p>
        </w:tc>
        <w:tc>
          <w:tcPr>
            <w:tcW w:w="680" w:type="dxa"/>
            <w:vAlign w:val="bottom"/>
            <w:tcBorders>
              <w:top w:val="single" w:sz="8" w:color="F0FFFF"/>
              <w:bottom w:val="single" w:sz="8" w:color="auto"/>
            </w:tcBorders>
            <w:gridSpan w:val="2"/>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bottom w:val="single" w:sz="8" w:color="auto"/>
            </w:tcBorders>
            <w:gridSpan w:val="2"/>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7"/>
              </w:rPr>
              <w:t>Modified Within the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Modified Within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Post-</w:t>
            </w:r>
          </w:p>
        </w:tc>
        <w:tc>
          <w:tcPr>
            <w:tcW w:w="17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2"/>
                <w:szCs w:val="12"/>
                <w:color w:val="auto"/>
              </w:rPr>
            </w:pPr>
          </w:p>
        </w:tc>
        <w:tc>
          <w:tcPr>
            <w:tcW w:w="17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780" w:type="dxa"/>
            <w:vAlign w:val="bottom"/>
            <w:gridSpan w:val="6"/>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Defaulted During the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0" w:type="dxa"/>
            <w:vAlign w:val="bottom"/>
            <w:gridSpan w:val="6"/>
          </w:tcPr>
          <w:p>
            <w:pPr>
              <w:jc w:val="center"/>
              <w:spacing w:after="0" w:line="145" w:lineRule="exact"/>
              <w:rPr>
                <w:sz w:val="20"/>
                <w:szCs w:val="20"/>
                <w:color w:val="auto"/>
              </w:rPr>
            </w:pPr>
            <w:r>
              <w:rPr>
                <w:rFonts w:ascii="Arial" w:cs="Arial" w:eastAsia="Arial" w:hAnsi="Arial"/>
                <w:sz w:val="14"/>
                <w:szCs w:val="14"/>
                <w:b w:val="1"/>
                <w:bCs w:val="1"/>
                <w:color w:val="auto"/>
                <w:w w:val="94"/>
              </w:rPr>
              <w:t>Defaulted During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17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100" w:type="dxa"/>
            <w:vAlign w:val="bottom"/>
          </w:tcPr>
          <w:p>
            <w:pPr>
              <w:spacing w:after="0"/>
              <w:rPr>
                <w:sz w:val="12"/>
                <w:szCs w:val="12"/>
                <w:color w:val="auto"/>
              </w:rPr>
            </w:pPr>
          </w:p>
        </w:tc>
        <w:tc>
          <w:tcPr>
            <w:tcW w:w="1260" w:type="dxa"/>
            <w:vAlign w:val="bottom"/>
            <w:gridSpan w:val="3"/>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17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 2014</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126"/>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880" w:type="dxa"/>
            <w:vAlign w:val="bottom"/>
            <w:gridSpan w:val="3"/>
          </w:tcPr>
          <w:p>
            <w:pPr>
              <w:jc w:val="center"/>
              <w:ind w:right="220"/>
              <w:spacing w:after="0" w:line="126"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0"/>
                <w:szCs w:val="10"/>
                <w:color w:val="auto"/>
              </w:rPr>
            </w:pPr>
          </w:p>
        </w:tc>
        <w:tc>
          <w:tcPr>
            <w:tcW w:w="9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9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2"/>
              </w:rPr>
              <w:t>Recorded</w:t>
            </w:r>
          </w:p>
        </w:tc>
        <w:tc>
          <w:tcPr>
            <w:tcW w:w="780" w:type="dxa"/>
            <w:vAlign w:val="bottom"/>
            <w:tcBorders>
              <w:top w:val="single" w:sz="8" w:color="auto"/>
            </w:tcBorders>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Recorded</w:t>
            </w:r>
          </w:p>
        </w:tc>
        <w:tc>
          <w:tcPr>
            <w:tcW w:w="200" w:type="dxa"/>
            <w:vAlign w:val="bottom"/>
          </w:tcPr>
          <w:p>
            <w:pPr>
              <w:spacing w:after="0"/>
              <w:rPr>
                <w:sz w:val="10"/>
                <w:szCs w:val="10"/>
                <w:color w:val="auto"/>
              </w:rPr>
            </w:pPr>
          </w:p>
        </w:tc>
        <w:tc>
          <w:tcPr>
            <w:tcW w:w="90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0"/>
                <w:szCs w:val="10"/>
                <w:color w:val="auto"/>
              </w:rPr>
            </w:pPr>
          </w:p>
        </w:tc>
        <w:tc>
          <w:tcPr>
            <w:tcW w:w="92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7"/>
              </w:rPr>
              <w:t>Number of</w:t>
            </w:r>
          </w:p>
        </w:tc>
        <w:tc>
          <w:tcPr>
            <w:tcW w:w="7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4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68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gridSpan w:val="2"/>
            <w:shd w:val="clear" w:color="auto" w:fill="F0FFFF"/>
          </w:tcPr>
          <w:p>
            <w:pPr>
              <w:ind w:left="160"/>
              <w:spacing w:after="0"/>
              <w:rPr>
                <w:sz w:val="20"/>
                <w:szCs w:val="20"/>
                <w:color w:val="auto"/>
              </w:rPr>
            </w:pPr>
            <w:r>
              <w:rPr>
                <w:rFonts w:ascii="Arial" w:cs="Arial" w:eastAsia="Arial" w:hAnsi="Arial"/>
                <w:sz w:val="14"/>
                <w:szCs w:val="14"/>
                <w:color w:val="auto"/>
              </w:rPr>
              <w:t>estate</w:t>
            </w:r>
          </w:p>
        </w:tc>
        <w:tc>
          <w:tcPr>
            <w:tcW w:w="7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747</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747</w:t>
            </w:r>
          </w:p>
        </w:tc>
        <w:tc>
          <w:tcPr>
            <w:tcW w:w="22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F0FFFF"/>
          </w:tcPr>
          <w:p>
            <w:pPr>
              <w:ind w:lef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4,139</w:t>
            </w:r>
          </w:p>
        </w:tc>
        <w:tc>
          <w:tcPr>
            <w:tcW w:w="80" w:type="dxa"/>
            <w:vAlign w:val="bottom"/>
            <w:shd w:val="clear" w:color="auto" w:fill="F0FFFF"/>
          </w:tcPr>
          <w:p>
            <w:pPr>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4,139</w:t>
            </w:r>
          </w:p>
        </w:tc>
        <w:tc>
          <w:tcPr>
            <w:tcW w:w="7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gridSpan w:val="2"/>
          </w:tcPr>
          <w:p>
            <w:pPr>
              <w:spacing w:after="0" w:line="130" w:lineRule="exact"/>
              <w:rPr>
                <w:sz w:val="20"/>
                <w:szCs w:val="20"/>
                <w:color w:val="auto"/>
              </w:rPr>
            </w:pPr>
            <w:r>
              <w:rPr>
                <w:rFonts w:ascii="Arial" w:cs="Arial" w:eastAsia="Arial" w:hAnsi="Arial"/>
                <w:sz w:val="14"/>
                <w:szCs w:val="14"/>
                <w:color w:val="auto"/>
                <w:w w:val="99"/>
              </w:rPr>
              <w:t>Income producing commercial real</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gridSpan w:val="2"/>
          </w:tcPr>
          <w:p>
            <w:pPr>
              <w:ind w:left="160"/>
              <w:spacing w:after="0"/>
              <w:rPr>
                <w:sz w:val="20"/>
                <w:szCs w:val="20"/>
                <w:color w:val="auto"/>
              </w:rPr>
            </w:pPr>
            <w:r>
              <w:rPr>
                <w:rFonts w:ascii="Arial" w:cs="Arial" w:eastAsia="Arial" w:hAnsi="Arial"/>
                <w:sz w:val="14"/>
                <w:szCs w:val="14"/>
                <w:color w:val="auto"/>
              </w:rPr>
              <w:t>estate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1,992</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1,992</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7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452</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452</w:t>
            </w: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782</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782</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Borders>
              <w:top w:val="single" w:sz="8" w:color="F0FFFF"/>
            </w:tcBorders>
            <w:gridSpan w:val="2"/>
            <w:shd w:val="clear" w:color="auto" w:fill="F0FFFF"/>
          </w:tcPr>
          <w:p>
            <w:pPr>
              <w:ind w:left="320"/>
              <w:spacing w:after="0" w:line="149" w:lineRule="exact"/>
              <w:rPr>
                <w:sz w:val="20"/>
                <w:szCs w:val="20"/>
                <w:color w:val="auto"/>
              </w:rPr>
            </w:pPr>
            <w:r>
              <w:rPr>
                <w:rFonts w:ascii="Arial" w:cs="Arial" w:eastAsia="Arial" w:hAnsi="Arial"/>
                <w:sz w:val="14"/>
                <w:szCs w:val="14"/>
                <w:color w:val="auto"/>
              </w:rPr>
              <w:t>Total commercial</w:t>
            </w:r>
          </w:p>
        </w:tc>
        <w:tc>
          <w:tcPr>
            <w:tcW w:w="700" w:type="dxa"/>
            <w:vAlign w:val="bottom"/>
            <w:tcBorders>
              <w:top w:val="single" w:sz="8" w:color="auto"/>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1,199</w:t>
            </w:r>
          </w:p>
        </w:tc>
        <w:tc>
          <w:tcPr>
            <w:tcW w:w="2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1,199</w:t>
            </w:r>
          </w:p>
        </w:tc>
        <w:tc>
          <w:tcPr>
            <w:tcW w:w="2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300" w:type="dxa"/>
            <w:vAlign w:val="bottom"/>
            <w:tcBorders>
              <w:top w:val="single" w:sz="8" w:color="auto"/>
            </w:tcBorders>
            <w:shd w:val="clear" w:color="auto" w:fill="F0FFFF"/>
          </w:tcPr>
          <w:p>
            <w:pPr>
              <w:spacing w:after="0"/>
              <w:rPr>
                <w:sz w:val="12"/>
                <w:szCs w:val="12"/>
                <w:color w:val="auto"/>
              </w:rPr>
            </w:pPr>
          </w:p>
        </w:tc>
        <w:tc>
          <w:tcPr>
            <w:tcW w:w="3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7,384</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7,384</w:t>
            </w: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Borders>
              <w:top w:val="single" w:sz="8" w:color="F0FFFF"/>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spacing w:after="0"/>
              <w:rPr>
                <w:sz w:val="12"/>
                <w:szCs w:val="12"/>
                <w:color w:val="auto"/>
              </w:rPr>
            </w:pPr>
          </w:p>
        </w:tc>
        <w:tc>
          <w:tcPr>
            <w:tcW w:w="3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2,924</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7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F0FFFF"/>
          </w:tcPr>
          <w:p>
            <w:pPr>
              <w:spacing w:after="0"/>
              <w:rPr>
                <w:sz w:val="12"/>
                <w:szCs w:val="12"/>
                <w:color w:val="auto"/>
              </w:rPr>
            </w:pPr>
          </w:p>
        </w:tc>
        <w:tc>
          <w:tcPr>
            <w:tcW w:w="1000" w:type="dxa"/>
            <w:vAlign w:val="bottom"/>
            <w:gridSpan w:val="3"/>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1,124</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1,124</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Consumer installment</w:t>
            </w:r>
          </w:p>
        </w:tc>
        <w:tc>
          <w:tcPr>
            <w:tcW w:w="7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5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226</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226</w:t>
            </w:r>
          </w:p>
        </w:tc>
        <w:tc>
          <w:tcPr>
            <w:tcW w:w="120" w:type="dxa"/>
            <w:vAlign w:val="bottom"/>
            <w:shd w:val="clear" w:color="auto" w:fill="F0FFFF"/>
          </w:tcPr>
          <w:p>
            <w:pPr>
              <w:spacing w:after="0"/>
              <w:rPr>
                <w:sz w:val="12"/>
                <w:szCs w:val="12"/>
                <w:color w:val="auto"/>
              </w:rPr>
            </w:pPr>
          </w:p>
        </w:tc>
        <w:tc>
          <w:tcPr>
            <w:tcW w:w="1000" w:type="dxa"/>
            <w:vAlign w:val="bottom"/>
            <w:gridSpan w:val="3"/>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spacing w:after="0"/>
              <w:rPr>
                <w:sz w:val="12"/>
                <w:szCs w:val="12"/>
                <w:color w:val="auto"/>
              </w:rPr>
            </w:pPr>
          </w:p>
        </w:tc>
        <w:tc>
          <w:tcPr>
            <w:tcW w:w="4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color w:val="auto"/>
              </w:rPr>
              <w:t>Indirect auto</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14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Arial" w:cs="Arial" w:eastAsia="Arial" w:hAnsi="Arial"/>
                <w:sz w:val="14"/>
                <w:szCs w:val="14"/>
                <w:color w:val="auto"/>
              </w:rPr>
              <w:t>Total loans</w:t>
            </w:r>
          </w:p>
        </w:tc>
        <w:tc>
          <w:tcPr>
            <w:tcW w:w="70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4"/>
                <w:szCs w:val="14"/>
                <w:color w:val="auto"/>
              </w:rPr>
              <w:t>18</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1,977</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1,872</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3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139</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68</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11,694</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11,548</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3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1"/>
              </w:rPr>
              <w:t>1,029</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7" w:orient="portrait"/>
          <w:cols w:equalWidth="0" w:num="1">
            <w:col w:w="11420"/>
          </w:cols>
          <w:pgMar w:left="240" w:top="904"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As of September 30, 2015, December 31, 2014 and September 30, 2014,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gridSpan w:val="5"/>
            <w:vMerge w:val="restart"/>
          </w:tcPr>
          <w:p>
            <w:pPr>
              <w:ind w:left="300"/>
              <w:spacing w:after="0"/>
              <w:rPr>
                <w:sz w:val="20"/>
                <w:szCs w:val="20"/>
                <w:color w:val="auto"/>
              </w:rPr>
            </w:pPr>
            <w:r>
              <w:rPr>
                <w:rFonts w:ascii="Arial" w:cs="Arial" w:eastAsia="Arial" w:hAnsi="Arial"/>
                <w:sz w:val="18"/>
                <w:szCs w:val="18"/>
                <w:b w:val="1"/>
                <w:bCs w:val="1"/>
                <w:color w:val="auto"/>
              </w:rPr>
              <w:t>As of September 30, 2015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Doubtful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40" w:type="dxa"/>
            <w:vAlign w:val="bottom"/>
            <w:gridSpan w:val="5"/>
            <w:vMerge w:val="continue"/>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50"/>
              <w:spacing w:after="0" w:line="160" w:lineRule="exact"/>
              <w:rPr>
                <w:sz w:val="20"/>
                <w:szCs w:val="20"/>
                <w:color w:val="auto"/>
              </w:rPr>
            </w:pPr>
            <w:r>
              <w:rPr>
                <w:rFonts w:ascii="Arial" w:cs="Arial" w:eastAsia="Arial" w:hAnsi="Arial"/>
                <w:sz w:val="18"/>
                <w:szCs w:val="18"/>
                <w:b w:val="1"/>
                <w:bCs w:val="1"/>
                <w:color w:val="auto"/>
              </w:rPr>
              <w:t>Pass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270"/>
              <w:spacing w:after="0" w:line="160" w:lineRule="exact"/>
              <w:rPr>
                <w:sz w:val="20"/>
                <w:szCs w:val="20"/>
                <w:color w:val="auto"/>
              </w:rPr>
            </w:pPr>
            <w:r>
              <w:rPr>
                <w:rFonts w:ascii="Arial" w:cs="Arial" w:eastAsia="Arial" w:hAnsi="Arial"/>
                <w:sz w:val="18"/>
                <w:szCs w:val="18"/>
                <w:b w:val="1"/>
                <w:bCs w:val="1"/>
                <w:color w:val="auto"/>
              </w:rPr>
              <w:t>Watch</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10"/>
              <w:spacing w:after="0" w:line="160" w:lineRule="exact"/>
              <w:rPr>
                <w:sz w:val="20"/>
                <w:szCs w:val="20"/>
                <w:color w:val="auto"/>
              </w:rPr>
            </w:pPr>
            <w:r>
              <w:rPr>
                <w:rFonts w:ascii="Arial" w:cs="Arial" w:eastAsia="Arial" w:hAnsi="Arial"/>
                <w:sz w:val="18"/>
                <w:szCs w:val="18"/>
                <w:b w:val="1"/>
                <w:bCs w:val="1"/>
                <w:color w:val="auto"/>
                <w:w w:val="89"/>
              </w:rPr>
              <w:t>Substandard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30"/>
              <w:spacing w:after="0" w:line="160" w:lineRule="exact"/>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60"/>
              <w:spacing w:after="0" w:line="160" w:lineRule="exact"/>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80" w:type="dxa"/>
            <w:vAlign w:val="bottom"/>
            <w:tcBorders>
              <w:top w:val="single" w:sz="8" w:color="auto"/>
              <w:bottom w:val="single" w:sz="8" w:color="F0FFFF"/>
            </w:tcBorders>
          </w:tcPr>
          <w:p>
            <w:pPr>
              <w:spacing w:after="0"/>
              <w:rPr>
                <w:sz w:val="3"/>
                <w:szCs w:val="3"/>
                <w:color w:val="auto"/>
              </w:rPr>
            </w:pPr>
          </w:p>
        </w:tc>
        <w:tc>
          <w:tcPr>
            <w:tcW w:w="40" w:type="dxa"/>
            <w:vAlign w:val="bottom"/>
            <w:tcBorders>
              <w:top w:val="single" w:sz="8" w:color="auto"/>
              <w:bottom w:val="single" w:sz="8" w:color="F0FFFF"/>
            </w:tcBorders>
          </w:tcPr>
          <w:p>
            <w:pPr>
              <w:spacing w:after="0"/>
              <w:rPr>
                <w:sz w:val="3"/>
                <w:szCs w:val="3"/>
                <w:color w:val="auto"/>
              </w:rPr>
            </w:pPr>
          </w:p>
        </w:tc>
        <w:tc>
          <w:tcPr>
            <w:tcW w:w="1500" w:type="dxa"/>
            <w:vAlign w:val="bottom"/>
            <w:tcBorders>
              <w:bottom w:val="single" w:sz="8" w:color="F0FFFF"/>
            </w:tcBorders>
          </w:tcPr>
          <w:p>
            <w:pPr>
              <w:spacing w:after="0"/>
              <w:rPr>
                <w:sz w:val="3"/>
                <w:szCs w:val="3"/>
                <w:color w:val="auto"/>
              </w:rPr>
            </w:pPr>
          </w:p>
        </w:tc>
        <w:tc>
          <w:tcPr>
            <w:tcW w:w="480" w:type="dxa"/>
            <w:vAlign w:val="bottom"/>
            <w:tcBorders>
              <w:bottom w:val="single" w:sz="8" w:color="F0FF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F0FF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1,398,607</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25,650</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41,043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1,465,300</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766,637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789,673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874,385</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8,402</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6,779</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889,566</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Borders>
              <w:bottom w:val="single" w:sz="8" w:color="F0FFFF"/>
            </w:tcBorders>
            <w:gridSpan w:val="3"/>
          </w:tcPr>
          <w:p>
            <w:pPr>
              <w:spacing w:after="0"/>
              <w:rPr>
                <w:sz w:val="20"/>
                <w:szCs w:val="20"/>
                <w:color w:val="auto"/>
              </w:rPr>
            </w:pPr>
            <w:r>
              <w:rPr>
                <w:rFonts w:ascii="Arial" w:cs="Arial" w:eastAsia="Arial" w:hAnsi="Arial"/>
                <w:sz w:val="18"/>
                <w:szCs w:val="18"/>
                <w:color w:val="auto"/>
              </w:rPr>
              <w:t>Commercial construction</w:t>
            </w:r>
          </w:p>
        </w:tc>
        <w:tc>
          <w:tcPr>
            <w:tcW w:w="48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311,209</w:t>
            </w:r>
          </w:p>
        </w:tc>
        <w:tc>
          <w:tcPr>
            <w:tcW w:w="2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2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316,096</w:t>
            </w:r>
          </w:p>
        </w:tc>
        <w:tc>
          <w:tcPr>
            <w:tcW w:w="120" w:type="dxa"/>
            <w:vAlign w:val="bottom"/>
            <w:tcBorders>
              <w:bottom w:val="single" w:sz="8" w:color="F0FFFF"/>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Total commercial</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3,350,838</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40,993</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68,804</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3,460,635</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1,010,610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1,057,339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577,206</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6,025</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583,231</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318,836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332,951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115,619</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116,584</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Borders>
              <w:bottom w:val="single" w:sz="8" w:color="F0FFFF"/>
            </w:tcBorders>
            <w:gridSpan w:val="3"/>
          </w:tcPr>
          <w:p>
            <w:pPr>
              <w:spacing w:after="0"/>
              <w:rPr>
                <w:sz w:val="20"/>
                <w:szCs w:val="20"/>
                <w:color w:val="auto"/>
              </w:rPr>
            </w:pPr>
            <w:r>
              <w:rPr>
                <w:rFonts w:ascii="Arial" w:cs="Arial" w:eastAsia="Arial" w:hAnsi="Arial"/>
                <w:sz w:val="18"/>
                <w:szCs w:val="18"/>
                <w:color w:val="auto"/>
              </w:rPr>
              <w:t>Indirect auto</w:t>
            </w:r>
          </w:p>
        </w:tc>
        <w:tc>
          <w:tcPr>
            <w:tcW w:w="48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418,710</w:t>
            </w:r>
          </w:p>
        </w:tc>
        <w:tc>
          <w:tcPr>
            <w:tcW w:w="2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420,608</w:t>
            </w:r>
          </w:p>
        </w:tc>
        <w:tc>
          <w:tcPr>
            <w:tcW w:w="120" w:type="dxa"/>
            <w:vAlign w:val="bottom"/>
            <w:tcBorders>
              <w:bottom w:val="single" w:sz="8" w:color="F0FFFF"/>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Borders>
              <w:bottom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color w:val="auto"/>
              </w:rPr>
              <w:t>Total loans, excluding PCI loans</w:t>
            </w:r>
          </w:p>
        </w:tc>
        <w:tc>
          <w:tcPr>
            <w:tcW w:w="48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5,791,819</w:t>
            </w:r>
          </w:p>
        </w:tc>
        <w:tc>
          <w:tcPr>
            <w:tcW w:w="20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50,619</w:t>
            </w:r>
          </w:p>
        </w:tc>
        <w:tc>
          <w:tcPr>
            <w:tcW w:w="2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128,910</w:t>
            </w:r>
          </w:p>
        </w:tc>
        <w:tc>
          <w:tcPr>
            <w:tcW w:w="22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5,971,348</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1500" w:type="dxa"/>
            <w:vAlign w:val="bottom"/>
            <w:shd w:val="clear" w:color="auto" w:fill="F0FFFF"/>
          </w:tcPr>
          <w:p>
            <w:pPr>
              <w:spacing w:after="0" w:line="20" w:lineRule="exact"/>
              <w:rPr>
                <w:sz w:val="1"/>
                <w:szCs w:val="1"/>
                <w:color w:val="auto"/>
              </w:rPr>
            </w:pPr>
          </w:p>
        </w:tc>
        <w:tc>
          <w:tcPr>
            <w:tcW w:w="48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94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94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10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04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94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40" w:type="dxa"/>
            <w:vAlign w:val="bottom"/>
            <w:gridSpan w:val="5"/>
            <w:vMerge w:val="restart"/>
          </w:tcPr>
          <w:p>
            <w:pPr>
              <w:ind w:left="300"/>
              <w:spacing w:after="0"/>
              <w:rPr>
                <w:sz w:val="20"/>
                <w:szCs w:val="20"/>
                <w:color w:val="auto"/>
              </w:rPr>
            </w:pPr>
            <w:r>
              <w:rPr>
                <w:rFonts w:ascii="Arial" w:cs="Arial" w:eastAsia="Arial" w:hAnsi="Arial"/>
                <w:sz w:val="18"/>
                <w:szCs w:val="18"/>
                <w:color w:val="auto"/>
              </w:rPr>
              <w:t>Owner occupied commercial real estate</w:t>
            </w:r>
          </w:p>
        </w:tc>
        <w:tc>
          <w:tcPr>
            <w:tcW w:w="4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gridSpan w:val="5"/>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1,499</w:t>
            </w:r>
          </w:p>
        </w:tc>
        <w:tc>
          <w:tcPr>
            <w:tcW w:w="200" w:type="dxa"/>
            <w:vAlign w:val="bottom"/>
            <w:vMerge w:val="continue"/>
          </w:tcPr>
          <w:p>
            <w:pPr>
              <w:spacing w:after="0"/>
              <w:rPr>
                <w:sz w:val="16"/>
                <w:szCs w:val="16"/>
                <w:color w:val="auto"/>
              </w:rPr>
            </w:pPr>
          </w:p>
        </w:tc>
        <w:tc>
          <w:tcPr>
            <w:tcW w:w="2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4,816</w:t>
            </w:r>
          </w:p>
        </w:tc>
        <w:tc>
          <w:tcPr>
            <w:tcW w:w="22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7,283</w:t>
            </w:r>
          </w:p>
        </w:tc>
        <w:tc>
          <w:tcPr>
            <w:tcW w:w="22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348</w:t>
            </w:r>
          </w:p>
        </w:tc>
        <w:tc>
          <w:tcPr>
            <w:tcW w:w="220" w:type="dxa"/>
            <w:vAlign w:val="bottom"/>
            <w:vMerge w:val="continue"/>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13,946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9,624</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5,809</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12,727</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28,160</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48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1,722</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Total commercial</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12,875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10,731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21,017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45,022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3,845</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Indirect auto</w:t>
            </w:r>
          </w:p>
        </w:tc>
        <w:tc>
          <w:tcPr>
            <w:tcW w:w="48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Total PCI loans</w:t>
            </w:r>
          </w:p>
        </w:tc>
        <w:tc>
          <w:tcPr>
            <w:tcW w:w="4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150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shd w:val="clear" w:color="auto" w:fill="F0FFFF"/>
          </w:tcPr>
          <w:p>
            <w:pPr>
              <w:spacing w:after="0" w:line="170" w:lineRule="exact"/>
              <w:rPr>
                <w:sz w:val="20"/>
                <w:szCs w:val="20"/>
                <w:color w:val="auto"/>
              </w:rPr>
            </w:pPr>
            <w:r>
              <w:rPr>
                <w:rFonts w:ascii="Arial" w:cs="Arial" w:eastAsia="Arial" w:hAnsi="Arial"/>
                <w:sz w:val="18"/>
                <w:szCs w:val="18"/>
                <w:b w:val="1"/>
                <w:bCs w:val="1"/>
                <w:color w:val="auto"/>
                <w:w w:val="87"/>
              </w:rPr>
              <w:t>As of December 31, 2014</w:t>
            </w:r>
          </w:p>
        </w:tc>
        <w:tc>
          <w:tcPr>
            <w:tcW w:w="1540" w:type="dxa"/>
            <w:vAlign w:val="bottom"/>
            <w:tcBorders>
              <w:bottom w:val="single" w:sz="8" w:color="F0FFFF"/>
            </w:tcBorders>
            <w:gridSpan w:val="2"/>
            <w:shd w:val="clear" w:color="auto" w:fill="F0FFFF"/>
          </w:tcPr>
          <w:p>
            <w:pPr>
              <w:spacing w:after="0"/>
              <w:rPr>
                <w:sz w:val="16"/>
                <w:szCs w:val="16"/>
                <w:color w:val="auto"/>
              </w:rPr>
            </w:pPr>
          </w:p>
        </w:tc>
        <w:tc>
          <w:tcPr>
            <w:tcW w:w="48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F0FFFF"/>
            </w:tcBorders>
            <w:shd w:val="clear" w:color="auto" w:fill="F0FFFF"/>
          </w:tcPr>
          <w:p>
            <w:pPr>
              <w:spacing w:after="0"/>
              <w:rPr>
                <w:sz w:val="16"/>
                <w:szCs w:val="16"/>
                <w:color w:val="auto"/>
              </w:rPr>
            </w:pPr>
          </w:p>
        </w:tc>
        <w:tc>
          <w:tcPr>
            <w:tcW w:w="94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bottom w:val="single" w:sz="8" w:color="F0FFFF"/>
            </w:tcBorders>
            <w:shd w:val="clear" w:color="auto" w:fill="F0FFFF"/>
          </w:tcPr>
          <w:p>
            <w:pPr>
              <w:spacing w:after="0"/>
              <w:rPr>
                <w:sz w:val="16"/>
                <w:szCs w:val="16"/>
                <w:color w:val="auto"/>
              </w:rPr>
            </w:pPr>
          </w:p>
        </w:tc>
        <w:tc>
          <w:tcPr>
            <w:tcW w:w="260" w:type="dxa"/>
            <w:vAlign w:val="bottom"/>
            <w:tcBorders>
              <w:bottom w:val="single" w:sz="8" w:color="F0FFFF"/>
            </w:tcBorders>
            <w:shd w:val="clear" w:color="auto" w:fill="F0FFFF"/>
          </w:tcPr>
          <w:p>
            <w:pPr>
              <w:spacing w:after="0"/>
              <w:rPr>
                <w:sz w:val="16"/>
                <w:szCs w:val="16"/>
                <w:color w:val="auto"/>
              </w:rPr>
            </w:pPr>
          </w:p>
        </w:tc>
        <w:tc>
          <w:tcPr>
            <w:tcW w:w="94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110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140" w:type="dxa"/>
            <w:vAlign w:val="bottom"/>
            <w:tcBorders>
              <w:bottom w:val="single" w:sz="8" w:color="F0FFFF"/>
            </w:tcBorders>
            <w:shd w:val="clear" w:color="auto" w:fill="F0FFFF"/>
          </w:tcPr>
          <w:p>
            <w:pPr>
              <w:spacing w:after="0"/>
              <w:rPr>
                <w:sz w:val="16"/>
                <w:szCs w:val="16"/>
                <w:color w:val="auto"/>
              </w:rPr>
            </w:pPr>
          </w:p>
        </w:tc>
        <w:tc>
          <w:tcPr>
            <w:tcW w:w="104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240" w:type="dxa"/>
            <w:vAlign w:val="bottom"/>
            <w:tcBorders>
              <w:bottom w:val="single" w:sz="8" w:color="F0FFFF"/>
            </w:tcBorders>
            <w:shd w:val="clear" w:color="auto" w:fill="F0FFFF"/>
          </w:tcPr>
          <w:p>
            <w:pPr>
              <w:spacing w:after="0"/>
              <w:rPr>
                <w:sz w:val="16"/>
                <w:szCs w:val="16"/>
                <w:color w:val="auto"/>
              </w:rPr>
            </w:pPr>
          </w:p>
        </w:tc>
        <w:tc>
          <w:tcPr>
            <w:tcW w:w="94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Owner occupied commercial real estate</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1,094,057</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50,534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1,163,480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560,559</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16,701</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21,277</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598,537</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696,805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710,256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48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190,070</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2,311</w:t>
            </w:r>
          </w:p>
        </w:tc>
        <w:tc>
          <w:tcPr>
            <w:tcW w:w="2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3,649</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196,030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Total commercial</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2,541,491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41,918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84,894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2,668,303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814,168</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11,594</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40,027</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865,789</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459,881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465,872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280,166</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5,535</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12,926</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298,627</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103,383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104,899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Indirect auto</w:t>
            </w:r>
          </w:p>
        </w:tc>
        <w:tc>
          <w:tcPr>
            <w:tcW w:w="48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267,709</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268,629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4,466,798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59,047</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4,672,119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150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3"/>
            <w:shd w:val="clear" w:color="auto" w:fill="F0FFFF"/>
          </w:tcPr>
          <w:p>
            <w:pPr>
              <w:spacing w:after="0" w:line="170" w:lineRule="exact"/>
              <w:rPr>
                <w:sz w:val="20"/>
                <w:szCs w:val="20"/>
                <w:color w:val="auto"/>
              </w:rPr>
            </w:pPr>
            <w:r>
              <w:rPr>
                <w:rFonts w:ascii="Arial" w:cs="Arial" w:eastAsia="Arial" w:hAnsi="Arial"/>
                <w:sz w:val="18"/>
                <w:szCs w:val="18"/>
                <w:b w:val="1"/>
                <w:bCs w:val="1"/>
                <w:color w:val="auto"/>
              </w:rPr>
              <w:t>As of September 30, 2014</w:t>
            </w:r>
          </w:p>
        </w:tc>
        <w:tc>
          <w:tcPr>
            <w:tcW w:w="4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94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880" w:type="dxa"/>
            <w:vAlign w:val="bottom"/>
            <w:tcBorders>
              <w:top w:val="single" w:sz="8" w:color="auto"/>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1500" w:type="dxa"/>
            <w:vAlign w:val="bottom"/>
            <w:tcBorders>
              <w:top w:val="single" w:sz="8" w:color="F0FFFF"/>
            </w:tcBorders>
            <w:shd w:val="clear" w:color="auto" w:fill="F0FFFF"/>
          </w:tcPr>
          <w:p>
            <w:pPr>
              <w:spacing w:after="0" w:line="20" w:lineRule="exact"/>
              <w:rPr>
                <w:sz w:val="1"/>
                <w:szCs w:val="1"/>
                <w:color w:val="auto"/>
              </w:rPr>
            </w:pPr>
          </w:p>
        </w:tc>
        <w:tc>
          <w:tcPr>
            <w:tcW w:w="4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Owner occupied commercial real estate</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1,076,822</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1,153,933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563,451</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17,319</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23,957</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604,727</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637,160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649,853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48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174,443</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2,356</w:t>
            </w:r>
          </w:p>
        </w:tc>
        <w:tc>
          <w:tcPr>
            <w:tcW w:w="2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3,995</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180,794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Total commercial</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2,451,876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48,375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89,056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2,589,307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803,937</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10,300</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51,331</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865,568</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458,819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284,491</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7,389</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15,298</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307,178</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105,345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Indirect auto</w:t>
            </w:r>
          </w:p>
        </w:tc>
        <w:tc>
          <w:tcPr>
            <w:tcW w:w="48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242,315</w:t>
            </w:r>
          </w:p>
        </w:tc>
        <w:tc>
          <w:tcPr>
            <w:tcW w:w="2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242,669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4,335,105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66,064</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167,717</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4,568,886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8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5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gridSpan w:val="2"/>
          </w:tcPr>
          <w:p>
            <w:pPr>
              <w:ind w:left="220"/>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Consumer Purpose Loans. </w:t>
      </w:r>
      <w:r>
        <w:rPr>
          <w:rFonts w:ascii="Arial" w:cs="Arial" w:eastAsia="Arial" w:hAnsi="Arial"/>
          <w:sz w:val="16"/>
          <w:szCs w:val="16"/>
          <w:color w:val="auto"/>
        </w:rPr>
        <w:t>United applies a pass / fail grading system to all consumer purpose loans. Under the pass / fail grading system, consumer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loans meeting the criteria of substandard are classified as “fail” and all other loans are classified as “pass”. For reporting purposes, consumer purpose loans classified as “fail” are reported in the performing substandard or nonaccrual columns and all other consumer purpose loans are reported in the “pass” column. Loan balances reported in the “watch” column for residential mortgage are generally commercial purpose loans secured by the borrower’s residence.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Servicing Rights for Government Guaranteed Loans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accounts for servicing rights for government guaranteed loans serviced for others at fair value and includes them in other assets. Changes in the balances of servicing assets and servicing liabilities subsequently measured using the fair value measurement method for the three and nine months ended September 30, 2015 and 2014 are recorded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8"/>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82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F0FFFF"/>
            </w:tcBorders>
          </w:tcPr>
          <w:p>
            <w:pPr>
              <w:spacing w:after="0"/>
              <w:rPr>
                <w:sz w:val="20"/>
                <w:szCs w:val="20"/>
                <w:color w:val="auto"/>
              </w:rPr>
            </w:pPr>
          </w:p>
        </w:tc>
        <w:tc>
          <w:tcPr>
            <w:tcW w:w="100" w:type="dxa"/>
            <w:vAlign w:val="bottom"/>
            <w:tcBorders>
              <w:top w:val="single" w:sz="8" w:color="auto"/>
              <w:bottom w:val="single" w:sz="8" w:color="F0FF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F0FFFF"/>
            </w:tcBorders>
          </w:tcPr>
          <w:p>
            <w:pPr>
              <w:spacing w:after="0"/>
              <w:rPr>
                <w:sz w:val="20"/>
                <w:szCs w:val="20"/>
                <w:color w:val="auto"/>
              </w:rPr>
            </w:pPr>
          </w:p>
        </w:tc>
        <w:tc>
          <w:tcPr>
            <w:tcW w:w="80" w:type="dxa"/>
            <w:vAlign w:val="bottom"/>
            <w:tcBorders>
              <w:top w:val="single" w:sz="8" w:color="auto"/>
              <w:bottom w:val="single" w:sz="8" w:color="F0FF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0"/>
                <w:szCs w:val="20"/>
                <w:color w:val="auto"/>
              </w:rPr>
            </w:pPr>
          </w:p>
        </w:tc>
        <w:tc>
          <w:tcPr>
            <w:tcW w:w="560" w:type="dxa"/>
            <w:vAlign w:val="bottom"/>
          </w:tcPr>
          <w:p>
            <w:pPr>
              <w:spacing w:after="0"/>
              <w:rPr>
                <w:sz w:val="20"/>
                <w:szCs w:val="20"/>
                <w:color w:val="auto"/>
              </w:rPr>
            </w:pPr>
          </w:p>
        </w:tc>
      </w:tr>
      <w:tr>
        <w:trPr>
          <w:trHeight w:val="188"/>
        </w:trPr>
        <w:tc>
          <w:tcPr>
            <w:tcW w:w="580" w:type="dxa"/>
            <w:vAlign w:val="bottom"/>
          </w:tcPr>
          <w:p>
            <w:pPr>
              <w:spacing w:after="0"/>
              <w:rPr>
                <w:sz w:val="16"/>
                <w:szCs w:val="16"/>
                <w:color w:val="auto"/>
              </w:rPr>
            </w:pPr>
          </w:p>
        </w:tc>
        <w:tc>
          <w:tcPr>
            <w:tcW w:w="4820" w:type="dxa"/>
            <w:vAlign w:val="bottom"/>
            <w:shd w:val="clear" w:color="auto" w:fill="F0FFFF"/>
          </w:tcPr>
          <w:p>
            <w:pPr>
              <w:spacing w:after="0" w:line="189" w:lineRule="exact"/>
              <w:rPr>
                <w:sz w:val="20"/>
                <w:szCs w:val="20"/>
                <w:color w:val="auto"/>
              </w:rPr>
            </w:pPr>
            <w:r>
              <w:rPr>
                <w:rFonts w:ascii="Arial" w:cs="Arial" w:eastAsia="Arial" w:hAnsi="Arial"/>
                <w:sz w:val="18"/>
                <w:szCs w:val="18"/>
                <w:color w:val="auto"/>
                <w:w w:val="95"/>
              </w:rPr>
              <w:t>Servicing rights for government guaranteed loans, beginning of</w:t>
            </w:r>
          </w:p>
        </w:tc>
        <w:tc>
          <w:tcPr>
            <w:tcW w:w="22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8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period</w:t>
            </w:r>
          </w:p>
        </w:tc>
        <w:tc>
          <w:tcPr>
            <w:tcW w:w="520" w:type="dxa"/>
            <w:vAlign w:val="bottom"/>
            <w:gridSpan w:val="2"/>
            <w:shd w:val="clear" w:color="auto" w:fill="F0FF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F0FFFF"/>
          </w:tcPr>
          <w:p>
            <w:pPr>
              <w:spacing w:after="0"/>
              <w:rPr>
                <w:sz w:val="20"/>
                <w:szCs w:val="20"/>
                <w:color w:val="auto"/>
              </w:rPr>
            </w:pPr>
          </w:p>
        </w:tc>
        <w:tc>
          <w:tcPr>
            <w:tcW w:w="3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shd w:val="clear" w:color="auto" w:fill="F0FFFF"/>
          </w:tcPr>
          <w:p>
            <w:pPr>
              <w:spacing w:after="0"/>
              <w:rPr>
                <w:sz w:val="20"/>
                <w:szCs w:val="20"/>
                <w:color w:val="auto"/>
              </w:rPr>
            </w:pP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Acquired servicing rights</w:t>
            </w: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Originated servicing rights capitalized upon sale on loans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20" w:type="dxa"/>
            <w:vAlign w:val="bottom"/>
            <w:shd w:val="clear" w:color="auto" w:fill="F0FFFF"/>
          </w:tcPr>
          <w:p>
            <w:pPr>
              <w:spacing w:after="0"/>
              <w:rPr>
                <w:sz w:val="20"/>
                <w:szCs w:val="20"/>
                <w:color w:val="auto"/>
              </w:rPr>
            </w:pPr>
            <w:r>
              <w:rPr>
                <w:rFonts w:ascii="Arial" w:cs="Arial" w:eastAsia="Arial" w:hAnsi="Arial"/>
                <w:sz w:val="18"/>
                <w:szCs w:val="18"/>
                <w:color w:val="auto"/>
              </w:rPr>
              <w:t>Changes in fair value:</w:t>
            </w: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4820" w:type="dxa"/>
            <w:vAlign w:val="bottom"/>
          </w:tcPr>
          <w:p>
            <w:pPr>
              <w:ind w:left="160"/>
              <w:spacing w:after="0" w:line="201" w:lineRule="exact"/>
              <w:rPr>
                <w:sz w:val="20"/>
                <w:szCs w:val="20"/>
                <w:color w:val="auto"/>
              </w:rPr>
            </w:pPr>
            <w:r>
              <w:rPr>
                <w:rFonts w:ascii="Arial" w:cs="Arial" w:eastAsia="Arial" w:hAnsi="Arial"/>
                <w:sz w:val="18"/>
                <w:szCs w:val="18"/>
                <w:color w:val="auto"/>
              </w:rPr>
              <w:t>Due to change in valuation inputs or assumptions used in</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1"/>
        </w:trPr>
        <w:tc>
          <w:tcPr>
            <w:tcW w:w="580" w:type="dxa"/>
            <w:vAlign w:val="bottom"/>
          </w:tcPr>
          <w:p>
            <w:pPr>
              <w:spacing w:after="0"/>
              <w:rPr>
                <w:sz w:val="21"/>
                <w:szCs w:val="21"/>
                <w:color w:val="auto"/>
              </w:rPr>
            </w:pPr>
          </w:p>
        </w:tc>
        <w:tc>
          <w:tcPr>
            <w:tcW w:w="4820" w:type="dxa"/>
            <w:vAlign w:val="bottom"/>
          </w:tcPr>
          <w:p>
            <w:pPr>
              <w:ind w:left="300"/>
              <w:spacing w:after="0"/>
              <w:rPr>
                <w:sz w:val="20"/>
                <w:szCs w:val="20"/>
                <w:color w:val="auto"/>
              </w:rPr>
            </w:pPr>
            <w:r>
              <w:rPr>
                <w:rFonts w:ascii="Arial" w:cs="Arial" w:eastAsia="Arial" w:hAnsi="Arial"/>
                <w:sz w:val="18"/>
                <w:szCs w:val="18"/>
                <w:color w:val="auto"/>
              </w:rPr>
              <w:t>valuation model</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1"/>
                <w:szCs w:val="21"/>
                <w:color w:val="auto"/>
              </w:rPr>
            </w:pPr>
          </w:p>
        </w:tc>
      </w:tr>
      <w:tr>
        <w:trPr>
          <w:trHeight w:val="255"/>
        </w:trPr>
        <w:tc>
          <w:tcPr>
            <w:tcW w:w="580" w:type="dxa"/>
            <w:vAlign w:val="bottom"/>
          </w:tcPr>
          <w:p>
            <w:pPr>
              <w:spacing w:after="0"/>
              <w:rPr>
                <w:sz w:val="21"/>
                <w:szCs w:val="21"/>
                <w:color w:val="auto"/>
              </w:rPr>
            </w:pPr>
          </w:p>
        </w:tc>
        <w:tc>
          <w:tcPr>
            <w:tcW w:w="48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w w:val="94"/>
              </w:rPr>
              <w:t>Servicing rights for government guaranteed loans, end of period</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2"/>
        </w:trPr>
        <w:tc>
          <w:tcPr>
            <w:tcW w:w="580" w:type="dxa"/>
            <w:vAlign w:val="bottom"/>
            <w:tcBorders>
              <w:bottom w:val="single" w:sz="8" w:color="DCDCDC"/>
            </w:tcBorders>
          </w:tcPr>
          <w:p>
            <w:pPr>
              <w:spacing w:after="0"/>
              <w:rPr>
                <w:sz w:val="24"/>
                <w:szCs w:val="24"/>
                <w:color w:val="auto"/>
              </w:rPr>
            </w:pPr>
          </w:p>
        </w:tc>
        <w:tc>
          <w:tcPr>
            <w:tcW w:w="482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gridSpan w:val="2"/>
          </w:tcPr>
          <w:p>
            <w:pPr>
              <w:ind w:left="240"/>
              <w:spacing w:after="0"/>
              <w:rPr>
                <w:sz w:val="20"/>
                <w:szCs w:val="20"/>
                <w:color w:val="auto"/>
              </w:rPr>
            </w:pPr>
            <w:r>
              <w:rPr>
                <w:rFonts w:ascii="Arial" w:cs="Arial" w:eastAsia="Arial" w:hAnsi="Arial"/>
                <w:sz w:val="18"/>
                <w:szCs w:val="18"/>
                <w:color w:val="auto"/>
              </w:rPr>
              <w:t>27</w:t>
            </w:r>
          </w:p>
        </w:tc>
        <w:tc>
          <w:tcPr>
            <w:tcW w:w="8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summary of the key characteristics, inputs, and economic assumptions used to estimate the fair value of the Company’s government guaranteed servicing assets as of September 30, 2015 and December 31, 2014, and the sensitivity of the fair values to immediate adverse changes in those assumptions are shown in the table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Sensitivity of the Servicing Rights For Government Guaranteed Loans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w:t>
            </w:r>
          </w:p>
        </w:tc>
        <w:tc>
          <w:tcPr>
            <w:tcW w:w="60" w:type="dxa"/>
            <w:vAlign w:val="bottom"/>
          </w:tcPr>
          <w:p>
            <w:pPr>
              <w:spacing w:after="0"/>
              <w:rPr>
                <w:sz w:val="19"/>
                <w:szCs w:val="19"/>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Pr>
          <w:p>
            <w:pPr>
              <w:spacing w:after="0"/>
              <w:rPr>
                <w:sz w:val="20"/>
                <w:szCs w:val="20"/>
                <w:color w:val="auto"/>
              </w:rPr>
            </w:pPr>
          </w:p>
        </w:tc>
        <w:tc>
          <w:tcPr>
            <w:tcW w:w="4520" w:type="dxa"/>
            <w:vAlign w:val="bottom"/>
            <w:tcBorders>
              <w:bottom w:val="single" w:sz="8" w:color="F0FFFF"/>
            </w:tcBorders>
          </w:tcPr>
          <w:p>
            <w:pPr>
              <w:spacing w:after="0"/>
              <w:rPr>
                <w:sz w:val="20"/>
                <w:szCs w:val="20"/>
                <w:color w:val="auto"/>
              </w:rPr>
            </w:pPr>
          </w:p>
        </w:tc>
        <w:tc>
          <w:tcPr>
            <w:tcW w:w="182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F0FF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Fair value of retained servicing assets</w:t>
            </w:r>
          </w:p>
        </w:tc>
        <w:tc>
          <w:tcPr>
            <w:tcW w:w="18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3,331</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Prepayment rate assumption</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r>
      <w:tr>
        <w:trPr>
          <w:trHeight w:val="216"/>
        </w:trPr>
        <w:tc>
          <w:tcPr>
            <w:tcW w:w="20" w:type="dxa"/>
            <w:vAlign w:val="bottom"/>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10% adverse change</w:t>
            </w:r>
          </w:p>
        </w:tc>
        <w:tc>
          <w:tcPr>
            <w:tcW w:w="206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 adverse change</w:t>
            </w:r>
          </w:p>
        </w:tc>
        <w:tc>
          <w:tcPr>
            <w:tcW w:w="20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Discount rate</w:t>
            </w:r>
          </w:p>
        </w:tc>
        <w:tc>
          <w:tcPr>
            <w:tcW w:w="1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100 bps adverse change</w:t>
            </w:r>
          </w:p>
        </w:tc>
        <w:tc>
          <w:tcPr>
            <w:tcW w:w="20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200bps adverse change</w:t>
            </w:r>
          </w:p>
        </w:tc>
        <w:tc>
          <w:tcPr>
            <w:tcW w:w="206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(225)</w:t>
            </w:r>
          </w:p>
        </w:tc>
        <w:tc>
          <w:tcPr>
            <w:tcW w:w="30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Weighted-average life (months)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Weighted-average gross margin</w:t>
            </w:r>
          </w:p>
        </w:tc>
        <w:tc>
          <w:tcPr>
            <w:tcW w:w="1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three and nine months ended September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904" w:right="239"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Details about Accumulated Other</w:t>
      </w:r>
    </w:p>
    <w:p>
      <w:pPr>
        <w:spacing w:after="0" w:line="42"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Comprehensive Income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2410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Realized gains on sales of available-for-sale securities: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760"/>
        <w:spacing w:after="0"/>
        <w:rPr>
          <w:sz w:val="20"/>
          <w:szCs w:val="20"/>
          <w:color w:val="auto"/>
        </w:rPr>
      </w:pPr>
      <w:r>
        <w:rPr>
          <w:rFonts w:ascii="Arial" w:cs="Arial" w:eastAsia="Arial" w:hAnsi="Arial"/>
          <w:sz w:val="14"/>
          <w:szCs w:val="14"/>
          <w:b w:val="1"/>
          <w:bCs w:val="1"/>
          <w:color w:val="auto"/>
        </w:rPr>
        <w:t>Amounts Reclassified from Accumulated Other</w:t>
      </w:r>
    </w:p>
    <w:p>
      <w:pPr>
        <w:jc w:val="center"/>
        <w:ind w:right="3740"/>
        <w:spacing w:after="0" w:line="236" w:lineRule="auto"/>
        <w:rPr>
          <w:sz w:val="20"/>
          <w:szCs w:val="20"/>
          <w:color w:val="auto"/>
        </w:rPr>
      </w:pPr>
      <w:r>
        <w:rPr>
          <w:rFonts w:ascii="Arial" w:cs="Arial" w:eastAsia="Arial" w:hAnsi="Arial"/>
          <w:sz w:val="14"/>
          <w:szCs w:val="14"/>
          <w:b w:val="1"/>
          <w:bCs w:val="1"/>
          <w:color w:val="auto"/>
        </w:rPr>
        <w:t>Comprehensive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120" w:type="dxa"/>
            <w:vAlign w:val="bottom"/>
            <w:tcBorders>
              <w:top w:val="single" w:sz="8" w:color="auto"/>
            </w:tcBorders>
            <w:gridSpan w:val="7"/>
          </w:tcPr>
          <w:p>
            <w:pPr>
              <w:jc w:val="right"/>
              <w:ind w:right="280"/>
              <w:spacing w:after="0" w:line="133" w:lineRule="exact"/>
              <w:rPr>
                <w:sz w:val="20"/>
                <w:szCs w:val="20"/>
                <w:color w:val="auto"/>
              </w:rPr>
            </w:pPr>
            <w:r>
              <w:rPr>
                <w:rFonts w:ascii="Arial" w:cs="Arial" w:eastAsia="Arial" w:hAnsi="Arial"/>
                <w:sz w:val="14"/>
                <w:szCs w:val="14"/>
                <w:b w:val="1"/>
                <w:bCs w:val="1"/>
                <w:color w:val="auto"/>
                <w:w w:val="95"/>
              </w:rPr>
              <w:t>For the Three Months Ended</w:t>
            </w:r>
          </w:p>
        </w:tc>
        <w:tc>
          <w:tcPr>
            <w:tcW w:w="1780" w:type="dxa"/>
            <w:vAlign w:val="bottom"/>
            <w:tcBorders>
              <w:top w:val="single" w:sz="8" w:color="auto"/>
            </w:tcBorders>
            <w:gridSpan w:val="5"/>
          </w:tcPr>
          <w:p>
            <w:pPr>
              <w:jc w:val="right"/>
              <w:spacing w:after="0" w:line="133" w:lineRule="exact"/>
              <w:rPr>
                <w:sz w:val="20"/>
                <w:szCs w:val="20"/>
                <w:color w:val="auto"/>
              </w:rPr>
            </w:pPr>
            <w:r>
              <w:rPr>
                <w:rFonts w:ascii="Arial" w:cs="Arial" w:eastAsia="Arial" w:hAnsi="Arial"/>
                <w:sz w:val="14"/>
                <w:szCs w:val="14"/>
                <w:b w:val="1"/>
                <w:bCs w:val="1"/>
                <w:color w:val="auto"/>
                <w:w w:val="94"/>
              </w:rPr>
              <w:t>For the Nine Months Ended</w:t>
            </w:r>
          </w:p>
        </w:tc>
        <w:tc>
          <w:tcPr>
            <w:tcW w:w="1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Item in the Statement</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1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7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427"/>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325</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160" w:type="dxa"/>
            <w:vAlign w:val="bottom"/>
          </w:tcPr>
          <w:p>
            <w:pPr>
              <w:jc w:val="right"/>
              <w:ind w:right="4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1,877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4,663</w:t>
            </w:r>
          </w:p>
        </w:tc>
        <w:tc>
          <w:tcPr>
            <w:tcW w:w="12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4"/>
                <w:szCs w:val="14"/>
                <w:color w:val="auto"/>
              </w:rPr>
              <w:t>Securities gains, net</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(724)</w:t>
            </w:r>
          </w:p>
        </w:tc>
        <w:tc>
          <w:tcPr>
            <w:tcW w:w="16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(1,821)</w:t>
            </w:r>
          </w:p>
        </w:tc>
        <w:tc>
          <w:tcPr>
            <w:tcW w:w="3600" w:type="dxa"/>
            <w:vAlign w:val="bottom"/>
            <w:gridSpan w:val="2"/>
          </w:tcPr>
          <w:p>
            <w:pPr>
              <w:ind w:left="80"/>
              <w:spacing w:after="0"/>
              <w:rPr>
                <w:sz w:val="20"/>
                <w:szCs w:val="20"/>
                <w:color w:val="auto"/>
              </w:rPr>
            </w:pPr>
            <w:r>
              <w:rPr>
                <w:rFonts w:ascii="Arial" w:cs="Arial" w:eastAsia="Arial" w:hAnsi="Arial"/>
                <w:sz w:val="14"/>
                <w:szCs w:val="14"/>
                <w:color w:val="auto"/>
              </w:rPr>
              <w:t>Tax expense</w:t>
            </w:r>
          </w:p>
        </w:tc>
        <w:tc>
          <w:tcPr>
            <w:tcW w:w="0" w:type="dxa"/>
            <w:vAlign w:val="bottom"/>
          </w:tcPr>
          <w:p>
            <w:pPr>
              <w:spacing w:after="0"/>
              <w:rPr>
                <w:sz w:val="1"/>
                <w:szCs w:val="1"/>
                <w:color w:val="auto"/>
              </w:rPr>
            </w:pPr>
          </w:p>
        </w:tc>
      </w:tr>
      <w:tr>
        <w:trPr>
          <w:trHeight w:val="162"/>
        </w:trPr>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1,153</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2,842</w:t>
            </w:r>
          </w:p>
        </w:tc>
        <w:tc>
          <w:tcPr>
            <w:tcW w:w="120" w:type="dxa"/>
            <w:vAlign w:val="bottom"/>
          </w:tcPr>
          <w:p>
            <w:pPr>
              <w:spacing w:after="0"/>
              <w:rPr>
                <w:sz w:val="14"/>
                <w:szCs w:val="14"/>
                <w:color w:val="auto"/>
              </w:rPr>
            </w:pPr>
          </w:p>
        </w:tc>
        <w:tc>
          <w:tcPr>
            <w:tcW w:w="36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-445135</wp:posOffset>
            </wp:positionV>
            <wp:extent cx="724662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-256540</wp:posOffset>
            </wp:positionV>
            <wp:extent cx="724662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60" w:space="620"/>
            <w:col w:w="7640"/>
          </w:cols>
          <w:pgMar w:left="240" w:top="904" w:right="239" w:bottom="586"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vMerge w:val="restart"/>
          </w:tcPr>
          <w:p>
            <w:pPr>
              <w:spacing w:after="0"/>
              <w:rPr>
                <w:sz w:val="11"/>
                <w:szCs w:val="11"/>
                <w:color w:val="auto"/>
              </w:rPr>
            </w:pPr>
          </w:p>
        </w:tc>
        <w:tc>
          <w:tcPr>
            <w:tcW w:w="4600" w:type="dxa"/>
            <w:vAlign w:val="bottom"/>
            <w:gridSpan w:val="3"/>
            <w:shd w:val="clear" w:color="auto" w:fill="F0FFFF"/>
          </w:tcPr>
          <w:p>
            <w:pPr>
              <w:spacing w:after="0"/>
              <w:rPr>
                <w:sz w:val="11"/>
                <w:szCs w:val="11"/>
                <w:color w:val="auto"/>
              </w:rPr>
            </w:pPr>
          </w:p>
        </w:tc>
        <w:tc>
          <w:tcPr>
            <w:tcW w:w="240" w:type="dxa"/>
            <w:vAlign w:val="bottom"/>
            <w:gridSpan w:val="2"/>
            <w:shd w:val="clear" w:color="auto" w:fill="F0FFFF"/>
          </w:tcPr>
          <w:p>
            <w:pPr>
              <w:spacing w:after="0"/>
              <w:rPr>
                <w:sz w:val="11"/>
                <w:szCs w:val="11"/>
                <w:color w:val="auto"/>
              </w:rPr>
            </w:pPr>
          </w:p>
        </w:tc>
        <w:tc>
          <w:tcPr>
            <w:tcW w:w="820" w:type="dxa"/>
            <w:vAlign w:val="bottom"/>
            <w:gridSpan w:val="2"/>
            <w:shd w:val="clear" w:color="auto" w:fill="F0FFFF"/>
          </w:tcPr>
          <w:p>
            <w:pPr>
              <w:spacing w:after="0"/>
              <w:rPr>
                <w:sz w:val="11"/>
                <w:szCs w:val="11"/>
                <w:color w:val="auto"/>
              </w:rPr>
            </w:pPr>
          </w:p>
        </w:tc>
        <w:tc>
          <w:tcPr>
            <w:tcW w:w="1000" w:type="dxa"/>
            <w:vAlign w:val="bottom"/>
            <w:gridSpan w:val="3"/>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6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gridSpan w:val="11"/>
          </w:tcPr>
          <w:p>
            <w:pPr>
              <w:spacing w:after="0" w:line="149" w:lineRule="exact"/>
              <w:rPr>
                <w:sz w:val="20"/>
                <w:szCs w:val="20"/>
                <w:color w:val="auto"/>
              </w:rPr>
            </w:pPr>
            <w:r>
              <w:rPr>
                <w:rFonts w:ascii="Arial" w:cs="Arial" w:eastAsia="Arial" w:hAnsi="Arial"/>
                <w:sz w:val="14"/>
                <w:szCs w:val="14"/>
                <w:color w:val="auto"/>
                <w:w w:val="96"/>
              </w:rPr>
              <w:t>Amortization of (losses) gains included in net income on available-for-sale securities transferred to held to maturity:</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F0FFFF"/>
          </w:tcPr>
          <w:p>
            <w:pPr>
              <w:spacing w:after="0"/>
              <w:rPr>
                <w:sz w:val="12"/>
                <w:szCs w:val="12"/>
                <w:color w:val="auto"/>
              </w:rPr>
            </w:pPr>
          </w:p>
        </w:tc>
        <w:tc>
          <w:tcPr>
            <w:tcW w:w="320" w:type="dxa"/>
            <w:vAlign w:val="bottom"/>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FFF"/>
          </w:tcPr>
          <w:p>
            <w:pPr>
              <w:jc w:val="right"/>
              <w:ind w:right="59"/>
              <w:spacing w:after="0" w:line="149" w:lineRule="exact"/>
              <w:rPr>
                <w:sz w:val="20"/>
                <w:szCs w:val="20"/>
                <w:color w:val="auto"/>
              </w:rPr>
            </w:pPr>
            <w:r>
              <w:rPr>
                <w:rFonts w:ascii="Arial" w:cs="Arial" w:eastAsia="Arial" w:hAnsi="Arial"/>
                <w:sz w:val="14"/>
                <w:szCs w:val="14"/>
                <w:color w:val="auto"/>
              </w:rPr>
              <w:t>(269)</w:t>
            </w:r>
          </w:p>
        </w:tc>
        <w:tc>
          <w:tcPr>
            <w:tcW w:w="420" w:type="dxa"/>
            <w:vAlign w:val="bottom"/>
            <w:gridSpan w:val="2"/>
            <w:shd w:val="clear" w:color="auto" w:fill="F0FF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(468)</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(1,041)</w:t>
            </w:r>
          </w:p>
        </w:tc>
        <w:tc>
          <w:tcPr>
            <w:tcW w:w="320" w:type="dxa"/>
            <w:vAlign w:val="bottom"/>
            <w:shd w:val="clear" w:color="auto" w:fill="F0FFFF"/>
          </w:tcPr>
          <w:p>
            <w:pPr>
              <w:jc w:val="right"/>
              <w:ind w:right="209"/>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(1,207)</w:t>
            </w:r>
          </w:p>
        </w:tc>
        <w:tc>
          <w:tcPr>
            <w:tcW w:w="3600" w:type="dxa"/>
            <w:vAlign w:val="bottom"/>
            <w:shd w:val="clear" w:color="auto" w:fill="F0FFFF"/>
          </w:tcPr>
          <w:p>
            <w:pPr>
              <w:ind w:left="80"/>
              <w:spacing w:after="0" w:line="149" w:lineRule="exact"/>
              <w:rPr>
                <w:sz w:val="20"/>
                <w:szCs w:val="20"/>
                <w:color w:val="auto"/>
              </w:rPr>
            </w:pPr>
            <w:r>
              <w:rPr>
                <w:rFonts w:ascii="Arial" w:cs="Arial" w:eastAsia="Arial" w:hAnsi="Arial"/>
                <w:sz w:val="14"/>
                <w:szCs w:val="14"/>
                <w:color w:val="auto"/>
              </w:rPr>
              <w:t>Investment securities interest revenue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99"/>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760" w:type="dxa"/>
            <w:vAlign w:val="bottom"/>
            <w:tcBorders>
              <w:top w:val="single" w:sz="8" w:color="F0FFFF"/>
              <w:bottom w:val="single" w:sz="8" w:color="F0FFFF"/>
            </w:tcBorders>
            <w:shd w:val="clear" w:color="auto" w:fill="F0FFFF"/>
          </w:tcPr>
          <w:p>
            <w:pPr>
              <w:spacing w:after="0"/>
              <w:rPr>
                <w:sz w:val="15"/>
                <w:szCs w:val="15"/>
                <w:color w:val="auto"/>
              </w:rPr>
            </w:pPr>
          </w:p>
        </w:tc>
        <w:tc>
          <w:tcPr>
            <w:tcW w:w="320" w:type="dxa"/>
            <w:vAlign w:val="bottom"/>
            <w:tcBorders>
              <w:top w:val="single" w:sz="8" w:color="auto"/>
              <w:bottom w:val="single" w:sz="8" w:color="auto"/>
            </w:tcBorders>
            <w:shd w:val="clear" w:color="auto" w:fill="F0FFFF"/>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(170</w:t>
            </w:r>
          </w:p>
        </w:tc>
        <w:tc>
          <w:tcPr>
            <w:tcW w:w="140" w:type="dxa"/>
            <w:vAlign w:val="bottom"/>
            <w:tcBorders>
              <w:top w:val="single" w:sz="8" w:color="F0FFFF"/>
              <w:bottom w:val="single" w:sz="8" w:color="F0FFFF"/>
            </w:tcBorders>
            <w:shd w:val="clear" w:color="auto" w:fill="F0FFFF"/>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320" w:type="dxa"/>
            <w:vAlign w:val="bottom"/>
            <w:tcBorders>
              <w:top w:val="single" w:sz="8" w:color="auto"/>
              <w:bottom w:val="single" w:sz="8" w:color="auto"/>
            </w:tcBorders>
            <w:shd w:val="clear" w:color="auto" w:fill="F0FFFF"/>
          </w:tcPr>
          <w:p>
            <w:pPr>
              <w:jc w:val="right"/>
              <w:ind w:right="20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(292</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(654</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shd w:val="clear" w:color="auto" w:fill="F0FFFF"/>
          </w:tcPr>
          <w:p>
            <w:pPr>
              <w:jc w:val="right"/>
              <w:ind w:right="2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(754</w:t>
            </w:r>
          </w:p>
        </w:tc>
        <w:tc>
          <w:tcPr>
            <w:tcW w:w="140" w:type="dxa"/>
            <w:vAlign w:val="bottom"/>
            <w:tcBorders>
              <w:top w:val="single" w:sz="8" w:color="F0FFFF"/>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8"/>
                <w:szCs w:val="8"/>
                <w:color w:val="auto"/>
                <w:w w:val="73"/>
              </w:rPr>
              <w:t>)</w:t>
            </w:r>
          </w:p>
        </w:tc>
        <w:tc>
          <w:tcPr>
            <w:tcW w:w="360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F0FFFF"/>
            </w:tcBorders>
            <w:gridSpan w:val="3"/>
          </w:tcPr>
          <w:p>
            <w:pPr>
              <w:spacing w:after="0" w:line="20" w:lineRule="exact"/>
              <w:rPr>
                <w:sz w:val="1"/>
                <w:szCs w:val="1"/>
                <w:color w:val="auto"/>
              </w:rPr>
            </w:pPr>
          </w:p>
        </w:tc>
        <w:tc>
          <w:tcPr>
            <w:tcW w:w="240" w:type="dxa"/>
            <w:vAlign w:val="bottom"/>
            <w:tcBorders>
              <w:top w:val="single" w:sz="8" w:color="F0FFFF"/>
            </w:tcBorders>
            <w:gridSpan w:val="2"/>
          </w:tcPr>
          <w:p>
            <w:pPr>
              <w:spacing w:after="0" w:line="20" w:lineRule="exact"/>
              <w:rPr>
                <w:sz w:val="1"/>
                <w:szCs w:val="1"/>
                <w:color w:val="auto"/>
              </w:rPr>
            </w:pPr>
          </w:p>
        </w:tc>
        <w:tc>
          <w:tcPr>
            <w:tcW w:w="820" w:type="dxa"/>
            <w:vAlign w:val="bottom"/>
            <w:tcBorders>
              <w:top w:val="single" w:sz="8" w:color="F0FFFF"/>
            </w:tcBorders>
            <w:gridSpan w:val="2"/>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7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gridSpan w:val="8"/>
            <w:shd w:val="clear" w:color="auto" w:fill="F0FFFF"/>
          </w:tcPr>
          <w:p>
            <w:pPr>
              <w:spacing w:after="0" w:line="149" w:lineRule="exact"/>
              <w:rPr>
                <w:sz w:val="20"/>
                <w:szCs w:val="20"/>
                <w:color w:val="auto"/>
              </w:rPr>
            </w:pPr>
            <w:r>
              <w:rPr>
                <w:rFonts w:ascii="Arial" w:cs="Arial" w:eastAsia="Arial" w:hAnsi="Arial"/>
                <w:sz w:val="14"/>
                <w:szCs w:val="14"/>
                <w:color w:val="auto"/>
                <w:w w:val="94"/>
              </w:rPr>
              <w:t>Gains included in net income on derivative financial instruments accounted for as cash flow hedges:</w:t>
            </w: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60"/>
              <w:spacing w:after="0" w:line="149" w:lineRule="exact"/>
              <w:rPr>
                <w:sz w:val="20"/>
                <w:szCs w:val="20"/>
                <w:color w:val="auto"/>
              </w:rPr>
            </w:pPr>
            <w:r>
              <w:rPr>
                <w:rFonts w:ascii="Arial" w:cs="Arial" w:eastAsia="Arial" w:hAnsi="Arial"/>
                <w:sz w:val="14"/>
                <w:szCs w:val="14"/>
                <w:color w:val="auto"/>
              </w:rPr>
              <w:t>Effective portion of interest rate contracts</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(317)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(764)</w:t>
            </w:r>
          </w:p>
        </w:tc>
        <w:tc>
          <w:tcPr>
            <w:tcW w:w="3600" w:type="dxa"/>
            <w:vAlign w:val="bottom"/>
          </w:tcPr>
          <w:p>
            <w:pPr>
              <w:ind w:left="80"/>
              <w:spacing w:after="0" w:line="149" w:lineRule="exact"/>
              <w:rPr>
                <w:sz w:val="20"/>
                <w:szCs w:val="20"/>
                <w:color w:val="auto"/>
              </w:rPr>
            </w:pPr>
            <w:r>
              <w:rPr>
                <w:rFonts w:ascii="Arial" w:cs="Arial" w:eastAsia="Arial" w:hAnsi="Arial"/>
                <w:sz w:val="14"/>
                <w:szCs w:val="14"/>
                <w:color w:val="auto"/>
              </w:rPr>
              <w:t>Time deposit interest expense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600" w:type="dxa"/>
            <w:vAlign w:val="bottom"/>
            <w:shd w:val="clear" w:color="auto" w:fill="F0FFFF"/>
          </w:tcPr>
          <w:p>
            <w:pPr>
              <w:ind w:left="80"/>
              <w:spacing w:after="0" w:line="130" w:lineRule="exact"/>
              <w:rPr>
                <w:sz w:val="20"/>
                <w:szCs w:val="20"/>
                <w:color w:val="auto"/>
              </w:rPr>
            </w:pPr>
            <w:r>
              <w:rPr>
                <w:rFonts w:ascii="Arial" w:cs="Arial" w:eastAsia="Arial" w:hAnsi="Arial"/>
                <w:sz w:val="14"/>
                <w:szCs w:val="14"/>
                <w:color w:val="auto"/>
              </w:rPr>
              <w:t>Deposits in banks and short-term investmens in interest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Amortization of losses on de-designated positions</w:t>
            </w:r>
          </w:p>
        </w:tc>
        <w:tc>
          <w:tcPr>
            <w:tcW w:w="32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5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ind w:right="139"/>
              <w:spacing w:after="0"/>
              <w:rPr>
                <w:sz w:val="20"/>
                <w:szCs w:val="20"/>
                <w:color w:val="auto"/>
              </w:rPr>
            </w:pPr>
            <w:r>
              <w:rPr>
                <w:rFonts w:ascii="Arial" w:cs="Arial" w:eastAsia="Arial" w:hAnsi="Arial"/>
                <w:sz w:val="14"/>
                <w:szCs w:val="14"/>
                <w:color w:val="auto"/>
              </w:rPr>
              <w:t>(93)</w:t>
            </w:r>
          </w:p>
        </w:tc>
        <w:tc>
          <w:tcPr>
            <w:tcW w:w="320" w:type="dxa"/>
            <w:vAlign w:val="bottom"/>
            <w:shd w:val="clear" w:color="auto" w:fill="F0FFFF"/>
          </w:tcPr>
          <w:p>
            <w:pPr>
              <w:spacing w:after="0"/>
              <w:rPr>
                <w:sz w:val="14"/>
                <w:szCs w:val="14"/>
                <w:color w:val="auto"/>
              </w:rPr>
            </w:pP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600" w:type="dxa"/>
            <w:vAlign w:val="bottom"/>
            <w:shd w:val="clear" w:color="auto" w:fill="F0FFFF"/>
          </w:tcPr>
          <w:p>
            <w:pPr>
              <w:ind w:left="8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losses on de-designated positions</w:t>
            </w:r>
          </w:p>
        </w:tc>
        <w:tc>
          <w:tcPr>
            <w:tcW w:w="320" w:type="dxa"/>
            <w:vAlign w:val="bottom"/>
          </w:tcPr>
          <w:p>
            <w:pPr>
              <w:spacing w:after="0"/>
              <w:rPr>
                <w:sz w:val="12"/>
                <w:szCs w:val="12"/>
                <w:color w:val="auto"/>
              </w:rPr>
            </w:pP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(237)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(81)</w:t>
            </w:r>
          </w:p>
        </w:tc>
        <w:tc>
          <w:tcPr>
            <w:tcW w:w="240" w:type="dxa"/>
            <w:vAlign w:val="bottom"/>
          </w:tcPr>
          <w:p>
            <w:pPr>
              <w:spacing w:after="0"/>
              <w:rPr>
                <w:sz w:val="12"/>
                <w:szCs w:val="12"/>
                <w:color w:val="auto"/>
              </w:rPr>
            </w:pPr>
          </w:p>
        </w:tc>
        <w:tc>
          <w:tcPr>
            <w:tcW w:w="7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(502)</w:t>
            </w:r>
          </w:p>
        </w:tc>
        <w:tc>
          <w:tcPr>
            <w:tcW w:w="320" w:type="dxa"/>
            <w:vAlign w:val="bottom"/>
          </w:tcPr>
          <w:p>
            <w:pPr>
              <w:spacing w:after="0"/>
              <w:rPr>
                <w:sz w:val="12"/>
                <w:szCs w:val="12"/>
                <w:color w:val="auto"/>
              </w:rPr>
            </w:pP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(105)</w:t>
            </w:r>
          </w:p>
        </w:tc>
        <w:tc>
          <w:tcPr>
            <w:tcW w:w="3600" w:type="dxa"/>
            <w:vAlign w:val="bottom"/>
          </w:tcPr>
          <w:p>
            <w:pPr>
              <w:ind w:left="80"/>
              <w:spacing w:after="0" w:line="149" w:lineRule="exact"/>
              <w:rPr>
                <w:sz w:val="20"/>
                <w:szCs w:val="20"/>
                <w:color w:val="auto"/>
              </w:rPr>
            </w:pPr>
            <w:r>
              <w:rPr>
                <w:rFonts w:ascii="Arial" w:cs="Arial" w:eastAsia="Arial" w:hAnsi="Arial"/>
                <w:sz w:val="14"/>
                <w:szCs w:val="14"/>
                <w:color w:val="auto"/>
              </w:rPr>
              <w:t>Money market deposit interest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Amortization of losses on de-designated positions</w:t>
            </w:r>
          </w:p>
        </w:tc>
        <w:tc>
          <w:tcPr>
            <w:tcW w:w="32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59"/>
              <w:spacing w:after="0" w:line="149" w:lineRule="exact"/>
              <w:rPr>
                <w:sz w:val="20"/>
                <w:szCs w:val="20"/>
                <w:color w:val="auto"/>
              </w:rPr>
            </w:pPr>
            <w:r>
              <w:rPr>
                <w:rFonts w:ascii="Arial" w:cs="Arial" w:eastAsia="Arial" w:hAnsi="Arial"/>
                <w:sz w:val="14"/>
                <w:szCs w:val="14"/>
                <w:color w:val="auto"/>
              </w:rPr>
              <w:t>(298)</w:t>
            </w:r>
          </w:p>
        </w:tc>
        <w:tc>
          <w:tcPr>
            <w:tcW w:w="10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5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(835)</w:t>
            </w:r>
          </w:p>
        </w:tc>
        <w:tc>
          <w:tcPr>
            <w:tcW w:w="320" w:type="dxa"/>
            <w:vAlign w:val="bottom"/>
            <w:shd w:val="clear" w:color="auto" w:fill="F0FFFF"/>
          </w:tcPr>
          <w:p>
            <w:pPr>
              <w:spacing w:after="0"/>
              <w:rPr>
                <w:sz w:val="12"/>
                <w:szCs w:val="12"/>
                <w:color w:val="auto"/>
              </w:rPr>
            </w:pPr>
          </w:p>
        </w:tc>
        <w:tc>
          <w:tcPr>
            <w:tcW w:w="4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0" w:type="dxa"/>
            <w:vAlign w:val="bottom"/>
            <w:shd w:val="clear" w:color="auto" w:fill="F0FFFF"/>
          </w:tcPr>
          <w:p>
            <w:pPr>
              <w:ind w:left="80"/>
              <w:spacing w:after="0" w:line="149" w:lineRule="exact"/>
              <w:rPr>
                <w:sz w:val="20"/>
                <w:szCs w:val="20"/>
                <w:color w:val="auto"/>
              </w:rPr>
            </w:pPr>
            <w:r>
              <w:rPr>
                <w:rFonts w:ascii="Arial" w:cs="Arial" w:eastAsia="Arial" w:hAnsi="Arial"/>
                <w:sz w:val="14"/>
                <w:szCs w:val="14"/>
                <w:color w:val="auto"/>
              </w:rPr>
              <w:t>Federal Home Loan Bank advances interest expense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4"/>
                <w:szCs w:val="14"/>
                <w:color w:val="auto"/>
              </w:rPr>
              <w:t>Amortization of losses on de-designated positions</w:t>
            </w:r>
          </w:p>
        </w:tc>
        <w:tc>
          <w:tcPr>
            <w:tcW w:w="320" w:type="dxa"/>
            <w:vAlign w:val="bottom"/>
          </w:tcPr>
          <w:p>
            <w:pPr>
              <w:spacing w:after="0"/>
              <w:rPr>
                <w:sz w:val="14"/>
                <w:szCs w:val="14"/>
                <w:color w:val="auto"/>
              </w:rPr>
            </w:pPr>
          </w:p>
        </w:tc>
        <w:tc>
          <w:tcPr>
            <w:tcW w:w="6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right"/>
              <w:ind w:right="139"/>
              <w:spacing w:after="0"/>
              <w:rPr>
                <w:sz w:val="20"/>
                <w:szCs w:val="20"/>
                <w:color w:val="auto"/>
              </w:rPr>
            </w:pPr>
            <w:r>
              <w:rPr>
                <w:rFonts w:ascii="Arial" w:cs="Arial" w:eastAsia="Arial" w:hAnsi="Arial"/>
                <w:sz w:val="14"/>
                <w:szCs w:val="14"/>
                <w:color w:val="auto"/>
              </w:rPr>
              <w:t>(313)</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color w:val="auto"/>
              </w:rPr>
              <w:t>(512)</w:t>
            </w:r>
          </w:p>
        </w:tc>
        <w:tc>
          <w:tcPr>
            <w:tcW w:w="3600" w:type="dxa"/>
            <w:vAlign w:val="bottom"/>
          </w:tcPr>
          <w:p>
            <w:pPr>
              <w:ind w:left="80"/>
              <w:spacing w:after="0"/>
              <w:rPr>
                <w:sz w:val="20"/>
                <w:szCs w:val="20"/>
                <w:color w:val="auto"/>
              </w:rPr>
            </w:pPr>
            <w:r>
              <w:rPr>
                <w:rFonts w:ascii="Arial" w:cs="Arial" w:eastAsia="Arial" w:hAnsi="Arial"/>
                <w:sz w:val="14"/>
                <w:szCs w:val="14"/>
                <w:color w:val="auto"/>
              </w:rPr>
              <w:t>Time deposit interest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auto"/>
            </w:tcBorders>
            <w:shd w:val="clear" w:color="auto" w:fill="F0FFFF"/>
          </w:tcPr>
          <w:p>
            <w:pPr>
              <w:spacing w:after="0"/>
              <w:rPr>
                <w:sz w:val="12"/>
                <w:szCs w:val="12"/>
                <w:color w:val="auto"/>
              </w:rPr>
            </w:pPr>
          </w:p>
        </w:tc>
        <w:tc>
          <w:tcPr>
            <w:tcW w:w="5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(550)</w:t>
            </w: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auto"/>
            </w:tcBorders>
            <w:shd w:val="clear" w:color="auto" w:fill="F0FFFF"/>
          </w:tcPr>
          <w:p>
            <w:pPr>
              <w:spacing w:after="0"/>
              <w:rPr>
                <w:sz w:val="12"/>
                <w:szCs w:val="12"/>
                <w:color w:val="auto"/>
              </w:rPr>
            </w:pPr>
          </w:p>
        </w:tc>
        <w:tc>
          <w:tcPr>
            <w:tcW w:w="5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(711)</w:t>
            </w:r>
          </w:p>
        </w:tc>
        <w:tc>
          <w:tcPr>
            <w:tcW w:w="22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(1,430)</w:t>
            </w:r>
          </w:p>
        </w:tc>
        <w:tc>
          <w:tcPr>
            <w:tcW w:w="22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auto"/>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9"/>
              </w:rPr>
              <w:t>(1,381)</w:t>
            </w:r>
          </w:p>
        </w:tc>
        <w:tc>
          <w:tcPr>
            <w:tcW w:w="140" w:type="dxa"/>
            <w:vAlign w:val="bottom"/>
            <w:tcBorders>
              <w:top w:val="single" w:sz="8" w:color="F0FFFF"/>
            </w:tcBorders>
            <w:gridSpan w:val="2"/>
            <w:shd w:val="clear" w:color="auto" w:fill="F0FFFF"/>
          </w:tcPr>
          <w:p>
            <w:pPr>
              <w:spacing w:after="0"/>
              <w:rPr>
                <w:sz w:val="12"/>
                <w:szCs w:val="12"/>
                <w:color w:val="auto"/>
              </w:rPr>
            </w:pPr>
          </w:p>
        </w:tc>
        <w:tc>
          <w:tcPr>
            <w:tcW w:w="3600" w:type="dxa"/>
            <w:vAlign w:val="bottom"/>
            <w:tcBorders>
              <w:top w:val="single" w:sz="8" w:color="F0FFFF"/>
            </w:tcBorders>
            <w:shd w:val="clear" w:color="auto" w:fill="F0FFFF"/>
          </w:tcPr>
          <w:p>
            <w:pPr>
              <w:ind w:left="80"/>
              <w:spacing w:after="0" w:line="149"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99"/>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Pr>
          <w:p>
            <w:pPr>
              <w:ind w:left="80"/>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760" w:type="dxa"/>
            <w:vAlign w:val="bottom"/>
            <w:tcBorders>
              <w:top w:val="single" w:sz="8" w:color="F0FFFF"/>
              <w:bottom w:val="single" w:sz="8" w:color="F0FFFF"/>
            </w:tcBorders>
            <w:shd w:val="clear" w:color="auto" w:fill="F0FFFF"/>
          </w:tcPr>
          <w:p>
            <w:pPr>
              <w:spacing w:after="0"/>
              <w:rPr>
                <w:sz w:val="15"/>
                <w:szCs w:val="15"/>
                <w:color w:val="auto"/>
              </w:rPr>
            </w:pPr>
          </w:p>
        </w:tc>
        <w:tc>
          <w:tcPr>
            <w:tcW w:w="320" w:type="dxa"/>
            <w:vAlign w:val="bottom"/>
            <w:tcBorders>
              <w:top w:val="single" w:sz="8" w:color="auto"/>
              <w:bottom w:val="single" w:sz="8" w:color="auto"/>
            </w:tcBorders>
            <w:shd w:val="clear" w:color="auto" w:fill="F0FFFF"/>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(336</w:t>
            </w:r>
          </w:p>
        </w:tc>
        <w:tc>
          <w:tcPr>
            <w:tcW w:w="140" w:type="dxa"/>
            <w:vAlign w:val="bottom"/>
            <w:tcBorders>
              <w:top w:val="single" w:sz="8" w:color="F0FFFF"/>
              <w:bottom w:val="single" w:sz="8" w:color="F0FFFF"/>
            </w:tcBorders>
            <w:shd w:val="clear" w:color="auto" w:fill="F0FFFF"/>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320" w:type="dxa"/>
            <w:vAlign w:val="bottom"/>
            <w:tcBorders>
              <w:top w:val="single" w:sz="8" w:color="auto"/>
              <w:bottom w:val="single" w:sz="8" w:color="auto"/>
            </w:tcBorders>
            <w:shd w:val="clear" w:color="auto" w:fill="F0FFFF"/>
          </w:tcPr>
          <w:p>
            <w:pPr>
              <w:jc w:val="right"/>
              <w:ind w:right="20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(434</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(874</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shd w:val="clear" w:color="auto" w:fill="F0FFFF"/>
          </w:tcPr>
          <w:p>
            <w:pPr>
              <w:jc w:val="right"/>
              <w:ind w:right="2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(843</w:t>
            </w:r>
          </w:p>
        </w:tc>
        <w:tc>
          <w:tcPr>
            <w:tcW w:w="140" w:type="dxa"/>
            <w:vAlign w:val="bottom"/>
            <w:tcBorders>
              <w:top w:val="single" w:sz="8" w:color="F0FFFF"/>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8"/>
                <w:szCs w:val="8"/>
                <w:color w:val="auto"/>
                <w:w w:val="73"/>
              </w:rPr>
              <w:t>)</w:t>
            </w:r>
          </w:p>
        </w:tc>
        <w:tc>
          <w:tcPr>
            <w:tcW w:w="3600" w:type="dxa"/>
            <w:vAlign w:val="bottom"/>
            <w:tcBorders>
              <w:top w:val="single" w:sz="8" w:color="F0FFFF"/>
              <w:bottom w:val="single" w:sz="8" w:color="F0FFFF"/>
            </w:tcBorders>
            <w:shd w:val="clear" w:color="auto" w:fill="F0FFFF"/>
          </w:tcPr>
          <w:p>
            <w:pPr>
              <w:ind w:left="8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F0FFFF"/>
            </w:tcBorders>
            <w:gridSpan w:val="3"/>
          </w:tcPr>
          <w:p>
            <w:pPr>
              <w:spacing w:after="0" w:line="20" w:lineRule="exact"/>
              <w:rPr>
                <w:sz w:val="1"/>
                <w:szCs w:val="1"/>
                <w:color w:val="auto"/>
              </w:rPr>
            </w:pPr>
          </w:p>
        </w:tc>
        <w:tc>
          <w:tcPr>
            <w:tcW w:w="240" w:type="dxa"/>
            <w:vAlign w:val="bottom"/>
            <w:tcBorders>
              <w:top w:val="single" w:sz="8" w:color="F0FFFF"/>
            </w:tcBorders>
            <w:gridSpan w:val="2"/>
          </w:tcPr>
          <w:p>
            <w:pPr>
              <w:spacing w:after="0" w:line="20" w:lineRule="exact"/>
              <w:rPr>
                <w:sz w:val="1"/>
                <w:szCs w:val="1"/>
                <w:color w:val="auto"/>
              </w:rPr>
            </w:pPr>
          </w:p>
        </w:tc>
        <w:tc>
          <w:tcPr>
            <w:tcW w:w="820" w:type="dxa"/>
            <w:vAlign w:val="bottom"/>
            <w:tcBorders>
              <w:top w:val="single" w:sz="8" w:color="F0FFFF"/>
            </w:tcBorders>
            <w:gridSpan w:val="2"/>
          </w:tcPr>
          <w:p>
            <w:pPr>
              <w:spacing w:after="0" w:line="20" w:lineRule="exact"/>
              <w:rPr>
                <w:sz w:val="1"/>
                <w:szCs w:val="1"/>
                <w:color w:val="auto"/>
              </w:rPr>
            </w:pPr>
          </w:p>
        </w:tc>
        <w:tc>
          <w:tcPr>
            <w:tcW w:w="1000" w:type="dxa"/>
            <w:vAlign w:val="bottom"/>
            <w:tcBorders>
              <w:top w:val="single" w:sz="8" w:color="F0FFFF"/>
            </w:tcBorders>
            <w:gridSpan w:val="3"/>
          </w:tcPr>
          <w:p>
            <w:pPr>
              <w:spacing w:after="0" w:line="20" w:lineRule="exact"/>
              <w:rPr>
                <w:sz w:val="1"/>
                <w:szCs w:val="1"/>
                <w:color w:val="auto"/>
              </w:rPr>
            </w:pPr>
          </w:p>
        </w:tc>
        <w:tc>
          <w:tcPr>
            <w:tcW w:w="540" w:type="dxa"/>
            <w:vAlign w:val="bottom"/>
            <w:tcBorders>
              <w:top w:val="single" w:sz="8" w:color="F0FFFF"/>
            </w:tcBorders>
            <w:gridSpan w:val="2"/>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7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gridSpan w:val="12"/>
            <w:shd w:val="clear" w:color="auto" w:fill="F0FFFF"/>
          </w:tcPr>
          <w:p>
            <w:pPr>
              <w:spacing w:after="0" w:line="149" w:lineRule="exact"/>
              <w:rPr>
                <w:sz w:val="20"/>
                <w:szCs w:val="20"/>
                <w:color w:val="auto"/>
              </w:rPr>
            </w:pPr>
            <w:r>
              <w:rPr>
                <w:rFonts w:ascii="Arial" w:cs="Arial" w:eastAsia="Arial" w:hAnsi="Arial"/>
                <w:sz w:val="14"/>
                <w:szCs w:val="14"/>
                <w:color w:val="auto"/>
                <w:w w:val="94"/>
              </w:rPr>
              <w:t>Amortization of prior service cost and actuarial losses included in net periodic pension cost for defined benefit pension plan</w:t>
            </w:r>
          </w:p>
        </w:tc>
        <w:tc>
          <w:tcPr>
            <w:tcW w:w="4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60"/>
              <w:spacing w:after="0" w:line="149" w:lineRule="exact"/>
              <w:rPr>
                <w:sz w:val="20"/>
                <w:szCs w:val="20"/>
                <w:color w:val="auto"/>
              </w:rPr>
            </w:pPr>
            <w:r>
              <w:rPr>
                <w:rFonts w:ascii="Arial" w:cs="Arial" w:eastAsia="Arial" w:hAnsi="Arial"/>
                <w:sz w:val="14"/>
                <w:szCs w:val="14"/>
                <w:color w:val="auto"/>
              </w:rPr>
              <w:t>Prior service cost</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(91)</w:t>
            </w:r>
          </w:p>
        </w:tc>
        <w:tc>
          <w:tcPr>
            <w:tcW w:w="420" w:type="dxa"/>
            <w:vAlign w:val="bottom"/>
            <w:gridSpan w:val="2"/>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(91)</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(274)</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3600" w:type="dxa"/>
            <w:vAlign w:val="bottom"/>
          </w:tcPr>
          <w:p>
            <w:pPr>
              <w:ind w:left="80"/>
              <w:spacing w:after="0" w:line="149" w:lineRule="exact"/>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Actuarial losses</w:t>
            </w:r>
          </w:p>
        </w:tc>
        <w:tc>
          <w:tcPr>
            <w:tcW w:w="32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5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760" w:type="dxa"/>
            <w:vAlign w:val="bottom"/>
            <w:gridSpan w:val="2"/>
            <w:shd w:val="clear" w:color="auto" w:fill="F0FFFF"/>
          </w:tcPr>
          <w:p>
            <w:pPr>
              <w:jc w:val="right"/>
              <w:ind w:right="139"/>
              <w:spacing w:after="0"/>
              <w:rPr>
                <w:sz w:val="20"/>
                <w:szCs w:val="20"/>
                <w:color w:val="auto"/>
              </w:rPr>
            </w:pPr>
            <w:r>
              <w:rPr>
                <w:rFonts w:ascii="Arial" w:cs="Arial" w:eastAsia="Arial" w:hAnsi="Arial"/>
                <w:sz w:val="14"/>
                <w:szCs w:val="14"/>
                <w:color w:val="auto"/>
              </w:rPr>
              <w:t>(204)</w:t>
            </w:r>
          </w:p>
        </w:tc>
        <w:tc>
          <w:tcPr>
            <w:tcW w:w="320" w:type="dxa"/>
            <w:vAlign w:val="bottom"/>
            <w:shd w:val="clear" w:color="auto" w:fill="F0FFFF"/>
          </w:tcPr>
          <w:p>
            <w:pPr>
              <w:spacing w:after="0"/>
              <w:rPr>
                <w:sz w:val="15"/>
                <w:szCs w:val="15"/>
                <w:color w:val="auto"/>
              </w:rPr>
            </w:pP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600" w:type="dxa"/>
            <w:vAlign w:val="bottom"/>
            <w:shd w:val="clear" w:color="auto" w:fill="F0FFFF"/>
          </w:tcPr>
          <w:p>
            <w:pPr>
              <w:ind w:left="80"/>
              <w:spacing w:after="0"/>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60" w:type="dxa"/>
            <w:vAlign w:val="bottom"/>
            <w:tcBorders>
              <w:top w:val="single" w:sz="8" w:color="F0FF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(159)</w:t>
            </w:r>
          </w:p>
        </w:tc>
        <w:tc>
          <w:tcPr>
            <w:tcW w:w="14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(91)</w:t>
            </w:r>
          </w:p>
        </w:tc>
        <w:tc>
          <w:tcPr>
            <w:tcW w:w="220" w:type="dxa"/>
            <w:vAlign w:val="bottom"/>
            <w:tcBorders>
              <w:top w:val="single" w:sz="8" w:color="F0FF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(478)</w:t>
            </w:r>
          </w:p>
        </w:tc>
        <w:tc>
          <w:tcPr>
            <w:tcW w:w="220" w:type="dxa"/>
            <w:vAlign w:val="bottom"/>
            <w:tcBorders>
              <w:top w:val="single" w:sz="8" w:color="F0FF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(274)</w:t>
            </w:r>
          </w:p>
        </w:tc>
        <w:tc>
          <w:tcPr>
            <w:tcW w:w="140" w:type="dxa"/>
            <w:vAlign w:val="bottom"/>
            <w:tcBorders>
              <w:top w:val="single" w:sz="8" w:color="F0FFFF"/>
            </w:tcBorders>
            <w:gridSpan w:val="2"/>
          </w:tcPr>
          <w:p>
            <w:pPr>
              <w:spacing w:after="0"/>
              <w:rPr>
                <w:sz w:val="11"/>
                <w:szCs w:val="11"/>
                <w:color w:val="auto"/>
              </w:rPr>
            </w:pPr>
          </w:p>
        </w:tc>
        <w:tc>
          <w:tcPr>
            <w:tcW w:w="3600" w:type="dxa"/>
            <w:vAlign w:val="bottom"/>
            <w:tcBorders>
              <w:top w:val="single" w:sz="8" w:color="F0FFFF"/>
            </w:tcBorders>
          </w:tcPr>
          <w:p>
            <w:pPr>
              <w:ind w:left="80"/>
              <w:spacing w:after="0" w:line="136"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99"/>
              <w:spacing w:after="0"/>
              <w:rPr>
                <w:sz w:val="20"/>
                <w:szCs w:val="20"/>
                <w:color w:val="auto"/>
              </w:rPr>
            </w:pPr>
            <w:r>
              <w:rPr>
                <w:rFonts w:ascii="Arial" w:cs="Arial" w:eastAsia="Arial" w:hAnsi="Arial"/>
                <w:sz w:val="14"/>
                <w:szCs w:val="14"/>
                <w:color w:val="auto"/>
              </w:rPr>
              <w:t>62</w:t>
            </w:r>
          </w:p>
        </w:tc>
        <w:tc>
          <w:tcPr>
            <w:tcW w:w="10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w:t>
            </w:r>
          </w:p>
        </w:tc>
        <w:tc>
          <w:tcPr>
            <w:tcW w:w="2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186</w:t>
            </w:r>
          </w:p>
        </w:tc>
        <w:tc>
          <w:tcPr>
            <w:tcW w:w="22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4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107</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600" w:type="dxa"/>
            <w:vAlign w:val="bottom"/>
            <w:shd w:val="clear" w:color="auto" w:fill="F0FFFF"/>
          </w:tcPr>
          <w:p>
            <w:pPr>
              <w:ind w:left="80"/>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top w:val="single" w:sz="8" w:color="F0FF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w:t>
            </w:r>
          </w:p>
        </w:tc>
        <w:tc>
          <w:tcPr>
            <w:tcW w:w="140" w:type="dxa"/>
            <w:vAlign w:val="bottom"/>
            <w:tcBorders>
              <w:top w:val="single" w:sz="8" w:color="F0FFFF"/>
            </w:tcBorders>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tcBorders>
              <w:top w:val="single" w:sz="8" w:color="F0FFFF"/>
            </w:tcBorders>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w:t>
            </w:r>
          </w:p>
        </w:tc>
        <w:tc>
          <w:tcPr>
            <w:tcW w:w="220" w:type="dxa"/>
            <w:vAlign w:val="bottom"/>
            <w:tcBorders>
              <w:top w:val="single" w:sz="8" w:color="F0FFFF"/>
            </w:tcBorders>
          </w:tcPr>
          <w:p>
            <w:pPr>
              <w:jc w:val="right"/>
              <w:ind w:right="139"/>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w:t>
            </w:r>
          </w:p>
        </w:tc>
        <w:tc>
          <w:tcPr>
            <w:tcW w:w="14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3600" w:type="dxa"/>
            <w:vAlign w:val="bottom"/>
            <w:tcBorders>
              <w:top w:val="single" w:sz="8" w:color="F0FFFF"/>
            </w:tcBorders>
          </w:tcPr>
          <w:p>
            <w:pPr>
              <w:ind w:left="80"/>
              <w:spacing w:after="0" w:line="149"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6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76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5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Total reclassifications for the period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59"/>
              <w:spacing w:after="0" w:line="176" w:lineRule="exact"/>
              <w:rPr>
                <w:sz w:val="20"/>
                <w:szCs w:val="20"/>
                <w:color w:val="auto"/>
              </w:rPr>
            </w:pPr>
            <w:r>
              <w:rPr>
                <w:rFonts w:ascii="Arial" w:cs="Arial" w:eastAsia="Arial" w:hAnsi="Arial"/>
                <w:sz w:val="12"/>
                <w:szCs w:val="12"/>
                <w:color w:val="auto"/>
              </w:rPr>
              <w:t>(399</w:t>
            </w:r>
            <w:r>
              <w:rPr>
                <w:rFonts w:ascii="Arial" w:cs="Arial" w:eastAsia="Arial" w:hAnsi="Arial"/>
                <w:sz w:val="20"/>
                <w:szCs w:val="20"/>
                <w:color w:val="auto"/>
                <w:vertAlign w:val="superscript"/>
              </w:rPr>
              <w:t>)</w:t>
            </w:r>
          </w:p>
        </w:tc>
        <w:tc>
          <w:tcPr>
            <w:tcW w:w="42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39"/>
              <w:spacing w:after="0" w:line="176" w:lineRule="exact"/>
              <w:rPr>
                <w:sz w:val="20"/>
                <w:szCs w:val="20"/>
                <w:color w:val="auto"/>
              </w:rPr>
            </w:pPr>
            <w:r>
              <w:rPr>
                <w:rFonts w:ascii="Arial" w:cs="Arial" w:eastAsia="Arial" w:hAnsi="Arial"/>
                <w:sz w:val="12"/>
                <w:szCs w:val="12"/>
                <w:color w:val="auto"/>
              </w:rPr>
              <w:t>(774</w:t>
            </w:r>
            <w:r>
              <w:rPr>
                <w:rFonts w:ascii="Arial" w:cs="Arial" w:eastAsia="Arial" w:hAnsi="Arial"/>
                <w:sz w:val="20"/>
                <w:szCs w:val="20"/>
                <w:color w:val="auto"/>
                <w:vertAlign w:val="superscript"/>
              </w:rPr>
              <w: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39"/>
              <w:spacing w:after="0" w:line="176" w:lineRule="exact"/>
              <w:rPr>
                <w:sz w:val="20"/>
                <w:szCs w:val="20"/>
                <w:color w:val="auto"/>
              </w:rPr>
            </w:pPr>
            <w:r>
              <w:rPr>
                <w:rFonts w:ascii="Arial" w:cs="Arial" w:eastAsia="Arial" w:hAnsi="Arial"/>
                <w:sz w:val="12"/>
                <w:szCs w:val="12"/>
                <w:color w:val="auto"/>
              </w:rPr>
              <w:t>(667</w:t>
            </w:r>
            <w:r>
              <w:rPr>
                <w:rFonts w:ascii="Arial" w:cs="Arial" w:eastAsia="Arial" w:hAnsi="Arial"/>
                <w:sz w:val="20"/>
                <w:szCs w:val="20"/>
                <w:color w:val="auto"/>
                <w:vertAlign w:val="superscript"/>
              </w:rPr>
              <w:t>)</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15"/>
                <w:szCs w:val="15"/>
                <w:color w:val="auto"/>
              </w:rPr>
            </w:pPr>
          </w:p>
        </w:tc>
        <w:tc>
          <w:tcPr>
            <w:tcW w:w="3600" w:type="dxa"/>
            <w:vAlign w:val="bottom"/>
          </w:tcPr>
          <w:p>
            <w:pPr>
              <w:ind w:left="8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three and nine months ended September 30, 2015 and 2014, United accrued dividends on preferred stock as shown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86"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300" w:type="dxa"/>
            <w:vAlign w:val="bottom"/>
            <w:gridSpan w:val="5"/>
          </w:tcPr>
          <w:p>
            <w:pPr>
              <w:jc w:val="right"/>
              <w:ind w:right="145"/>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300" w:type="dxa"/>
            <w:vAlign w:val="bottom"/>
            <w:tcBorders>
              <w:bottom w:val="single" w:sz="8" w:color="auto"/>
            </w:tcBorders>
            <w:gridSpan w:val="5"/>
          </w:tcPr>
          <w:p>
            <w:pPr>
              <w:jc w:val="right"/>
              <w:ind w:right="405"/>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Series H - 1% until March 15, 2016, subject to change based on</w:t>
            </w:r>
          </w:p>
        </w:tc>
        <w:tc>
          <w:tcPr>
            <w:tcW w:w="8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F0FFFF"/>
          </w:tcPr>
          <w:p>
            <w:pPr>
              <w:ind w:left="120"/>
              <w:spacing w:after="0"/>
              <w:rPr>
                <w:sz w:val="20"/>
                <w:szCs w:val="20"/>
                <w:color w:val="auto"/>
              </w:rPr>
            </w:pPr>
            <w:r>
              <w:rPr>
                <w:rFonts w:ascii="Arial" w:cs="Arial" w:eastAsia="Arial" w:hAnsi="Arial"/>
                <w:sz w:val="18"/>
                <w:szCs w:val="18"/>
                <w:color w:val="auto"/>
              </w:rPr>
              <w:t>Qualified Small Business Lending, 9% thereafter</w:t>
            </w:r>
          </w:p>
        </w:tc>
        <w:tc>
          <w:tcPr>
            <w:tcW w:w="860" w:type="dxa"/>
            <w:vAlign w:val="bottom"/>
            <w:shd w:val="clear" w:color="auto" w:fill="F0FFFF"/>
          </w:tcPr>
          <w:p>
            <w:pPr>
              <w:jc w:val="right"/>
              <w:ind w:right="696"/>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w:t>
            </w:r>
          </w:p>
        </w:tc>
        <w:tc>
          <w:tcPr>
            <w:tcW w:w="1040" w:type="dxa"/>
            <w:vAlign w:val="bottom"/>
            <w:gridSpan w:val="2"/>
            <w:shd w:val="clear" w:color="auto" w:fill="F0FFFF"/>
          </w:tcPr>
          <w:p>
            <w:pPr>
              <w:jc w:val="right"/>
              <w:ind w:right="76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67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8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Series D - LIBOR plus 9.6875%, resets quarterly</w:t>
            </w:r>
          </w:p>
        </w:tc>
        <w:tc>
          <w:tcPr>
            <w:tcW w:w="860" w:type="dxa"/>
            <w:vAlign w:val="bottom"/>
            <w:shd w:val="clear" w:color="auto" w:fill="F0FFFF"/>
          </w:tcPr>
          <w:p>
            <w:pPr>
              <w:spacing w:after="0"/>
              <w:rPr>
                <w:sz w:val="21"/>
                <w:szCs w:val="21"/>
                <w:color w:val="auto"/>
              </w:rPr>
            </w:pP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4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spacing w:after="0"/>
              <w:rPr>
                <w:sz w:val="21"/>
                <w:szCs w:val="21"/>
                <w:color w:val="auto"/>
              </w:rPr>
            </w:pP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780" w:type="dxa"/>
            <w:vAlign w:val="bottom"/>
            <w:shd w:val="clear" w:color="auto" w:fill="F0FFFF"/>
          </w:tcPr>
          <w:p>
            <w:pPr>
              <w:spacing w:after="0"/>
              <w:rPr>
                <w:sz w:val="21"/>
                <w:szCs w:val="21"/>
                <w:color w:val="auto"/>
              </w:rPr>
            </w:pPr>
          </w:p>
        </w:tc>
        <w:tc>
          <w:tcPr>
            <w:tcW w:w="3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9"/>
              </w:rPr>
              <w:t>280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F0FFFF"/>
            </w:tcBorders>
          </w:tcPr>
          <w:p>
            <w:pPr>
              <w:ind w:left="140"/>
              <w:spacing w:after="0"/>
              <w:rPr>
                <w:sz w:val="20"/>
                <w:szCs w:val="20"/>
                <w:color w:val="auto"/>
              </w:rPr>
            </w:pPr>
            <w:r>
              <w:rPr>
                <w:rFonts w:ascii="Arial" w:cs="Arial" w:eastAsia="Arial" w:hAnsi="Arial"/>
                <w:sz w:val="18"/>
                <w:szCs w:val="18"/>
                <w:color w:val="auto"/>
              </w:rPr>
              <w:t>Total preferred stock dividends</w:t>
            </w:r>
          </w:p>
        </w:tc>
        <w:tc>
          <w:tcPr>
            <w:tcW w:w="86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439</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preferred stock dividends are payable quarterly.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and nine months ended September 30, 2015 and 2014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9"/>
                <w:szCs w:val="19"/>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3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17,862</w:t>
            </w:r>
          </w:p>
        </w:tc>
        <w:tc>
          <w:tcPr>
            <w:tcW w:w="36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17,616</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53,328</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66,294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60,776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66,300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60,779</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spacing w:after="0"/>
              <w:rPr>
                <w:sz w:val="21"/>
                <w:szCs w:val="21"/>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63,302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1"/>
                <w:szCs w:val="21"/>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60,513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2015, United had the following potentially dilutive stock options and warrants outstanding: a warrant to purchase 219,909 shares of common stock at $61.40 per share; 255,229 shares of common stock issuable upon exercise of stock options granted to employees with a weighted average exercise price of $90.10; and 735,280 shares of common stock issuable upon completion of vesting of restricted stock unit awards.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2014, United had the following potentially dilutive stock options and warrants outstanding: a warrant to purchase 219,909 common shares at $61.40 per share originally issued to the U.S. Treasury; 305,291 common shares issuable upon exercise of stock options granted to employees with a weighted average exercise price of $95.98; 801,334 shares issuable upon completion of vesting of restricted stock awards; and warrants to purchase common stock equivalent junior preferred stock that would be convertible into 1,411,765 common shares exercisable at $21.25 per share granted to Fletcher International Ltd. (“Fletcher”) in connection with a 2010 asset purchase and sale agreement. United repurchased the warrant from Fletcher in the fourth quarter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its known or expected cash payments principally related to loans, investment securities,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95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September 30, 2015, December 31, 2014 and September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50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7"/>
                <w:szCs w:val="17"/>
                <w:color w:val="auto"/>
              </w:rPr>
            </w:pPr>
          </w:p>
        </w:tc>
        <w:tc>
          <w:tcPr>
            <w:tcW w:w="136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7"/>
                <w:szCs w:val="17"/>
                <w:color w:val="auto"/>
              </w:rPr>
            </w:pPr>
          </w:p>
        </w:tc>
        <w:tc>
          <w:tcPr>
            <w:tcW w:w="12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Pr>
          <w:p>
            <w:pPr>
              <w:ind w:left="1200"/>
              <w:spacing w:after="0"/>
              <w:rPr>
                <w:sz w:val="20"/>
                <w:szCs w:val="20"/>
                <w:color w:val="auto"/>
              </w:rPr>
            </w:pPr>
            <w:r>
              <w:rPr>
                <w:rFonts w:ascii="Arial" w:cs="Arial" w:eastAsia="Arial" w:hAnsi="Arial"/>
                <w:sz w:val="18"/>
                <w:szCs w:val="18"/>
                <w:b w:val="1"/>
                <w:bCs w:val="1"/>
                <w:color w:val="auto"/>
              </w:rPr>
              <w:t>Interest Rate Products</w:t>
            </w:r>
          </w:p>
        </w:tc>
        <w:tc>
          <w:tcPr>
            <w:tcW w:w="120" w:type="dxa"/>
            <w:vAlign w:val="bottom"/>
          </w:tcPr>
          <w:p>
            <w:pPr>
              <w:spacing w:after="0"/>
              <w:rPr>
                <w:sz w:val="20"/>
                <w:szCs w:val="20"/>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w:t>
            </w:r>
          </w:p>
        </w:tc>
        <w:tc>
          <w:tcPr>
            <w:tcW w:w="26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Cash flow hedge of money market deposits</w:t>
            </w:r>
          </w:p>
        </w:tc>
        <w:tc>
          <w:tcPr>
            <w:tcW w:w="120" w:type="dxa"/>
            <w:vAlign w:val="bottom"/>
            <w:tcBorders>
              <w:top w:val="single" w:sz="8" w:color="F0FFFF"/>
            </w:tcBorders>
            <w:shd w:val="clear" w:color="auto" w:fill="F0FFFF"/>
          </w:tcPr>
          <w:p>
            <w:pPr>
              <w:spacing w:after="0"/>
              <w:rPr>
                <w:sz w:val="18"/>
                <w:szCs w:val="18"/>
                <w:color w:val="auto"/>
              </w:rPr>
            </w:pPr>
          </w:p>
        </w:tc>
        <w:tc>
          <w:tcPr>
            <w:tcW w:w="27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Fair value hedge of brokered CD's</w:t>
            </w:r>
          </w:p>
        </w:tc>
        <w:tc>
          <w:tcPr>
            <w:tcW w:w="3000" w:type="dxa"/>
            <w:vAlign w:val="bottom"/>
            <w:gridSpan w:val="3"/>
          </w:tcPr>
          <w:p>
            <w:pPr>
              <w:ind w:left="120"/>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7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Cash flow hedge of money market deposits</w:t>
            </w:r>
          </w:p>
        </w:tc>
        <w:tc>
          <w:tcPr>
            <w:tcW w:w="3000" w:type="dxa"/>
            <w:vAlign w:val="bottom"/>
            <w:tcBorders>
              <w:top w:val="single" w:sz="8" w:color="F0FFFF"/>
              <w:bottom w:val="single" w:sz="8" w:color="F0FFFF"/>
            </w:tcBorders>
            <w:gridSpan w:val="3"/>
            <w:vMerge w:val="restart"/>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3000" w:type="dxa"/>
            <w:vAlign w:val="bottom"/>
            <w:gridSpan w:val="3"/>
            <w:vMerge w:val="continue"/>
          </w:tcPr>
          <w:p>
            <w:pPr>
              <w:spacing w:after="0"/>
              <w:rPr>
                <w:sz w:val="16"/>
                <w:szCs w:val="16"/>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0" w:lineRule="exact"/>
              <w:rPr>
                <w:sz w:val="20"/>
                <w:szCs w:val="20"/>
                <w:color w:val="auto"/>
              </w:rPr>
            </w:pPr>
            <w:r>
              <w:rPr>
                <w:rFonts w:ascii="Arial" w:cs="Arial" w:eastAsia="Arial" w:hAnsi="Arial"/>
                <w:sz w:val="18"/>
                <w:szCs w:val="18"/>
                <w:color w:val="auto"/>
              </w:rPr>
              <w:t>350</w:t>
            </w: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 of brokered CD's</w:t>
            </w:r>
          </w:p>
        </w:tc>
        <w:tc>
          <w:tcPr>
            <w:tcW w:w="300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5,817</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10,201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Fair value hedge of corporate bonds</w:t>
            </w:r>
          </w:p>
        </w:tc>
        <w:tc>
          <w:tcPr>
            <w:tcW w:w="3000" w:type="dxa"/>
            <w:vAlign w:val="bottom"/>
            <w:gridSpan w:val="3"/>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7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6,167</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10,201</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F0FFFF"/>
              <w:bottom w:val="single" w:sz="8" w:color="F0FFFF"/>
            </w:tcBorders>
            <w:gridSpan w:val="4"/>
            <w:vMerge w:val="restart"/>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 under ASC 815</w:t>
            </w: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1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2"/>
          </w:tcPr>
          <w:p>
            <w:pPr>
              <w:ind w:left="820"/>
              <w:spacing w:after="0" w:line="198" w:lineRule="exact"/>
              <w:rPr>
                <w:sz w:val="20"/>
                <w:szCs w:val="20"/>
                <w:color w:val="auto"/>
              </w:rPr>
            </w:pPr>
            <w:r>
              <w:rPr>
                <w:rFonts w:ascii="Arial" w:cs="Arial" w:eastAsia="Arial" w:hAnsi="Arial"/>
                <w:sz w:val="18"/>
                <w:szCs w:val="18"/>
                <w:b w:val="1"/>
                <w:bCs w:val="1"/>
                <w:color w:val="auto"/>
              </w:rPr>
              <w:t>Balance Sheet</w:t>
            </w:r>
          </w:p>
        </w:tc>
        <w:tc>
          <w:tcPr>
            <w:tcW w:w="150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7"/>
                <w:szCs w:val="17"/>
                <w:color w:val="auto"/>
              </w:rPr>
            </w:pPr>
          </w:p>
        </w:tc>
        <w:tc>
          <w:tcPr>
            <w:tcW w:w="136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7"/>
                <w:szCs w:val="17"/>
                <w:color w:val="auto"/>
              </w:rPr>
            </w:pPr>
          </w:p>
        </w:tc>
        <w:tc>
          <w:tcPr>
            <w:tcW w:w="12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Pr>
          <w:p>
            <w:pPr>
              <w:ind w:left="1200"/>
              <w:spacing w:after="0"/>
              <w:rPr>
                <w:sz w:val="20"/>
                <w:szCs w:val="20"/>
                <w:color w:val="auto"/>
              </w:rPr>
            </w:pPr>
            <w:r>
              <w:rPr>
                <w:rFonts w:ascii="Arial" w:cs="Arial" w:eastAsia="Arial" w:hAnsi="Arial"/>
                <w:sz w:val="18"/>
                <w:szCs w:val="18"/>
                <w:b w:val="1"/>
                <w:bCs w:val="1"/>
                <w:color w:val="auto"/>
              </w:rPr>
              <w:t>Interest Rate Products</w:t>
            </w:r>
          </w:p>
        </w:tc>
        <w:tc>
          <w:tcPr>
            <w:tcW w:w="120" w:type="dxa"/>
            <w:vAlign w:val="bottom"/>
          </w:tcPr>
          <w:p>
            <w:pPr>
              <w:spacing w:after="0"/>
              <w:rPr>
                <w:sz w:val="20"/>
                <w:szCs w:val="20"/>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w:t>
            </w:r>
          </w:p>
        </w:tc>
        <w:tc>
          <w:tcPr>
            <w:tcW w:w="26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120" w:type="dxa"/>
            <w:vAlign w:val="bottom"/>
            <w:tcBorders>
              <w:top w:val="single" w:sz="8" w:color="F0FFFF"/>
            </w:tcBorders>
            <w:shd w:val="clear" w:color="auto" w:fill="F0FFFF"/>
          </w:tcPr>
          <w:p>
            <w:pPr>
              <w:spacing w:after="0"/>
              <w:rPr>
                <w:sz w:val="18"/>
                <w:szCs w:val="18"/>
                <w:color w:val="auto"/>
              </w:rPr>
            </w:pPr>
          </w:p>
        </w:tc>
        <w:tc>
          <w:tcPr>
            <w:tcW w:w="27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5,234</w:t>
            </w:r>
          </w:p>
        </w:tc>
        <w:tc>
          <w:tcPr>
            <w:tcW w:w="2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3,433</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2,067</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Dealer offsets to customer swap positions</w:t>
            </w:r>
          </w:p>
        </w:tc>
        <w:tc>
          <w:tcPr>
            <w:tcW w:w="3000" w:type="dxa"/>
            <w:vAlign w:val="bottom"/>
            <w:gridSpan w:val="3"/>
          </w:tcPr>
          <w:p>
            <w:pPr>
              <w:ind w:left="120"/>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Mortgage banking - loan commitment</w:t>
            </w:r>
          </w:p>
        </w:tc>
        <w:tc>
          <w:tcPr>
            <w:tcW w:w="300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assets</w:t>
            </w:r>
          </w:p>
        </w:tc>
        <w:tc>
          <w:tcPr>
            <w:tcW w:w="2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Bifurcated embedded derivatives</w:t>
            </w:r>
          </w:p>
        </w:tc>
        <w:tc>
          <w:tcPr>
            <w:tcW w:w="3000" w:type="dxa"/>
            <w:vAlign w:val="bottom"/>
            <w:gridSpan w:val="3"/>
          </w:tcPr>
          <w:p>
            <w:pPr>
              <w:ind w:left="120"/>
              <w:spacing w:after="0"/>
              <w:rPr>
                <w:sz w:val="20"/>
                <w:szCs w:val="20"/>
                <w:color w:val="auto"/>
              </w:rPr>
            </w:pPr>
            <w:r>
              <w:rPr>
                <w:rFonts w:ascii="Arial" w:cs="Arial" w:eastAsia="Arial" w:hAnsi="Arial"/>
                <w:sz w:val="18"/>
                <w:szCs w:val="18"/>
                <w:color w:val="auto"/>
              </w:rPr>
              <w:t>Derivative assets</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6,455</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12,262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w w:val="92"/>
              </w:rPr>
              <w:t>Offsetting positions for de-designated cash flow hedges</w:t>
            </w:r>
          </w:p>
        </w:tc>
        <w:tc>
          <w:tcPr>
            <w:tcW w:w="300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assets</w:t>
            </w:r>
          </w:p>
        </w:tc>
        <w:tc>
          <w:tcPr>
            <w:tcW w:w="2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7,715</w:t>
            </w:r>
          </w:p>
        </w:tc>
        <w:tc>
          <w:tcPr>
            <w:tcW w:w="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4,776</w:t>
            </w:r>
          </w:p>
        </w:tc>
        <w:tc>
          <w:tcPr>
            <w:tcW w:w="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3,550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7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19,788</w:t>
            </w:r>
          </w:p>
        </w:tc>
        <w:tc>
          <w:tcPr>
            <w:tcW w:w="24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20,599</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20,872</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7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300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5,270</w:t>
            </w:r>
          </w:p>
        </w:tc>
        <w:tc>
          <w:tcPr>
            <w:tcW w:w="24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475</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Dealer offsets to customer swap positions</w:t>
            </w:r>
          </w:p>
        </w:tc>
        <w:tc>
          <w:tcPr>
            <w:tcW w:w="3000" w:type="dxa"/>
            <w:vAlign w:val="bottom"/>
            <w:gridSpan w:val="3"/>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3,456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Mortgage banking - forward sales commitment</w:t>
            </w:r>
          </w:p>
        </w:tc>
        <w:tc>
          <w:tcPr>
            <w:tcW w:w="300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Dealer offsets to bifurcated embedded derivatives</w:t>
            </w:r>
          </w:p>
        </w:tc>
        <w:tc>
          <w:tcPr>
            <w:tcW w:w="3000" w:type="dxa"/>
            <w:vAlign w:val="bottom"/>
            <w:gridSpan w:val="3"/>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12,800</w:t>
            </w: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17,467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De-designated cash flow hedges</w:t>
            </w:r>
          </w:p>
        </w:tc>
        <w:tc>
          <w:tcPr>
            <w:tcW w:w="300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7,717</w:t>
            </w:r>
          </w:p>
        </w:tc>
        <w:tc>
          <w:tcPr>
            <w:tcW w:w="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4,778</w:t>
            </w:r>
          </w:p>
        </w:tc>
        <w:tc>
          <w:tcPr>
            <w:tcW w:w="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3,550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7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25,878</w:t>
            </w:r>
          </w:p>
        </w:tc>
        <w:tc>
          <w:tcPr>
            <w:tcW w:w="24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25,830</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25,970</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Derivative contracts that are not accounted for as hedging instruments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Most of this activity is on a matched basis, with a loan sale commitment hedging a specific loan. The commitments to originate residential mortgage loans and forward loan sales commitments are freestanding derivative instruments. The underlying loans are accounted for under the lower of cost or fair value method and are not reflected in the table above. Fair value adjustments on these derivative instruments are recorded within mortgage loan and other related fee income in the consolidated statement of income.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uses interest rate swaps as part of its interest rate risk management strategy. United’s interest rate swaps designated as cash flow hedges involved the payment of fixed-rate amounts to a counterparty in exchange for United receiving variable-rate payments over the life of the agreements without exchange of the underlying notional amount. United’s cash flow hedges were for the purpose of converting variable rate deposits and wholesale borrowings to the economic equivalent of a fixed rate to protect United in a rising rate environment. At September 30, 2015 United did not have any active cash flow hedges. At December 31, 2014, United had one swap contract outstanding with a total notional amount of $175 million that was designated as a cash flow hedge of indexed money market accounts. At September 30, 2014, United had two swap contracts outstanding with a total notional amount of $275 million that were designated as cash flow hedges of indexed money market accounts. During the second and fourth quarters of 2014, United de-designated swaps with a notional of $500 million and put on offsetting positions which had a similar effect to terminating the positions. In addition, in the first quarter of 2015, United terminated its one remaining cash flow hedge with a notional of $175 million. Changes in United’s balance sheet composition and interest rate risk position made the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as interest payments are made on United’s LIBOR based, variable-rate wholesale borrowings and indexed deposit accounts. United expects that $1.93 million will be reclassified as an increase to deposit interest expense over the next twelve months related to these cash flow hedges.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United’s cash flow hedges on the consolidated statement of operations for the three and nine months ended September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Amount of Gain (Loss)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Recognized in Other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Comprehensive Income</w:t>
            </w:r>
          </w:p>
        </w:tc>
        <w:tc>
          <w:tcPr>
            <w:tcW w:w="340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Gain (Loss) Reclassified from Accumulated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on Derivative (Effective</w:t>
            </w:r>
          </w:p>
        </w:tc>
        <w:tc>
          <w:tcPr>
            <w:tcW w:w="34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Other Comprehensive Income into Income</w:t>
            </w:r>
          </w:p>
        </w:tc>
        <w:tc>
          <w:tcPr>
            <w:tcW w:w="100" w:type="dxa"/>
            <w:vAlign w:val="bottom"/>
          </w:tcPr>
          <w:p>
            <w:pPr>
              <w:spacing w:after="0"/>
              <w:rPr>
                <w:sz w:val="18"/>
                <w:szCs w:val="18"/>
                <w:color w:val="auto"/>
              </w:rPr>
            </w:pPr>
          </w:p>
        </w:tc>
        <w:tc>
          <w:tcPr>
            <w:tcW w:w="3380" w:type="dxa"/>
            <w:vAlign w:val="bottom"/>
            <w:gridSpan w:val="9"/>
          </w:tcPr>
          <w:p>
            <w:pPr>
              <w:ind w:left="240"/>
              <w:spacing w:after="0"/>
              <w:rPr>
                <w:sz w:val="20"/>
                <w:szCs w:val="20"/>
                <w:color w:val="auto"/>
              </w:rPr>
            </w:pPr>
            <w:r>
              <w:rPr>
                <w:rFonts w:ascii="Arial" w:cs="Arial" w:eastAsia="Arial" w:hAnsi="Arial"/>
                <w:sz w:val="18"/>
                <w:szCs w:val="18"/>
                <w:b w:val="1"/>
                <w:bCs w:val="1"/>
                <w:color w:val="auto"/>
                <w:w w:val="97"/>
              </w:rPr>
              <w:t>Gain (Loss) Recognized in Income 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2"/>
              </w:rPr>
              <w:t>Portion)</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8"/>
                <w:szCs w:val="18"/>
                <w:b w:val="1"/>
                <w:bCs w:val="1"/>
                <w:color w:val="auto"/>
                <w:w w:val="92"/>
              </w:rPr>
              <w:t>(Effective Portion)</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rPr>
              <w:t>Derivative (Ineffective Portion)</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2014</w:t>
            </w:r>
          </w:p>
        </w:tc>
        <w:tc>
          <w:tcPr>
            <w:tcW w:w="24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Arial" w:cs="Arial" w:eastAsia="Arial" w:hAnsi="Arial"/>
                <w:sz w:val="18"/>
                <w:szCs w:val="18"/>
                <w:b w:val="1"/>
                <w:bCs w:val="1"/>
                <w:color w:val="auto"/>
                <w:w w:val="93"/>
              </w:rPr>
              <w:t>Location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Location</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5"/>
            <w:shd w:val="clear" w:color="auto" w:fill="F0FFFF"/>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Interest</w:t>
            </w:r>
          </w:p>
        </w:tc>
        <w:tc>
          <w:tcPr>
            <w:tcW w:w="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340" w:type="dxa"/>
            <w:vAlign w:val="bottom"/>
            <w:gridSpan w:val="3"/>
            <w:shd w:val="clear" w:color="auto" w:fill="F0FFFF"/>
          </w:tcPr>
          <w:p>
            <w:pPr>
              <w:ind w:left="100"/>
              <w:spacing w:after="0" w:line="201" w:lineRule="exact"/>
              <w:rPr>
                <w:sz w:val="20"/>
                <w:szCs w:val="20"/>
                <w:color w:val="auto"/>
              </w:rPr>
            </w:pPr>
            <w:r>
              <w:rPr>
                <w:rFonts w:ascii="Arial" w:cs="Arial" w:eastAsia="Arial" w:hAnsi="Arial"/>
                <w:sz w:val="18"/>
                <w:szCs w:val="18"/>
                <w:color w:val="auto"/>
              </w:rPr>
              <w:t>Interest</w:t>
            </w: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60" w:type="dxa"/>
            <w:vAlign w:val="bottom"/>
            <w:shd w:val="clear" w:color="auto" w:fill="F0FFFF"/>
          </w:tcPr>
          <w:p>
            <w:pPr>
              <w:spacing w:after="0"/>
              <w:rPr>
                <w:sz w:val="20"/>
                <w:szCs w:val="20"/>
                <w:color w:val="auto"/>
              </w:rPr>
            </w:pPr>
            <w:r>
              <w:rPr>
                <w:rFonts w:ascii="Arial" w:cs="Arial" w:eastAsia="Arial" w:hAnsi="Arial"/>
                <w:sz w:val="18"/>
                <w:szCs w:val="18"/>
                <w:color w:val="auto"/>
              </w:rPr>
              <w:t>Interest rate swaps</w:t>
            </w:r>
          </w:p>
        </w:tc>
        <w:tc>
          <w:tcPr>
            <w:tcW w:w="5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412</w:t>
            </w:r>
          </w:p>
        </w:tc>
        <w:tc>
          <w:tcPr>
            <w:tcW w:w="960" w:type="dxa"/>
            <w:vAlign w:val="bottom"/>
            <w:shd w:val="clear" w:color="auto" w:fill="F0FFFF"/>
          </w:tcPr>
          <w:p>
            <w:pPr>
              <w:spacing w:after="0"/>
              <w:rPr>
                <w:sz w:val="20"/>
                <w:szCs w:val="20"/>
                <w:color w:val="auto"/>
              </w:rPr>
            </w:pPr>
            <w:r>
              <w:rPr>
                <w:rFonts w:ascii="Arial" w:cs="Arial" w:eastAsia="Arial" w:hAnsi="Arial"/>
                <w:sz w:val="18"/>
                <w:szCs w:val="18"/>
                <w:color w:val="auto"/>
              </w:rPr>
              <w:t>expense</w:t>
            </w:r>
          </w:p>
        </w:tc>
        <w:tc>
          <w:tcPr>
            <w:tcW w:w="4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(711)</w:t>
            </w:r>
          </w:p>
        </w:tc>
        <w:tc>
          <w:tcPr>
            <w:tcW w:w="1340" w:type="dxa"/>
            <w:vAlign w:val="bottom"/>
            <w:gridSpan w:val="3"/>
            <w:shd w:val="clear" w:color="auto" w:fill="F0FFFF"/>
          </w:tcPr>
          <w:p>
            <w:pPr>
              <w:ind w:left="100"/>
              <w:spacing w:after="0"/>
              <w:rPr>
                <w:sz w:val="20"/>
                <w:szCs w:val="20"/>
                <w:color w:val="auto"/>
              </w:rPr>
            </w:pPr>
            <w:r>
              <w:rPr>
                <w:rFonts w:ascii="Arial" w:cs="Arial" w:eastAsia="Arial" w:hAnsi="Arial"/>
                <w:sz w:val="18"/>
                <w:szCs w:val="18"/>
                <w:color w:val="auto"/>
              </w:rPr>
              <w:t>expense</w:t>
            </w:r>
          </w:p>
        </w:tc>
        <w:tc>
          <w:tcPr>
            <w:tcW w:w="700" w:type="dxa"/>
            <w:vAlign w:val="bottom"/>
            <w:shd w:val="clear" w:color="auto" w:fill="F0FF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F0FFFF"/>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F0FF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60" w:type="dxa"/>
            <w:vAlign w:val="bottom"/>
            <w:gridSpan w:val="5"/>
            <w:shd w:val="clear" w:color="auto" w:fill="F0FFFF"/>
          </w:tcPr>
          <w:p>
            <w:pPr>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6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6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6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Interest</w:t>
            </w:r>
          </w:p>
        </w:tc>
        <w:tc>
          <w:tcPr>
            <w:tcW w:w="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340" w:type="dxa"/>
            <w:vAlign w:val="bottom"/>
            <w:gridSpan w:val="3"/>
            <w:shd w:val="clear" w:color="auto" w:fill="F0FFFF"/>
          </w:tcPr>
          <w:p>
            <w:pPr>
              <w:ind w:left="100"/>
              <w:spacing w:after="0" w:line="201" w:lineRule="exact"/>
              <w:rPr>
                <w:sz w:val="20"/>
                <w:szCs w:val="20"/>
                <w:color w:val="auto"/>
              </w:rPr>
            </w:pPr>
            <w:r>
              <w:rPr>
                <w:rFonts w:ascii="Arial" w:cs="Arial" w:eastAsia="Arial" w:hAnsi="Arial"/>
                <w:sz w:val="18"/>
                <w:szCs w:val="18"/>
                <w:color w:val="auto"/>
              </w:rPr>
              <w:t>Interest</w:t>
            </w: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60" w:type="dxa"/>
            <w:vAlign w:val="bottom"/>
            <w:shd w:val="clear" w:color="auto" w:fill="F0FFFF"/>
          </w:tcPr>
          <w:p>
            <w:pPr>
              <w:spacing w:after="0"/>
              <w:rPr>
                <w:sz w:val="20"/>
                <w:szCs w:val="20"/>
                <w:color w:val="auto"/>
              </w:rPr>
            </w:pPr>
            <w:r>
              <w:rPr>
                <w:rFonts w:ascii="Arial" w:cs="Arial" w:eastAsia="Arial" w:hAnsi="Arial"/>
                <w:sz w:val="18"/>
                <w:szCs w:val="18"/>
                <w:color w:val="auto"/>
              </w:rPr>
              <w:t>Interest rate swaps</w:t>
            </w:r>
          </w:p>
        </w:tc>
        <w:tc>
          <w:tcPr>
            <w:tcW w:w="5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(471)</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(5,967)</w:t>
            </w:r>
          </w:p>
        </w:tc>
        <w:tc>
          <w:tcPr>
            <w:tcW w:w="960" w:type="dxa"/>
            <w:vAlign w:val="bottom"/>
            <w:shd w:val="clear" w:color="auto" w:fill="F0FFFF"/>
          </w:tcPr>
          <w:p>
            <w:pPr>
              <w:spacing w:after="0"/>
              <w:rPr>
                <w:sz w:val="20"/>
                <w:szCs w:val="20"/>
                <w:color w:val="auto"/>
              </w:rPr>
            </w:pPr>
            <w:r>
              <w:rPr>
                <w:rFonts w:ascii="Arial" w:cs="Arial" w:eastAsia="Arial" w:hAnsi="Arial"/>
                <w:sz w:val="18"/>
                <w:szCs w:val="18"/>
                <w:color w:val="auto"/>
              </w:rPr>
              <w:t>expense</w:t>
            </w:r>
          </w:p>
        </w:tc>
        <w:tc>
          <w:tcPr>
            <w:tcW w:w="4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(1,430)</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(1,381)</w:t>
            </w:r>
          </w:p>
        </w:tc>
        <w:tc>
          <w:tcPr>
            <w:tcW w:w="1340" w:type="dxa"/>
            <w:vAlign w:val="bottom"/>
            <w:gridSpan w:val="3"/>
            <w:shd w:val="clear" w:color="auto" w:fill="F0FFFF"/>
          </w:tcPr>
          <w:p>
            <w:pPr>
              <w:ind w:left="100"/>
              <w:spacing w:after="0"/>
              <w:rPr>
                <w:sz w:val="20"/>
                <w:szCs w:val="20"/>
                <w:color w:val="auto"/>
              </w:rPr>
            </w:pPr>
            <w:r>
              <w:rPr>
                <w:rFonts w:ascii="Arial" w:cs="Arial" w:eastAsia="Arial" w:hAnsi="Arial"/>
                <w:sz w:val="18"/>
                <w:szCs w:val="18"/>
                <w:color w:val="auto"/>
              </w:rPr>
              <w:t>expense</w:t>
            </w:r>
          </w:p>
        </w:tc>
        <w:tc>
          <w:tcPr>
            <w:tcW w:w="700" w:type="dxa"/>
            <w:vAlign w:val="bottom"/>
            <w:shd w:val="clear" w:color="auto" w:fill="F0FF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w:t>
            </w:r>
          </w:p>
        </w:tc>
        <w:tc>
          <w:tcPr>
            <w:tcW w:w="740" w:type="dxa"/>
            <w:vAlign w:val="bottom"/>
            <w:gridSpan w:val="2"/>
            <w:shd w:val="clear" w:color="auto" w:fill="F0FFFF"/>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3"/>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payments from a counterparty in exchange for United making fixed rate payments over the life of the instrument without the exchange of the underlying notional amount. At September 30, 2015, United had 14 interest rate swaps with an aggregate notional amount of $174 million that were designated as fair value hedges of interest rate risk and were pay-variable / receive-fixed swaps hedging the changes in the fair value of fixed rate brokered time deposits resulting from changes in interest rates. Also at September 30, 2015, United had one interest rate swap with a notional of $30 million that was designated as a pay-fixed / receive variable fair value hedge of changes in the fair value of a fixed rate corporate bond. At September 30, 2014, United had 16 interest rate swaps with an aggregate notional amount of $199 million that were designated as fair value hedges of interest rate risk. These contracts were pay-variable / receive-fixed swaps hedging changes in the fair value of fixed rate brokered time deposits resulting from changes in interest rates.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nine months ended September 30, 2015, United recognized net gains of $14,000 and $184,000, respectively, and during the three and nine months ended September 30, 2014, United recognized net losses of $312,000 and $937,000, respectively, related to ineffectiveness in the fair value hedging relationships. United also recognized net reductions of interest expense of $1.12 million and $3.39 million, respectively, for the three and nine months ended September 30, 2015 and net reductions of interest expense of $1.04 million and $3.47 million, respectively, for the three and nine months ended September 30, 2014 related to United’s fair value hedges of brokered time deposits, which includes net settlements on the derivatives. United recognized reductions of interest revenue on securities during the three and nine months ended September 30, 2015 of $142,000 and $361,000, respectively, and a reduction of interest revenue on securities during the nine months ended September 30, 2014 of $955,000 related to United’s fair value hedges of corporate bonds that were terminated in the second quarter of 2014.</w:t>
      </w:r>
    </w:p>
    <w:p>
      <w:pPr>
        <w:sectPr>
          <w:pgSz w:w="11900" w:h="16838" w:orient="portrait"/>
          <w:cols w:equalWidth="0" w:num="1">
            <w:col w:w="11420"/>
          </w:cols>
          <w:pgMar w:left="240" w:top="904" w:right="239" w:bottom="125" w:gutter="0" w:footer="0" w:header="0"/>
        </w:sectPr>
      </w:pPr>
    </w:p>
    <w:bookmarkStart w:id="33" w:name="page34"/>
    <w:bookmarkEnd w:id="33"/>
    <w:p>
      <w:pPr>
        <w:jc w:val="center"/>
        <w:ind w:right="-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United’s derivatives in fair value hedging relationships on the consolidated statement of operations for the three and nine months ended September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Location of Gain</w:t>
            </w:r>
          </w:p>
        </w:tc>
        <w:tc>
          <w:tcPr>
            <w:tcW w:w="240" w:type="dxa"/>
            <w:vAlign w:val="bottom"/>
          </w:tcPr>
          <w:p>
            <w:pPr>
              <w:spacing w:after="0"/>
              <w:rPr>
                <w:sz w:val="18"/>
                <w:szCs w:val="18"/>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Amount of Gain (Loss)</w:t>
            </w:r>
          </w:p>
        </w:tc>
        <w:tc>
          <w:tcPr>
            <w:tcW w:w="24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(Loss) Recognized</w:t>
            </w:r>
          </w:p>
        </w:tc>
        <w:tc>
          <w:tcPr>
            <w:tcW w:w="240" w:type="dxa"/>
            <w:vAlign w:val="bottom"/>
          </w:tcPr>
          <w:p>
            <w:pPr>
              <w:spacing w:after="0"/>
              <w:rPr>
                <w:sz w:val="18"/>
                <w:szCs w:val="18"/>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Recognized in Income</w:t>
            </w:r>
          </w:p>
        </w:tc>
        <w:tc>
          <w:tcPr>
            <w:tcW w:w="24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Recognized in Income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Income on</w:t>
            </w:r>
          </w:p>
        </w:tc>
        <w:tc>
          <w:tcPr>
            <w:tcW w:w="240" w:type="dxa"/>
            <w:vAlign w:val="bottom"/>
          </w:tcPr>
          <w:p>
            <w:pPr>
              <w:spacing w:after="0"/>
              <w:rPr>
                <w:sz w:val="22"/>
                <w:szCs w:val="22"/>
                <w:color w:val="auto"/>
              </w:rPr>
            </w:pPr>
          </w:p>
        </w:tc>
        <w:tc>
          <w:tcPr>
            <w:tcW w:w="15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on Derivative</w:t>
            </w: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on Hedged Item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Derivative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2014</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hedges of brokered CD's</w:t>
            </w:r>
          </w:p>
        </w:tc>
        <w:tc>
          <w:tcPr>
            <w:tcW w:w="1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4,374</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(4,247)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hedges of corporate bonds</w:t>
            </w:r>
          </w:p>
        </w:tc>
        <w:tc>
          <w:tcPr>
            <w:tcW w:w="19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Interest revenue</w:t>
            </w:r>
          </w:p>
        </w:tc>
        <w:tc>
          <w:tcPr>
            <w:tcW w:w="2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spacing w:after="0"/>
              <w:rPr>
                <w:sz w:val="18"/>
                <w:szCs w:val="18"/>
                <w:color w:val="auto"/>
              </w:rPr>
            </w:pPr>
          </w:p>
        </w:tc>
        <w:tc>
          <w:tcPr>
            <w:tcW w:w="18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F0FF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18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Nine Months Ended September 30,</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hedges of brokered CD's</w:t>
            </w:r>
          </w:p>
        </w:tc>
        <w:tc>
          <w:tcPr>
            <w:tcW w:w="19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3,599</w:t>
            </w:r>
          </w:p>
        </w:tc>
        <w:tc>
          <w:tcPr>
            <w:tcW w:w="460" w:type="dxa"/>
            <w:vAlign w:val="bottom"/>
            <w:gridSpan w:val="2"/>
            <w:shd w:val="clear" w:color="auto" w:fill="F0FF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10,078</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(3,365)</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(10,691)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hedges of corporate bonds</w:t>
            </w:r>
          </w:p>
        </w:tc>
        <w:tc>
          <w:tcPr>
            <w:tcW w:w="196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(2,487)</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1"/>
                <w:szCs w:val="21"/>
                <w:color w:val="auto"/>
              </w:rPr>
            </w:pPr>
          </w:p>
        </w:tc>
        <w:tc>
          <w:tcPr>
            <w:tcW w:w="18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3,204</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Borders>
              <w:top w:val="single" w:sz="8" w:color="auto"/>
              <w:bottom w:val="single" w:sz="8" w:color="auto"/>
            </w:tcBorders>
            <w:shd w:val="clear" w:color="auto" w:fill="F0FF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7,591</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(3,020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8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the issuing bank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September 30, 2015, collateral totaling $28.2 million was pledged toward derivatives in a liability position.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September 30, 2015, 212,000 additional awards could be granted under the plan. Through September 30, 2015, incentive stock options, nonqualified stock options, restricted stock and restricted stock unit awards, base salary stock grants and performance share awards have been granted under the plan.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gridSpan w:val="5"/>
          </w:tcPr>
          <w:p>
            <w:pPr>
              <w:jc w:val="right"/>
              <w:ind w:right="440"/>
              <w:spacing w:after="0"/>
              <w:rPr>
                <w:sz w:val="20"/>
                <w:szCs w:val="20"/>
                <w:color w:val="auto"/>
              </w:rPr>
            </w:pPr>
            <w:r>
              <w:rPr>
                <w:rFonts w:ascii="Arial" w:cs="Arial" w:eastAsia="Arial" w:hAnsi="Arial"/>
                <w:sz w:val="18"/>
                <w:szCs w:val="18"/>
                <w:color w:val="auto"/>
                <w:w w:val="92"/>
              </w:rPr>
              <w:t>The following table shows stock option activity for the first nine months of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Intrinisic</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 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240" w:type="dxa"/>
            <w:vAlign w:val="bottom"/>
            <w:gridSpan w:val="2"/>
          </w:tcPr>
          <w:p>
            <w:pPr>
              <w:ind w:left="1760"/>
              <w:spacing w:after="0"/>
              <w:rPr>
                <w:sz w:val="20"/>
                <w:szCs w:val="20"/>
                <w:color w:val="auto"/>
              </w:rPr>
            </w:pPr>
            <w:r>
              <w:rPr>
                <w:rFonts w:ascii="Arial" w:cs="Arial" w:eastAsia="Arial" w:hAnsi="Arial"/>
                <w:sz w:val="18"/>
                <w:szCs w:val="18"/>
                <w:b w:val="1"/>
                <w:bCs w:val="1"/>
                <w:color w:val="auto"/>
              </w:rPr>
              <w:t>Options</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Outstanding at December 31, 2014</w:t>
            </w: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313,555</w:t>
            </w:r>
          </w:p>
        </w:tc>
        <w:tc>
          <w:tcPr>
            <w:tcW w:w="1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93.40</w:t>
            </w: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(45,866)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108.93</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(12,460)</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103.97</w:t>
            </w:r>
          </w:p>
        </w:tc>
        <w:tc>
          <w:tcPr>
            <w:tcW w:w="180" w:type="dxa"/>
            <w:vAlign w:val="bottom"/>
            <w:shd w:val="clear" w:color="auto" w:fill="F0FFFF"/>
          </w:tcPr>
          <w:p>
            <w:pPr>
              <w:spacing w:after="0"/>
              <w:rPr>
                <w:sz w:val="21"/>
                <w:szCs w:val="21"/>
                <w:color w:val="auto"/>
              </w:rPr>
            </w:pPr>
          </w:p>
        </w:tc>
        <w:tc>
          <w:tcPr>
            <w:tcW w:w="13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240" w:type="dxa"/>
            <w:vAlign w:val="bottom"/>
            <w:tcBorders>
              <w:top w:val="single" w:sz="8" w:color="F0FFFF"/>
            </w:tcBorders>
            <w:gridSpan w:val="2"/>
          </w:tcPr>
          <w:p>
            <w:pPr>
              <w:spacing w:after="0"/>
              <w:rPr>
                <w:sz w:val="20"/>
                <w:szCs w:val="20"/>
                <w:color w:val="auto"/>
              </w:rPr>
            </w:pPr>
            <w:r>
              <w:rPr>
                <w:rFonts w:ascii="Arial" w:cs="Arial" w:eastAsia="Arial" w:hAnsi="Arial"/>
                <w:sz w:val="18"/>
                <w:szCs w:val="18"/>
                <w:color w:val="auto"/>
              </w:rPr>
              <w:t>Outstanding at September 30, 2015</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255,229</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11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90.10</w:t>
            </w:r>
          </w:p>
        </w:tc>
        <w:tc>
          <w:tcPr>
            <w:tcW w:w="180" w:type="dxa"/>
            <w:vAlign w:val="bottom"/>
            <w:tcBorders>
              <w:top w:val="single" w:sz="8" w:color="F0FFFF"/>
            </w:tcBorders>
          </w:tcPr>
          <w:p>
            <w:pPr>
              <w:spacing w:after="0"/>
              <w:rPr>
                <w:sz w:val="18"/>
                <w:szCs w:val="18"/>
                <w:color w:val="auto"/>
              </w:rPr>
            </w:pPr>
          </w:p>
        </w:tc>
        <w:tc>
          <w:tcPr>
            <w:tcW w:w="13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F0FF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1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3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Exercisable at September 30, 2015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242,729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93.89</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nine months ended September 30, 2015 and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by the SEC in ASC Topic 718-10-S99 to determine the expected life of options.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recognized $28,000 and $5,000, respectively, in compensation expense related to stock options during the nine months ended September 30, 2015 and 2014. The amount of compensation expense was determined based on the fair value of the options at the time of grant, multiplied by the number of options granted that were expected to vest, which was then amortized over the vesting period. The forfeiture rate for new options issued is estimated to be approximately 3% per year. No options were exercised during the first nine months of 2015 or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3"/>
          </w:tcPr>
          <w:p>
            <w:pPr>
              <w:spacing w:after="0"/>
              <w:rPr>
                <w:sz w:val="20"/>
                <w:szCs w:val="20"/>
                <w:color w:val="auto"/>
              </w:rPr>
            </w:pPr>
            <w:r>
              <w:rPr>
                <w:rFonts w:ascii="Arial" w:cs="Arial" w:eastAsia="Arial" w:hAnsi="Arial"/>
                <w:sz w:val="18"/>
                <w:szCs w:val="18"/>
                <w:color w:val="auto"/>
                <w:w w:val="99"/>
              </w:rPr>
              <w:t>The table below presents restricted stock units activity for the first nine months of 2015.</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Average Grant-</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5200" w:type="dxa"/>
            <w:vAlign w:val="bottom"/>
            <w:gridSpan w:val="2"/>
          </w:tcPr>
          <w:p>
            <w:pPr>
              <w:ind w:left="1420"/>
              <w:spacing w:after="0"/>
              <w:rPr>
                <w:sz w:val="20"/>
                <w:szCs w:val="20"/>
                <w:color w:val="auto"/>
              </w:rPr>
            </w:pPr>
            <w:r>
              <w:rPr>
                <w:rFonts w:ascii="Arial" w:cs="Arial" w:eastAsia="Arial" w:hAnsi="Arial"/>
                <w:sz w:val="18"/>
                <w:szCs w:val="18"/>
                <w:b w:val="1"/>
                <w:bCs w:val="1"/>
                <w:color w:val="auto"/>
              </w:rPr>
              <w:t>Restricted Stock Unit Awards</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Outstanding at December 31, 2014</w:t>
            </w:r>
          </w:p>
        </w:tc>
        <w:tc>
          <w:tcPr>
            <w:tcW w:w="1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829,201</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257,789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(298,165)</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(53,545)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55"/>
        </w:trPr>
        <w:tc>
          <w:tcPr>
            <w:tcW w:w="1720" w:type="dxa"/>
            <w:vAlign w:val="bottom"/>
          </w:tcPr>
          <w:p>
            <w:pPr>
              <w:spacing w:after="0"/>
              <w:rPr>
                <w:sz w:val="21"/>
                <w:szCs w:val="21"/>
                <w:color w:val="auto"/>
              </w:rPr>
            </w:pPr>
          </w:p>
        </w:tc>
        <w:tc>
          <w:tcPr>
            <w:tcW w:w="520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Outstanding at September 30, 2015</w:t>
            </w:r>
          </w:p>
        </w:tc>
        <w:tc>
          <w:tcPr>
            <w:tcW w:w="1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735,280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F0FFFF"/>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20" w:type="dxa"/>
            <w:vAlign w:val="bottom"/>
            <w:vMerge w:val="continue"/>
          </w:tcPr>
          <w:p>
            <w:pPr>
              <w:spacing w:after="0"/>
              <w:rPr>
                <w:sz w:val="22"/>
                <w:szCs w:val="22"/>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Vested at September 30, 2015</w:t>
            </w:r>
          </w:p>
        </w:tc>
        <w:tc>
          <w:tcPr>
            <w:tcW w:w="1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1,170</w:t>
            </w:r>
          </w:p>
        </w:tc>
        <w:tc>
          <w:tcPr>
            <w:tcW w:w="6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for restricted stock units is based on the fair value of restricted stock unit awards at the time of grant, which is equal to the value of United’s common stock on the date of grant. The value of restricted stock unit awards that are expected to vest is amortized into expense over the vesting period. For the nine months ended September 30, 2015 and 2014, compensation expense of $3.22 million and $3.23 million, respectively, was recognized related to restricted stock unit awards. In addition, for the nine months ended September 30, 2015 and 2014, $95,000 and $76,000, respectively, was recognized in other operating expense for restricted stock unit awards granted to members of United’s board of directors. The total intrinsic value of outstanding restricted stock unit awards was $15.0 million at September 30,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there was $10.2 million of unrecognized compensation cost related to non-vested stock options and restricted stock unit awards granted under the plan. That cost is expected to be recognized over a weighted-average period of 2.64 years. The aggregate grant date fair value of options and restricted stock unit awards that vested during the nine months ended September 30, 2015, was $4.11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and Preferred Stock Issued / Common Stock Issuable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No shares were issued through the DRIP in the first nine months of 2014. The DRIP, which was suspended during the first six months of 2014, was re-activated following United’s reinstatement of its quarterly dividend in the second quarter of 2014. In the nine months ended September 30, 2015, 1,564 shares were issued through the DRIP.</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401(k) Plan has routinely purchased shares of United’s common stock directly from United. Effective January 1, 2015, the 401(k) Plan discontinued offering shares of United’s common stock as an investment option. During the nine months ended September 30, 2014, United’s 401(k) Plan purchased 17,373 shares directly from United at the average of the high and low stock prices on the transaction dates which increased capital by $297,000.</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5% discount, with no commission charges. Effective January 1, 2015, the discount was increased to 10% on purchases made through the ESPP. During the first nine months of 2015 and 2014, United issued 10,197 shares and 7,911 shares, respectively, through the ESPP.</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September 30, 2015 and 2014, 454,870 and 354,961 shares of common stock, respectively, were issuable under the deferred compensation plan.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3, on May 1, 2015, the Company completed its previously announced acquisition of Moneytree. Upon completion of the acquisition, each share of preferred stock issued by MoneyTree as part of the SBLF program of the United States Department of Treasury (9,992 shares in the aggregate with a liquidation preference amount of $1,000 per share) was converted automatically into one substantially identical share of preferred stock of the Company with a liquidation preference amount of $1,000 per share, designated as the Company’s Non-Cumulative Perpetual Preferred Stock, Series H. The SBLF Preferred Shares have terms and conditions identical to those shares of preferred stock issued by MoneyTree to the Treasury. United will pay noncumulative dividends quarterly. The current dividend rate is 1.00% per annum through March 15, 2016. Following this date, the dividend rate will increase to 9% per annum thereafter.</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SBLF Preferred Shares may be redeemed at any time at the option of United, subject to the approval of the appropriate federal banking agency. All redemptions must be made at a per share redemption price equal to 100% of the liquidation preference, plus accrued and unpaid dividends as of the date of the redemption (“Redemption Date”) for the quarter that includes the Redemption Date, and a pro rata portion of any lending incentive fee. All redemptions must be in amounts equal to at least 25% of the number of originally issued shares, or 100% of the then outstanding shares, if less than 25% of the number of originally issued shares.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first quarter of 2014, United redeemed all of its outstanding Series B and D preferred stock. The preferred stock was redeemed at par and did not result in any gain or loss. The redemptions were funded from a combination of dividends from United Community Bank and cash on hand.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income tax provision for the three and nine months ended September 30, 2015 was $10.9 million and $32.4 million, respectively, which represents an effective tax rate of 37.8% for each period. The income tax provision for the three and nine months ended September 30, 2014 was $9.99 million and $28.7 million, respectively, which represents effective tax rates of 36.2% and 36.7%, respectively, for each period. At September 30, 2015, December 31, 2014 and September 30, 2014, United maintained a valuation allowance on its net deferred tax asset of $4.58 million, $4.12 million and $4.45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September 30, 2015. Based on the assessment of all the positive and negative evidence, management concluded that it is more likely than not that nearly all of its net deferred tax asset will be realized based upon future taxable income. The remaining valuation allowance of $4.58 million is related to specific state income tax credits that have short carryforward periods and are expected to expire unused.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September 30, 2015 that it was more likely than not that United’s net deferred tax asset of $197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2012. Although United is unable to determine the ultimate outcome of future examinations, United believes that the liability recorded for uncertain tax positions is appropriate.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2015, December 31, 2014 and September 30, 2014, unrecognized income tax benefits totaled $3.88 million, $4.20 million and $4.10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48"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loans held for sale are carried at the lower of cost or fair value. The fair value of mortgage loans held for sale is based on what secondary markets are currently offering for mortgage loans with similar characteristics.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2015, management had assessed the significance of the effect of the credit valuation adjustments on the overall valuation of its derivative positions and has determined that the credit valuation adjustments are not significant to the overall valuation of its derivatives. Additionally, in the review of the structured derivative inputs, it was determined that the broker quotes, used as a key valuation input, were not observable consistent with a level 2 disclosure. This resulted in United transferring those derivatives to Level 3 in the ASC 820 leveling disclosures as of December 31, 2014. The fair value of interest rate lock commitments, which are related to mortgage loan commitments and are categorized as Level 3, are based on quoted market prices adjusted for commitments that United does not expect to fund.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Government Guaranteed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recognizes servicing rights upon the sale of government guaranteed loans sold with servicing retained. This asset is recorded at fair value on recognition, and management has elected to carry this asset at fair value for subsequent reporting. Given the nature of the asset, the key valuation inputs are unobservable and management classifies this asset as Level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September 30, 2015, December 31, 2014 and September 30, 2014,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2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U.S. Treasuries</w:t>
            </w:r>
          </w:p>
        </w:tc>
        <w:tc>
          <w:tcPr>
            <w:tcW w:w="4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164,227</w:t>
            </w:r>
          </w:p>
        </w:tc>
        <w:tc>
          <w:tcPr>
            <w:tcW w:w="40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164,227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101,770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36,378</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36,378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1,119,681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1,119,681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206,940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207,690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468,256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1,866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3,290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Servicing rights for government guaranteed loans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3,331</w:t>
            </w: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3,331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13,067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6,839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19,906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6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167,517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1,947,958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10,920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2,126,395</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3,290</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14,601</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12,800</w:t>
            </w:r>
          </w:p>
        </w:tc>
        <w:tc>
          <w:tcPr>
            <w:tcW w:w="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27,401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F0FFFF"/>
            </w:tcBorders>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30,691</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20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U.S. Treasuries</w:t>
            </w:r>
          </w:p>
        </w:tc>
        <w:tc>
          <w:tcPr>
            <w:tcW w:w="4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105,709</w:t>
            </w:r>
          </w:p>
        </w:tc>
        <w:tc>
          <w:tcPr>
            <w:tcW w:w="40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20,233</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164,878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Servicing rights for government guaranteed loans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12,262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20,599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6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109,573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1,684,612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15,563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1,809,748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3,864</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13,018</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18,979</w:t>
            </w:r>
          </w:p>
        </w:tc>
        <w:tc>
          <w:tcPr>
            <w:tcW w:w="10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31,997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F0FFFF"/>
            </w:tcBorders>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18,979</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5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jc w:val="right"/>
              <w:ind w:right="29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5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F0FFFF"/>
          </w:tcPr>
          <w:p>
            <w:pPr>
              <w:ind w:left="340"/>
              <w:spacing w:after="0"/>
              <w:rPr>
                <w:sz w:val="20"/>
                <w:szCs w:val="20"/>
                <w:color w:val="auto"/>
              </w:rPr>
            </w:pPr>
            <w:r>
              <w:rPr>
                <w:rFonts w:ascii="Arial" w:cs="Arial" w:eastAsia="Arial" w:hAnsi="Arial"/>
                <w:sz w:val="18"/>
                <w:szCs w:val="18"/>
                <w:color w:val="auto"/>
              </w:rPr>
              <w:t>U.S. Treasuries</w:t>
            </w:r>
          </w:p>
        </w:tc>
        <w:tc>
          <w:tcPr>
            <w:tcW w:w="4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105,022</w:t>
            </w:r>
          </w:p>
        </w:tc>
        <w:tc>
          <w:tcPr>
            <w:tcW w:w="1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9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105,022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20,321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F0FFFF"/>
          </w:tcPr>
          <w:p>
            <w:pPr>
              <w:ind w:left="34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1,034,992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1,034,992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165,252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F0FF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462,044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462,044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3,734</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3,734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22,221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22,221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580" w:type="dxa"/>
            <w:vAlign w:val="bottom"/>
            <w:tcBorders>
              <w:top w:val="single" w:sz="8" w:color="F0FFFF"/>
              <w:bottom w:val="single" w:sz="8" w:color="F0FFFF"/>
            </w:tcBorders>
            <w:shd w:val="clear" w:color="auto" w:fill="F0FFFF"/>
          </w:tcPr>
          <w:p>
            <w:pPr>
              <w:ind w:left="5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1,811,588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100" w:type="dxa"/>
            <w:vAlign w:val="bottom"/>
            <w:tcBorders>
              <w:top w:val="single" w:sz="8" w:color="auto"/>
              <w:bottom w:val="single" w:sz="8" w:color="auto"/>
            </w:tcBorders>
            <w:shd w:val="clear" w:color="auto" w:fill="F0FFFF"/>
          </w:tcPr>
          <w:p>
            <w:pPr>
              <w:jc w:val="right"/>
              <w:ind w:right="9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1,815,622</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3,734</w:t>
            </w:r>
          </w:p>
        </w:tc>
        <w:tc>
          <w:tcPr>
            <w:tcW w:w="40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9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3,734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Brokered certificates of deposit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175,053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36,171</w:t>
            </w:r>
          </w:p>
        </w:tc>
        <w:tc>
          <w:tcPr>
            <w:tcW w:w="120" w:type="dxa"/>
            <w:vAlign w:val="bottom"/>
            <w:shd w:val="clear" w:color="auto" w:fill="F0FFFF"/>
          </w:tcPr>
          <w:p>
            <w:pPr>
              <w:spacing w:after="0"/>
              <w:rPr>
                <w:sz w:val="21"/>
                <w:szCs w:val="21"/>
                <w:color w:val="auto"/>
              </w:rPr>
            </w:pPr>
          </w:p>
        </w:tc>
        <w:tc>
          <w:tcPr>
            <w:tcW w:w="1100" w:type="dxa"/>
            <w:vAlign w:val="bottom"/>
            <w:shd w:val="clear" w:color="auto" w:fill="F0FFFF"/>
          </w:tcPr>
          <w:p>
            <w:pPr>
              <w:spacing w:after="0"/>
              <w:rPr>
                <w:sz w:val="21"/>
                <w:szCs w:val="21"/>
                <w:color w:val="auto"/>
              </w:rPr>
            </w:pPr>
          </w:p>
        </w:tc>
        <w:tc>
          <w:tcPr>
            <w:tcW w:w="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36,171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580" w:type="dxa"/>
            <w:vAlign w:val="bottom"/>
            <w:tcBorders>
              <w:top w:val="single" w:sz="8" w:color="F0FFFF"/>
            </w:tcBorders>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211,224</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214,958</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Derivative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Derivative</w:t>
            </w: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Servicing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Available-for-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Available-for-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Asset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Liability</w:t>
            </w:r>
          </w:p>
        </w:tc>
        <w:tc>
          <w:tcPr>
            <w:tcW w:w="16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rights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Sale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11,531</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18,261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3,118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Sales and settlements</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160"/>
              <w:spacing w:after="0" w:line="201" w:lineRule="exact"/>
              <w:rPr>
                <w:sz w:val="20"/>
                <w:szCs w:val="20"/>
                <w:color w:val="auto"/>
              </w:rPr>
            </w:pPr>
            <w:r>
              <w:rPr>
                <w:rFonts w:ascii="Arial" w:cs="Arial" w:eastAsia="Arial" w:hAnsi="Arial"/>
                <w:sz w:val="18"/>
                <w:szCs w:val="18"/>
                <w:color w:val="auto"/>
              </w:rPr>
              <w:t>Amounts included in earnings - fair value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(5,461)</w:t>
            </w:r>
          </w:p>
        </w:tc>
        <w:tc>
          <w:tcPr>
            <w:tcW w:w="1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6,839</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12,800</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Nine Months Ended September 30,</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12,262</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18,979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Sales and settlements</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160"/>
              <w:spacing w:after="0" w:line="201" w:lineRule="exact"/>
              <w:rPr>
                <w:sz w:val="20"/>
                <w:szCs w:val="20"/>
                <w:color w:val="auto"/>
              </w:rPr>
            </w:pPr>
            <w:r>
              <w:rPr>
                <w:rFonts w:ascii="Arial" w:cs="Arial" w:eastAsia="Arial" w:hAnsi="Arial"/>
                <w:sz w:val="18"/>
                <w:szCs w:val="18"/>
                <w:color w:val="auto"/>
              </w:rPr>
              <w:t>Amounts included in earnings - fair value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(6,179)</w:t>
            </w:r>
          </w:p>
        </w:tc>
        <w:tc>
          <w:tcPr>
            <w:tcW w:w="1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6,839</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12,800</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4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gridSpan w:val="2"/>
          </w:tcPr>
          <w:p>
            <w:pPr>
              <w:ind w:left="100"/>
              <w:spacing w:after="0"/>
              <w:rPr>
                <w:sz w:val="20"/>
                <w:szCs w:val="20"/>
                <w:color w:val="auto"/>
              </w:rPr>
            </w:pPr>
            <w:r>
              <w:rPr>
                <w:rFonts w:ascii="Arial" w:cs="Arial" w:eastAsia="Arial" w:hAnsi="Arial"/>
                <w:sz w:val="18"/>
                <w:szCs w:val="18"/>
                <w:color w:val="auto"/>
                <w:w w:val="89"/>
              </w:rPr>
              <w:t>38</w:t>
            </w:r>
          </w:p>
        </w:tc>
        <w:tc>
          <w:tcPr>
            <w:tcW w:w="10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at September 30, 2015, December 31, 2014 and September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rPr>
              <w:t>September 30,</w:t>
            </w:r>
          </w:p>
        </w:tc>
        <w:tc>
          <w:tcPr>
            <w:tcW w:w="90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ind w:left="580"/>
              <w:spacing w:after="0"/>
              <w:rPr>
                <w:sz w:val="20"/>
                <w:szCs w:val="20"/>
                <w:color w:val="auto"/>
              </w:rPr>
            </w:pPr>
            <w:r>
              <w:rPr>
                <w:rFonts w:ascii="Arial" w:cs="Arial" w:eastAsia="Arial" w:hAnsi="Arial"/>
                <w:sz w:val="14"/>
                <w:szCs w:val="14"/>
                <w:b w:val="1"/>
                <w:bCs w:val="1"/>
                <w:color w:val="auto"/>
              </w:rPr>
              <w:t>Level 3 Assets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00" w:type="dxa"/>
            <w:vAlign w:val="bottom"/>
          </w:tcPr>
          <w:p>
            <w:pPr>
              <w:spacing w:after="0"/>
              <w:rPr>
                <w:sz w:val="15"/>
                <w:szCs w:val="15"/>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Unobservable Inputs</w:t>
            </w: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Servicing Rights for</w:t>
            </w:r>
          </w:p>
        </w:tc>
        <w:tc>
          <w:tcPr>
            <w:tcW w:w="320" w:type="dxa"/>
            <w:vAlign w:val="bottom"/>
            <w:gridSpan w:val="2"/>
            <w:shd w:val="clear" w:color="auto" w:fill="F0FFFF"/>
          </w:tcPr>
          <w:p>
            <w:pPr>
              <w:jc w:val="right"/>
              <w:ind w:right="68"/>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120"/>
              <w:spacing w:after="0" w:line="130" w:lineRule="exact"/>
              <w:rPr>
                <w:sz w:val="20"/>
                <w:szCs w:val="20"/>
                <w:color w:val="auto"/>
              </w:rPr>
            </w:pPr>
            <w:r>
              <w:rPr>
                <w:rFonts w:ascii="Arial" w:cs="Arial" w:eastAsia="Arial" w:hAnsi="Arial"/>
                <w:sz w:val="14"/>
                <w:szCs w:val="14"/>
                <w:color w:val="auto"/>
              </w:rPr>
              <w:t>3,331</w:t>
            </w:r>
          </w:p>
        </w:tc>
        <w:tc>
          <w:tcPr>
            <w:tcW w:w="220" w:type="dxa"/>
            <w:vAlign w:val="bottom"/>
            <w:gridSpan w:val="2"/>
            <w:shd w:val="clear" w:color="auto" w:fill="F0FFFF"/>
          </w:tcPr>
          <w:p>
            <w:pPr>
              <w:jc w:val="right"/>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120"/>
              <w:spacing w:after="0" w:line="130" w:lineRule="exact"/>
              <w:rPr>
                <w:sz w:val="20"/>
                <w:szCs w:val="20"/>
                <w:color w:val="auto"/>
              </w:rPr>
            </w:pPr>
            <w:r>
              <w:rPr>
                <w:rFonts w:ascii="Arial" w:cs="Arial" w:eastAsia="Arial" w:hAnsi="Arial"/>
                <w:sz w:val="14"/>
                <w:szCs w:val="14"/>
                <w:color w:val="auto"/>
              </w:rPr>
              <w:t>2,551</w:t>
            </w:r>
          </w:p>
        </w:tc>
        <w:tc>
          <w:tcPr>
            <w:tcW w:w="300" w:type="dxa"/>
            <w:vAlign w:val="bottom"/>
            <w:gridSpan w:val="2"/>
            <w:shd w:val="clear" w:color="auto" w:fill="F0FFFF"/>
          </w:tcPr>
          <w:p>
            <w:pPr>
              <w:ind w:left="10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F0FFFF"/>
          </w:tcPr>
          <w:p>
            <w:pPr>
              <w:ind w:left="100"/>
              <w:spacing w:after="0" w:line="130" w:lineRule="exact"/>
              <w:rPr>
                <w:sz w:val="20"/>
                <w:szCs w:val="20"/>
                <w:color w:val="auto"/>
              </w:rPr>
            </w:pPr>
            <w:r>
              <w:rPr>
                <w:rFonts w:ascii="Arial" w:cs="Arial" w:eastAsia="Arial" w:hAnsi="Arial"/>
                <w:sz w:val="14"/>
                <w:szCs w:val="14"/>
                <w:color w:val="auto"/>
              </w:rPr>
              <w:t>Discounted</w:t>
            </w:r>
          </w:p>
        </w:tc>
        <w:tc>
          <w:tcPr>
            <w:tcW w:w="2040" w:type="dxa"/>
            <w:vAlign w:val="bottom"/>
            <w:gridSpan w:val="3"/>
            <w:shd w:val="clear" w:color="auto" w:fill="F0FF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140" w:type="dxa"/>
            <w:vAlign w:val="bottom"/>
            <w:gridSpan w:val="2"/>
            <w:shd w:val="clear" w:color="auto" w:fill="F0FFFF"/>
          </w:tcPr>
          <w:p>
            <w:pPr>
              <w:ind w:left="660"/>
              <w:spacing w:after="0" w:line="130" w:lineRule="exact"/>
              <w:rPr>
                <w:sz w:val="20"/>
                <w:szCs w:val="20"/>
                <w:color w:val="auto"/>
              </w:rPr>
            </w:pPr>
            <w:r>
              <w:rPr>
                <w:rFonts w:ascii="Arial" w:cs="Arial" w:eastAsia="Arial" w:hAnsi="Arial"/>
                <w:sz w:val="14"/>
                <w:szCs w:val="14"/>
                <w:color w:val="auto"/>
              </w:rPr>
              <w:t>11.9%</w:t>
            </w:r>
          </w:p>
        </w:tc>
        <w:tc>
          <w:tcPr>
            <w:tcW w:w="1020" w:type="dxa"/>
            <w:vAlign w:val="bottom"/>
            <w:gridSpan w:val="2"/>
            <w:shd w:val="clear" w:color="auto" w:fill="F0FFFF"/>
          </w:tcPr>
          <w:p>
            <w:pPr>
              <w:ind w:left="640"/>
              <w:spacing w:after="0" w:line="130" w:lineRule="exact"/>
              <w:rPr>
                <w:sz w:val="20"/>
                <w:szCs w:val="20"/>
                <w:color w:val="auto"/>
              </w:rPr>
            </w:pPr>
            <w:r>
              <w:rPr>
                <w:rFonts w:ascii="Arial" w:cs="Arial" w:eastAsia="Arial" w:hAnsi="Arial"/>
                <w:sz w:val="14"/>
                <w:szCs w:val="14"/>
                <w:color w:val="auto"/>
                <w:w w:val="90"/>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Government</w:t>
            </w: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7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cash flow</w:t>
            </w:r>
          </w:p>
        </w:tc>
        <w:tc>
          <w:tcPr>
            <w:tcW w:w="20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Prepayment Rate</w:t>
            </w:r>
          </w:p>
        </w:tc>
        <w:tc>
          <w:tcPr>
            <w:tcW w:w="1140" w:type="dxa"/>
            <w:vAlign w:val="bottom"/>
            <w:gridSpan w:val="2"/>
            <w:shd w:val="clear" w:color="auto" w:fill="F0FFFF"/>
          </w:tcPr>
          <w:p>
            <w:pPr>
              <w:ind w:left="660"/>
              <w:spacing w:after="0" w:line="149" w:lineRule="exact"/>
              <w:rPr>
                <w:sz w:val="20"/>
                <w:szCs w:val="20"/>
                <w:color w:val="auto"/>
              </w:rPr>
            </w:pPr>
            <w:r>
              <w:rPr>
                <w:rFonts w:ascii="Arial" w:cs="Arial" w:eastAsia="Arial" w:hAnsi="Arial"/>
                <w:sz w:val="14"/>
                <w:szCs w:val="14"/>
                <w:color w:val="auto"/>
              </w:rPr>
              <w:t>7.01%</w:t>
            </w:r>
          </w:p>
        </w:tc>
        <w:tc>
          <w:tcPr>
            <w:tcW w:w="1020" w:type="dxa"/>
            <w:vAlign w:val="bottom"/>
            <w:gridSpan w:val="2"/>
            <w:shd w:val="clear" w:color="auto" w:fill="F0FFFF"/>
          </w:tcPr>
          <w:p>
            <w:pPr>
              <w:ind w:left="640"/>
              <w:spacing w:after="0" w:line="149" w:lineRule="exact"/>
              <w:rPr>
                <w:sz w:val="20"/>
                <w:szCs w:val="20"/>
                <w:color w:val="auto"/>
              </w:rPr>
            </w:pPr>
            <w:r>
              <w:rPr>
                <w:rFonts w:ascii="Arial" w:cs="Arial" w:eastAsia="Arial" w:hAnsi="Arial"/>
                <w:sz w:val="14"/>
                <w:szCs w:val="14"/>
                <w:color w:val="auto"/>
                <w:w w:val="90"/>
              </w:rPr>
              <w:t>6.70%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F0FFFF"/>
          </w:tcPr>
          <w:p>
            <w:pPr>
              <w:spacing w:after="0"/>
              <w:rPr>
                <w:sz w:val="20"/>
                <w:szCs w:val="20"/>
                <w:color w:val="auto"/>
              </w:rPr>
            </w:pPr>
            <w:r>
              <w:rPr>
                <w:rFonts w:ascii="Arial" w:cs="Arial" w:eastAsia="Arial" w:hAnsi="Arial"/>
                <w:sz w:val="14"/>
                <w:szCs w:val="14"/>
                <w:color w:val="auto"/>
              </w:rPr>
              <w:t>Guaranteed Loans</w:t>
            </w:r>
          </w:p>
        </w:tc>
        <w:tc>
          <w:tcPr>
            <w:tcW w:w="1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8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Corporate Bonds</w:t>
            </w:r>
          </w:p>
        </w:tc>
        <w:tc>
          <w:tcPr>
            <w:tcW w:w="1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20"/>
              <w:spacing w:after="0" w:line="130" w:lineRule="exact"/>
              <w:rPr>
                <w:sz w:val="20"/>
                <w:szCs w:val="20"/>
                <w:color w:val="auto"/>
              </w:rPr>
            </w:pPr>
            <w:r>
              <w:rPr>
                <w:rFonts w:ascii="Arial" w:cs="Arial" w:eastAsia="Arial" w:hAnsi="Arial"/>
                <w:sz w:val="14"/>
                <w:szCs w:val="14"/>
                <w:color w:val="auto"/>
              </w:rPr>
              <w:t>750</w:t>
            </w: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120"/>
              <w:spacing w:after="0" w:line="130" w:lineRule="exact"/>
              <w:rPr>
                <w:sz w:val="20"/>
                <w:szCs w:val="20"/>
                <w:color w:val="auto"/>
              </w:rPr>
            </w:pPr>
            <w:r>
              <w:rPr>
                <w:rFonts w:ascii="Arial" w:cs="Arial" w:eastAsia="Arial" w:hAnsi="Arial"/>
                <w:sz w:val="14"/>
                <w:szCs w:val="14"/>
                <w:color w:val="auto"/>
              </w:rPr>
              <w:t>750</w:t>
            </w: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20" w:type="dxa"/>
            <w:vAlign w:val="bottom"/>
            <w:gridSpan w:val="2"/>
            <w:shd w:val="clear" w:color="auto" w:fill="F0FFFF"/>
          </w:tcPr>
          <w:p>
            <w:pPr>
              <w:jc w:val="right"/>
              <w:ind w:right="100"/>
              <w:spacing w:after="0" w:line="130" w:lineRule="exact"/>
              <w:rPr>
                <w:sz w:val="20"/>
                <w:szCs w:val="20"/>
                <w:color w:val="auto"/>
              </w:rPr>
            </w:pPr>
            <w:r>
              <w:rPr>
                <w:rFonts w:ascii="Arial" w:cs="Arial" w:eastAsia="Arial" w:hAnsi="Arial"/>
                <w:sz w:val="14"/>
                <w:szCs w:val="14"/>
                <w:color w:val="auto"/>
              </w:rPr>
              <w:t>300</w:t>
            </w:r>
          </w:p>
        </w:tc>
        <w:tc>
          <w:tcPr>
            <w:tcW w:w="1700" w:type="dxa"/>
            <w:vAlign w:val="bottom"/>
            <w:gridSpan w:val="2"/>
            <w:shd w:val="clear" w:color="auto" w:fill="F0FFFF"/>
          </w:tcPr>
          <w:p>
            <w:pPr>
              <w:ind w:left="100"/>
              <w:spacing w:after="0" w:line="130" w:lineRule="exact"/>
              <w:rPr>
                <w:sz w:val="20"/>
                <w:szCs w:val="20"/>
                <w:color w:val="auto"/>
              </w:rPr>
            </w:pPr>
            <w:r>
              <w:rPr>
                <w:rFonts w:ascii="Arial" w:cs="Arial" w:eastAsia="Arial" w:hAnsi="Arial"/>
                <w:sz w:val="14"/>
                <w:szCs w:val="14"/>
                <w:color w:val="auto"/>
                <w:w w:val="99"/>
              </w:rPr>
              <w:t>Indicative bid provided by</w:t>
            </w:r>
          </w:p>
        </w:tc>
        <w:tc>
          <w:tcPr>
            <w:tcW w:w="2040" w:type="dxa"/>
            <w:vAlign w:val="bottom"/>
            <w:gridSpan w:val="3"/>
            <w:shd w:val="clear" w:color="auto" w:fill="F0FFFF"/>
          </w:tcPr>
          <w:p>
            <w:pPr>
              <w:ind w:left="100"/>
              <w:spacing w:after="0" w:line="130" w:lineRule="exact"/>
              <w:rPr>
                <w:sz w:val="20"/>
                <w:szCs w:val="20"/>
                <w:color w:val="auto"/>
              </w:rPr>
            </w:pPr>
            <w:r>
              <w:rPr>
                <w:rFonts w:ascii="Arial" w:cs="Arial" w:eastAsia="Arial" w:hAnsi="Arial"/>
                <w:sz w:val="14"/>
                <w:szCs w:val="14"/>
                <w:color w:val="auto"/>
              </w:rPr>
              <w:t>Multiple factors, including but</w:t>
            </w:r>
          </w:p>
        </w:tc>
        <w:tc>
          <w:tcPr>
            <w:tcW w:w="1140" w:type="dxa"/>
            <w:vAlign w:val="bottom"/>
            <w:gridSpan w:val="2"/>
            <w:shd w:val="clear" w:color="auto" w:fill="F0FFFF"/>
          </w:tcPr>
          <w:p>
            <w:pPr>
              <w:ind w:left="660"/>
              <w:spacing w:after="0" w:line="130"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F0FFFF"/>
          </w:tcPr>
          <w:p>
            <w:pPr>
              <w:ind w:left="660"/>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7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a broker</w:t>
            </w:r>
          </w:p>
        </w:tc>
        <w:tc>
          <w:tcPr>
            <w:tcW w:w="20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not limited to, current</w:t>
            </w:r>
          </w:p>
        </w:tc>
        <w:tc>
          <w:tcPr>
            <w:tcW w:w="9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0" w:type="dxa"/>
            <w:vAlign w:val="bottom"/>
            <w:shd w:val="clear" w:color="auto" w:fill="F0FFFF"/>
          </w:tcPr>
          <w:p>
            <w:pPr>
              <w:spacing w:after="0"/>
              <w:rPr>
                <w:sz w:val="12"/>
                <w:szCs w:val="12"/>
                <w:color w:val="auto"/>
              </w:rPr>
            </w:pPr>
          </w:p>
        </w:tc>
        <w:tc>
          <w:tcPr>
            <w:tcW w:w="20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operations, financial condition,</w:t>
            </w:r>
          </w:p>
        </w:tc>
        <w:tc>
          <w:tcPr>
            <w:tcW w:w="9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0" w:type="dxa"/>
            <w:vAlign w:val="bottom"/>
            <w:shd w:val="clear" w:color="auto" w:fill="F0FFFF"/>
          </w:tcPr>
          <w:p>
            <w:pPr>
              <w:spacing w:after="0"/>
              <w:rPr>
                <w:sz w:val="12"/>
                <w:szCs w:val="12"/>
                <w:color w:val="auto"/>
              </w:rPr>
            </w:pPr>
          </w:p>
        </w:tc>
        <w:tc>
          <w:tcPr>
            <w:tcW w:w="20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cash flows, and recently</w:t>
            </w:r>
          </w:p>
        </w:tc>
        <w:tc>
          <w:tcPr>
            <w:tcW w:w="9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0" w:type="dxa"/>
            <w:vAlign w:val="bottom"/>
            <w:shd w:val="clear" w:color="auto" w:fill="F0FFFF"/>
          </w:tcPr>
          <w:p>
            <w:pPr>
              <w:spacing w:after="0"/>
              <w:rPr>
                <w:sz w:val="12"/>
                <w:szCs w:val="12"/>
                <w:color w:val="auto"/>
              </w:rPr>
            </w:pPr>
          </w:p>
        </w:tc>
        <w:tc>
          <w:tcPr>
            <w:tcW w:w="20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w w:val="97"/>
              </w:rPr>
              <w:t>executed financing transactions</w:t>
            </w:r>
          </w:p>
        </w:tc>
        <w:tc>
          <w:tcPr>
            <w:tcW w:w="9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2040" w:type="dxa"/>
            <w:vAlign w:val="bottom"/>
            <w:gridSpan w:val="3"/>
            <w:shd w:val="clear" w:color="auto" w:fill="F0FFFF"/>
          </w:tcPr>
          <w:p>
            <w:pPr>
              <w:ind w:left="100"/>
              <w:spacing w:after="0"/>
              <w:rPr>
                <w:sz w:val="20"/>
                <w:szCs w:val="20"/>
                <w:color w:val="auto"/>
              </w:rPr>
            </w:pPr>
            <w:r>
              <w:rPr>
                <w:rFonts w:ascii="Arial" w:cs="Arial" w:eastAsia="Arial" w:hAnsi="Arial"/>
                <w:sz w:val="14"/>
                <w:szCs w:val="14"/>
                <w:color w:val="auto"/>
              </w:rPr>
              <w:t>related to the company</w:t>
            </w:r>
          </w:p>
        </w:tc>
        <w:tc>
          <w:tcPr>
            <w:tcW w:w="9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Derivative assets</w:t>
            </w: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6,839</w:t>
            </w: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12,262</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20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1140" w:type="dxa"/>
            <w:vAlign w:val="bottom"/>
            <w:gridSpan w:val="2"/>
            <w:shd w:val="clear" w:color="auto" w:fill="F0FFFF"/>
          </w:tcPr>
          <w:p>
            <w:pPr>
              <w:ind w:left="66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F0FFFF"/>
          </w:tcPr>
          <w:p>
            <w:pPr>
              <w:ind w:left="6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Derivative liabilities</w:t>
            </w:r>
          </w:p>
        </w:tc>
        <w:tc>
          <w:tcPr>
            <w:tcW w:w="1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12,800</w:t>
            </w: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18,979</w:t>
            </w: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20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1140" w:type="dxa"/>
            <w:vAlign w:val="bottom"/>
            <w:gridSpan w:val="2"/>
            <w:shd w:val="clear" w:color="auto" w:fill="F0FFFF"/>
          </w:tcPr>
          <w:p>
            <w:pPr>
              <w:ind w:left="66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F0FFFF"/>
          </w:tcPr>
          <w:p>
            <w:pPr>
              <w:ind w:left="6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assets are not measured at fair value on a recurring basis, but are subject to fair value adjustments in certain circumstances. These adjustments to fair value usually result from the application of lower of amortized cost or fair value accounting or write-downs of individual assets due to impairment. The following table presents the fair value hierarchy and carrying value of all assets that were still held as of September 30, 2015, December 31, 2014 and September 30, 2014, for which a nonrecurring fair value adjustment was recorded during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1160" w:type="dxa"/>
            <w:vAlign w:val="bottom"/>
          </w:tcPr>
          <w:p>
            <w:pPr>
              <w:jc w:val="right"/>
              <w:ind w:right="97"/>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97"/>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F0FFFF"/>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ind w:right="99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ind w:right="99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6,948</w:t>
            </w:r>
          </w:p>
        </w:tc>
        <w:tc>
          <w:tcPr>
            <w:tcW w:w="2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6,948</w:t>
            </w:r>
          </w:p>
        </w:tc>
        <w:tc>
          <w:tcPr>
            <w:tcW w:w="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160"/>
              <w:spacing w:after="0" w:line="203" w:lineRule="exact"/>
              <w:rPr>
                <w:sz w:val="20"/>
                <w:szCs w:val="20"/>
                <w:color w:val="auto"/>
              </w:rPr>
            </w:pPr>
            <w:r>
              <w:rPr>
                <w:rFonts w:ascii="Arial" w:cs="Arial" w:eastAsia="Arial" w:hAnsi="Arial"/>
                <w:sz w:val="18"/>
                <w:szCs w:val="18"/>
                <w:color w:val="auto"/>
              </w:rPr>
              <w:t>Loans</w:t>
            </w:r>
          </w:p>
        </w:tc>
        <w:tc>
          <w:tcPr>
            <w:tcW w:w="1280" w:type="dxa"/>
            <w:vAlign w:val="bottom"/>
            <w:gridSpan w:val="2"/>
          </w:tcPr>
          <w:p>
            <w:pPr>
              <w:jc w:val="right"/>
              <w:ind w:right="997"/>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97"/>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5"/>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7,317</w:t>
            </w:r>
          </w:p>
        </w:tc>
        <w:tc>
          <w:tcPr>
            <w:tcW w:w="520" w:type="dxa"/>
            <w:vAlign w:val="bottom"/>
            <w:gridSpan w:val="2"/>
          </w:tcPr>
          <w:p>
            <w:pPr>
              <w:jc w:val="right"/>
              <w:ind w:right="145"/>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7,317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September 30, 2014</w:t>
            </w:r>
          </w:p>
        </w:tc>
        <w:tc>
          <w:tcPr>
            <w:tcW w:w="120" w:type="dxa"/>
            <w:vAlign w:val="bottom"/>
            <w:tcBorders>
              <w:bottom w:val="single" w:sz="8" w:color="F0FFFF"/>
            </w:tcBorders>
          </w:tcPr>
          <w:p>
            <w:pPr>
              <w:spacing w:after="0"/>
              <w:rPr>
                <w:sz w:val="20"/>
                <w:szCs w:val="20"/>
                <w:color w:val="auto"/>
              </w:rPr>
            </w:pPr>
          </w:p>
        </w:tc>
        <w:tc>
          <w:tcPr>
            <w:tcW w:w="1160" w:type="dxa"/>
            <w:vAlign w:val="bottom"/>
            <w:tcBorders>
              <w:bottom w:val="single" w:sz="8" w:color="F0FFFF"/>
            </w:tcBorders>
          </w:tcPr>
          <w:p>
            <w:pPr>
              <w:spacing w:after="0"/>
              <w:rPr>
                <w:sz w:val="20"/>
                <w:szCs w:val="20"/>
                <w:color w:val="auto"/>
              </w:rPr>
            </w:pPr>
          </w:p>
        </w:tc>
        <w:tc>
          <w:tcPr>
            <w:tcW w:w="24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1160" w:type="dxa"/>
            <w:vAlign w:val="bottom"/>
            <w:tcBorders>
              <w:bottom w:val="single" w:sz="8" w:color="F0FFFF"/>
            </w:tcBorders>
          </w:tcPr>
          <w:p>
            <w:pPr>
              <w:spacing w:after="0"/>
              <w:rPr>
                <w:sz w:val="20"/>
                <w:szCs w:val="20"/>
                <w:color w:val="auto"/>
              </w:rPr>
            </w:pPr>
          </w:p>
        </w:tc>
        <w:tc>
          <w:tcPr>
            <w:tcW w:w="24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260" w:type="dxa"/>
            <w:vAlign w:val="bottom"/>
            <w:tcBorders>
              <w:bottom w:val="single" w:sz="8" w:color="F0FFFF"/>
            </w:tcBorders>
          </w:tcPr>
          <w:p>
            <w:pPr>
              <w:spacing w:after="0"/>
              <w:rPr>
                <w:sz w:val="20"/>
                <w:szCs w:val="20"/>
                <w:color w:val="auto"/>
              </w:rPr>
            </w:pPr>
          </w:p>
        </w:tc>
        <w:tc>
          <w:tcPr>
            <w:tcW w:w="114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300" w:type="dxa"/>
            <w:vAlign w:val="bottom"/>
            <w:tcBorders>
              <w:bottom w:val="single" w:sz="8" w:color="F0FFFF"/>
            </w:tcBorders>
          </w:tcPr>
          <w:p>
            <w:pPr>
              <w:spacing w:after="0"/>
              <w:rPr>
                <w:sz w:val="20"/>
                <w:szCs w:val="20"/>
                <w:color w:val="auto"/>
              </w:rPr>
            </w:pPr>
          </w:p>
        </w:tc>
        <w:tc>
          <w:tcPr>
            <w:tcW w:w="110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w:t>
            </w:r>
          </w:p>
        </w:tc>
        <w:tc>
          <w:tcPr>
            <w:tcW w:w="1280" w:type="dxa"/>
            <w:vAlign w:val="bottom"/>
            <w:gridSpan w:val="2"/>
            <w:shd w:val="clear" w:color="auto" w:fill="F0FFFF"/>
          </w:tcPr>
          <w:p>
            <w:pPr>
              <w:jc w:val="right"/>
              <w:ind w:right="997"/>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997"/>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8,165</w:t>
            </w:r>
          </w:p>
        </w:tc>
        <w:tc>
          <w:tcPr>
            <w:tcW w:w="52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8,165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 As discussed in Note 2, United retrospectively adopted ASU 2015-10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xml:space="preserve"> during second quarter 2015, which clarified the guidance for disclosure of nonrecurring fair value measurements and has been reflected in the disclosures presented in the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26"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September 30, 2015, December 31, 2014, and September 30, 2014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Carrying</w:t>
            </w:r>
          </w:p>
        </w:tc>
        <w:tc>
          <w:tcPr>
            <w:tcW w:w="2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8"/>
                <w:szCs w:val="18"/>
                <w:b w:val="1"/>
                <w:bCs w:val="1"/>
                <w:color w:val="auto"/>
              </w:rPr>
              <w:t>Fair Value Level</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00" w:type="dxa"/>
            <w:vAlign w:val="bottom"/>
            <w:gridSpan w:val="2"/>
          </w:tcPr>
          <w:p>
            <w:pPr>
              <w:ind w:left="580"/>
              <w:spacing w:after="0"/>
              <w:rPr>
                <w:sz w:val="20"/>
                <w:szCs w:val="20"/>
                <w:color w:val="auto"/>
              </w:rPr>
            </w:pPr>
            <w:r>
              <w:rPr>
                <w:rFonts w:ascii="Arial" w:cs="Arial" w:eastAsia="Arial" w:hAnsi="Arial"/>
                <w:sz w:val="18"/>
                <w:szCs w:val="18"/>
                <w:b w:val="1"/>
                <w:bCs w:val="1"/>
                <w:color w:val="auto"/>
              </w:rPr>
              <w:t>September 30,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Level 3</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357,549</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368,096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368,096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5,954,523</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5,947,615</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5,947,615</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23,088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7,905,012</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7,904,994</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7,904,994</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200,125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200,140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200,140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165,620</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167,340</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167,340</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36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Securities held to maturity</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415,267</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425,233</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425,233</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4,600,500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4,549,027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4,549,027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13,737</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14,139</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14,139</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2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6,326,512</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6,328,264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6,328,264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270,125</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270,125</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270,125</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129,865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132,814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132,814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September 30, 2014</w:t>
            </w:r>
          </w:p>
        </w:tc>
        <w:tc>
          <w:tcPr>
            <w:tcW w:w="100" w:type="dxa"/>
            <w:vAlign w:val="bottom"/>
            <w:tcBorders>
              <w:bottom w:val="single" w:sz="8" w:color="F0FFFF"/>
            </w:tcBorders>
          </w:tcPr>
          <w:p>
            <w:pPr>
              <w:spacing w:after="0"/>
              <w:rPr>
                <w:sz w:val="20"/>
                <w:szCs w:val="20"/>
                <w:color w:val="auto"/>
              </w:rPr>
            </w:pPr>
          </w:p>
        </w:tc>
        <w:tc>
          <w:tcPr>
            <w:tcW w:w="160" w:type="dxa"/>
            <w:vAlign w:val="bottom"/>
            <w:tcBorders>
              <w:bottom w:val="single" w:sz="8" w:color="F0FFFF"/>
            </w:tcBorders>
          </w:tcPr>
          <w:p>
            <w:pPr>
              <w:spacing w:after="0"/>
              <w:rPr>
                <w:sz w:val="20"/>
                <w:szCs w:val="20"/>
                <w:color w:val="auto"/>
              </w:rPr>
            </w:pPr>
          </w:p>
        </w:tc>
        <w:tc>
          <w:tcPr>
            <w:tcW w:w="1000" w:type="dxa"/>
            <w:vAlign w:val="bottom"/>
            <w:tcBorders>
              <w:bottom w:val="single" w:sz="8" w:color="F0FFFF"/>
            </w:tcBorders>
          </w:tcPr>
          <w:p>
            <w:pPr>
              <w:spacing w:after="0"/>
              <w:rPr>
                <w:sz w:val="20"/>
                <w:szCs w:val="20"/>
                <w:color w:val="auto"/>
              </w:rPr>
            </w:pPr>
          </w:p>
        </w:tc>
        <w:tc>
          <w:tcPr>
            <w:tcW w:w="200" w:type="dxa"/>
            <w:vAlign w:val="bottom"/>
            <w:tcBorders>
              <w:bottom w:val="single" w:sz="8" w:color="F0FFFF"/>
            </w:tcBorders>
          </w:tcPr>
          <w:p>
            <w:pPr>
              <w:spacing w:after="0"/>
              <w:rPr>
                <w:sz w:val="20"/>
                <w:szCs w:val="20"/>
                <w:color w:val="auto"/>
              </w:rPr>
            </w:pPr>
          </w:p>
        </w:tc>
        <w:tc>
          <w:tcPr>
            <w:tcW w:w="960" w:type="dxa"/>
            <w:vAlign w:val="bottom"/>
            <w:tcBorders>
              <w:bottom w:val="single" w:sz="8" w:color="F0FFFF"/>
            </w:tcBorders>
          </w:tcPr>
          <w:p>
            <w:pPr>
              <w:spacing w:after="0"/>
              <w:rPr>
                <w:sz w:val="20"/>
                <w:szCs w:val="20"/>
                <w:color w:val="auto"/>
              </w:rPr>
            </w:pPr>
          </w:p>
        </w:tc>
        <w:tc>
          <w:tcPr>
            <w:tcW w:w="200" w:type="dxa"/>
            <w:vAlign w:val="bottom"/>
            <w:tcBorders>
              <w:bottom w:val="single" w:sz="8" w:color="F0FFFF"/>
            </w:tcBorders>
          </w:tcPr>
          <w:p>
            <w:pPr>
              <w:spacing w:after="0"/>
              <w:rPr>
                <w:sz w:val="20"/>
                <w:szCs w:val="20"/>
                <w:color w:val="auto"/>
              </w:rPr>
            </w:pPr>
          </w:p>
        </w:tc>
        <w:tc>
          <w:tcPr>
            <w:tcW w:w="200" w:type="dxa"/>
            <w:vAlign w:val="bottom"/>
            <w:tcBorders>
              <w:bottom w:val="single" w:sz="8" w:color="F0FFFF"/>
            </w:tcBorders>
          </w:tcPr>
          <w:p>
            <w:pPr>
              <w:spacing w:after="0"/>
              <w:rPr>
                <w:sz w:val="20"/>
                <w:szCs w:val="20"/>
                <w:color w:val="auto"/>
              </w:rPr>
            </w:pPr>
          </w:p>
        </w:tc>
        <w:tc>
          <w:tcPr>
            <w:tcW w:w="180" w:type="dxa"/>
            <w:vAlign w:val="bottom"/>
            <w:tcBorders>
              <w:bottom w:val="single" w:sz="8" w:color="F0FFFF"/>
            </w:tcBorders>
          </w:tcPr>
          <w:p>
            <w:pPr>
              <w:spacing w:after="0"/>
              <w:rPr>
                <w:sz w:val="20"/>
                <w:szCs w:val="20"/>
                <w:color w:val="auto"/>
              </w:rPr>
            </w:pPr>
          </w:p>
        </w:tc>
        <w:tc>
          <w:tcPr>
            <w:tcW w:w="940" w:type="dxa"/>
            <w:vAlign w:val="bottom"/>
            <w:tcBorders>
              <w:bottom w:val="single" w:sz="8" w:color="F0FFFF"/>
            </w:tcBorders>
          </w:tcPr>
          <w:p>
            <w:pPr>
              <w:spacing w:after="0"/>
              <w:rPr>
                <w:sz w:val="20"/>
                <w:szCs w:val="20"/>
                <w:color w:val="auto"/>
              </w:rPr>
            </w:pPr>
          </w:p>
        </w:tc>
        <w:tc>
          <w:tcPr>
            <w:tcW w:w="180" w:type="dxa"/>
            <w:vAlign w:val="bottom"/>
            <w:tcBorders>
              <w:bottom w:val="single" w:sz="8" w:color="F0FFFF"/>
            </w:tcBorders>
          </w:tcPr>
          <w:p>
            <w:pPr>
              <w:spacing w:after="0"/>
              <w:rPr>
                <w:sz w:val="20"/>
                <w:szCs w:val="20"/>
                <w:color w:val="auto"/>
              </w:rPr>
            </w:pPr>
          </w:p>
        </w:tc>
        <w:tc>
          <w:tcPr>
            <w:tcW w:w="180" w:type="dxa"/>
            <w:vAlign w:val="bottom"/>
            <w:tcBorders>
              <w:bottom w:val="single" w:sz="8" w:color="F0FFFF"/>
            </w:tcBorders>
          </w:tcPr>
          <w:p>
            <w:pPr>
              <w:spacing w:after="0"/>
              <w:rPr>
                <w:sz w:val="20"/>
                <w:szCs w:val="20"/>
                <w:color w:val="auto"/>
              </w:rPr>
            </w:pPr>
          </w:p>
        </w:tc>
        <w:tc>
          <w:tcPr>
            <w:tcW w:w="940" w:type="dxa"/>
            <w:vAlign w:val="bottom"/>
            <w:tcBorders>
              <w:bottom w:val="single" w:sz="8" w:color="F0FFFF"/>
            </w:tcBorders>
          </w:tcPr>
          <w:p>
            <w:pPr>
              <w:spacing w:after="0"/>
              <w:rPr>
                <w:sz w:val="20"/>
                <w:szCs w:val="20"/>
                <w:color w:val="auto"/>
              </w:rPr>
            </w:pPr>
          </w:p>
        </w:tc>
        <w:tc>
          <w:tcPr>
            <w:tcW w:w="20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90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432,418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440,311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440,311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4,496,958</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4,437,039</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4,437,039</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20,004</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6,240,729</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6,228,804</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6,228,804</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330,125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330,134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132,636</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132,636</w:t>
            </w:r>
          </w:p>
        </w:tc>
        <w:tc>
          <w:tcPr>
            <w:tcW w:w="10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80" w:type="dxa"/>
            <w:vAlign w:val="bottom"/>
            <w:tcBorders>
              <w:bottom w:val="single" w:sz="8" w:color="DCDCDC"/>
            </w:tcBorders>
          </w:tcPr>
          <w:p>
            <w:pPr>
              <w:spacing w:after="0"/>
              <w:rPr>
                <w:sz w:val="24"/>
                <w:szCs w:val="24"/>
                <w:color w:val="auto"/>
              </w:rPr>
            </w:pPr>
          </w:p>
        </w:tc>
        <w:tc>
          <w:tcPr>
            <w:tcW w:w="36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gridSpan w:val="2"/>
          </w:tcPr>
          <w:p>
            <w:pPr>
              <w:jc w:val="right"/>
              <w:ind w:right="71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summarizes, as of September 30, 2015, December 31, 2014 and September 30, 2014, the contractual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2015</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2014</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2014</w:t>
            </w:r>
          </w:p>
        </w:tc>
      </w:tr>
      <w:tr>
        <w:trPr>
          <w:trHeight w:val="216"/>
        </w:trPr>
        <w:tc>
          <w:tcPr>
            <w:tcW w:w="60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44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1,339,680</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878,160</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852,635</w:t>
            </w:r>
          </w:p>
        </w:tc>
      </w:tr>
      <w:tr>
        <w:trPr>
          <w:trHeight w:val="216"/>
        </w:trPr>
        <w:tc>
          <w:tcPr>
            <w:tcW w:w="6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Letters of credit</w:t>
            </w:r>
          </w:p>
        </w:tc>
        <w:tc>
          <w:tcPr>
            <w:tcW w:w="4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21,977</w:t>
            </w:r>
          </w:p>
        </w:tc>
        <w:tc>
          <w:tcPr>
            <w:tcW w:w="5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19,861</w:t>
            </w:r>
          </w:p>
        </w:tc>
        <w:tc>
          <w:tcPr>
            <w:tcW w:w="5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20,534</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4540" w:type="dxa"/>
            <w:vAlign w:val="bottom"/>
            <w:tcBorders>
              <w:bottom w:val="single" w:sz="8" w:color="F0FFFF"/>
            </w:tcBorders>
          </w:tcPr>
          <w:p>
            <w:pPr>
              <w:spacing w:after="0"/>
              <w:rPr>
                <w:sz w:val="20"/>
                <w:szCs w:val="20"/>
                <w:color w:val="auto"/>
              </w:rPr>
            </w:pPr>
          </w:p>
        </w:tc>
        <w:tc>
          <w:tcPr>
            <w:tcW w:w="124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0"/>
                <w:szCs w:val="20"/>
                <w:color w:val="auto"/>
              </w:rPr>
            </w:pPr>
          </w:p>
        </w:tc>
      </w:tr>
      <w:tr>
        <w:trPr>
          <w:trHeight w:val="216"/>
        </w:trPr>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Core deposit intangible</w:t>
            </w:r>
          </w:p>
        </w:tc>
        <w:tc>
          <w:tcPr>
            <w:tcW w:w="124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49,772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32,652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32,652</w:t>
            </w:r>
          </w:p>
        </w:tc>
        <w:tc>
          <w:tcPr>
            <w:tcW w:w="100" w:type="dxa"/>
            <w:vAlign w:val="bottom"/>
            <w:shd w:val="clear" w:color="auto" w:fill="F0FFFF"/>
          </w:tcPr>
          <w:p>
            <w:pPr>
              <w:spacing w:after="0"/>
              <w:rPr>
                <w:sz w:val="18"/>
                <w:szCs w:val="18"/>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(31,923)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(30,520)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(30,233)</w:t>
            </w:r>
          </w:p>
        </w:tc>
      </w:tr>
      <w:tr>
        <w:trPr>
          <w:trHeight w:val="216"/>
        </w:trPr>
        <w:tc>
          <w:tcPr>
            <w:tcW w:w="45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intangibles subject to amortization, net</w:t>
            </w:r>
          </w:p>
        </w:tc>
        <w:tc>
          <w:tcPr>
            <w:tcW w:w="12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17,849</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top w:val="single" w:sz="8" w:color="F0FFFF"/>
            </w:tcBorders>
            <w:shd w:val="clear" w:color="auto" w:fill="F0FFFF"/>
          </w:tcPr>
          <w:p>
            <w:pPr>
              <w:spacing w:after="0"/>
              <w:rPr>
                <w:sz w:val="18"/>
                <w:szCs w:val="18"/>
                <w:color w:val="auto"/>
              </w:rPr>
            </w:pPr>
          </w:p>
        </w:tc>
      </w:tr>
      <w:tr>
        <w:trPr>
          <w:trHeight w:val="237"/>
        </w:trPr>
        <w:tc>
          <w:tcPr>
            <w:tcW w:w="45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Goodwill</w:t>
            </w:r>
          </w:p>
        </w:tc>
        <w:tc>
          <w:tcPr>
            <w:tcW w:w="124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123,566</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F0FFFF"/>
            </w:tcBorders>
          </w:tcPr>
          <w:p>
            <w:pPr>
              <w:spacing w:after="0"/>
              <w:rPr>
                <w:sz w:val="20"/>
                <w:szCs w:val="20"/>
                <w:color w:val="auto"/>
              </w:rPr>
            </w:pPr>
          </w:p>
        </w:tc>
      </w:tr>
      <w:tr>
        <w:trPr>
          <w:trHeight w:val="255"/>
        </w:trPr>
        <w:tc>
          <w:tcPr>
            <w:tcW w:w="45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goodwill and other intangible assets, net</w:t>
            </w:r>
          </w:p>
        </w:tc>
        <w:tc>
          <w:tcPr>
            <w:tcW w:w="12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141,415</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F0FFFF"/>
            </w:tcBorders>
            <w:shd w:val="clear" w:color="auto" w:fill="F0FFFF"/>
          </w:tcPr>
          <w:p>
            <w:pPr>
              <w:spacing w:after="0"/>
              <w:rPr>
                <w:sz w:val="21"/>
                <w:szCs w:val="21"/>
                <w:color w:val="auto"/>
              </w:rPr>
            </w:pPr>
          </w:p>
        </w:tc>
      </w:tr>
      <w:tr>
        <w:trPr>
          <w:trHeight w:val="20"/>
        </w:trPr>
        <w:tc>
          <w:tcPr>
            <w:tcW w:w="4540" w:type="dxa"/>
            <w:vAlign w:val="bottom"/>
            <w:tcBorders>
              <w:top w:val="single" w:sz="8" w:color="F0FFFF"/>
            </w:tcBorders>
          </w:tcPr>
          <w:p>
            <w:pPr>
              <w:spacing w:after="0" w:line="20" w:lineRule="exact"/>
              <w:rPr>
                <w:sz w:val="1"/>
                <w:szCs w:val="1"/>
                <w:color w:val="auto"/>
              </w:rPr>
            </w:pPr>
          </w:p>
        </w:tc>
        <w:tc>
          <w:tcPr>
            <w:tcW w:w="1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13"/>
          </w:tcPr>
          <w:p>
            <w:pPr>
              <w:spacing w:after="0"/>
              <w:rPr>
                <w:sz w:val="20"/>
                <w:szCs w:val="20"/>
                <w:color w:val="auto"/>
              </w:rPr>
            </w:pPr>
            <w:r>
              <w:rPr>
                <w:rFonts w:ascii="Arial" w:cs="Arial" w:eastAsia="Arial" w:hAnsi="Arial"/>
                <w:sz w:val="18"/>
                <w:szCs w:val="18"/>
                <w:color w:val="auto"/>
                <w:w w:val="99"/>
              </w:rPr>
              <w:t xml:space="preserve">The following is a summary of changes in the carrying amounts of goodwill </w:t>
            </w:r>
            <w:r>
              <w:rPr>
                <w:rFonts w:ascii="Arial" w:cs="Arial" w:eastAsia="Arial" w:hAnsi="Arial"/>
                <w:sz w:val="18"/>
                <w:szCs w:val="18"/>
                <w:i w:val="1"/>
                <w:iCs w:val="1"/>
                <w:color w:val="auto"/>
                <w:w w:val="99"/>
              </w:rPr>
              <w:t>(in thousands)</w:t>
            </w: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For the Three Months Ended September 30,</w:t>
            </w:r>
          </w:p>
        </w:tc>
        <w:tc>
          <w:tcPr>
            <w:tcW w:w="180" w:type="dxa"/>
            <w:vAlign w:val="bottom"/>
          </w:tcPr>
          <w:p>
            <w:pPr>
              <w:spacing w:after="0"/>
              <w:rPr>
                <w:sz w:val="24"/>
                <w:szCs w:val="24"/>
                <w:color w:val="auto"/>
              </w:rPr>
            </w:pPr>
          </w:p>
        </w:tc>
        <w:tc>
          <w:tcPr>
            <w:tcW w:w="408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91"/>
              </w:rPr>
              <w:t>For the Nine Months Ended September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1"/>
              </w:rPr>
              <w:t>Goodwill, net of</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0"/>
              </w:rPr>
              <w:t>Goodwill, net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Impairment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Impairment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Impairment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Impairment</w:t>
            </w:r>
          </w:p>
        </w:tc>
        <w:tc>
          <w:tcPr>
            <w:tcW w:w="0" w:type="dxa"/>
            <w:vAlign w:val="bottom"/>
          </w:tcPr>
          <w:p>
            <w:pPr>
              <w:spacing w:after="0"/>
              <w:rPr>
                <w:sz w:val="1"/>
                <w:szCs w:val="1"/>
                <w:color w:val="auto"/>
              </w:rPr>
            </w:pPr>
          </w:p>
        </w:tc>
      </w:tr>
      <w:tr>
        <w:trPr>
          <w:trHeight w:val="241"/>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Goodwill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320,117</w:t>
            </w:r>
          </w:p>
        </w:tc>
        <w:tc>
          <w:tcPr>
            <w:tcW w:w="2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14,527</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307,099</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Acquisition of Palmetto</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107,923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107,923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107,923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Acquisition of MoneyTree</w:t>
            </w:r>
          </w:p>
        </w:tc>
        <w:tc>
          <w:tcPr>
            <w:tcW w:w="18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14,134</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top w:val="single" w:sz="8" w:color="F0FFFF"/>
            </w:tcBorders>
            <w:gridSpan w:val="2"/>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429,156</w:t>
            </w: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123,566</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429,156</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123,566</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F0FFFF"/>
            </w:tcBorders>
          </w:tcPr>
          <w:p>
            <w:pPr>
              <w:spacing w:after="0"/>
              <w:rPr>
                <w:sz w:val="21"/>
                <w:szCs w:val="21"/>
                <w:color w:val="auto"/>
              </w:rPr>
            </w:pPr>
          </w:p>
        </w:tc>
        <w:tc>
          <w:tcPr>
            <w:tcW w:w="1100" w:type="dxa"/>
            <w:vAlign w:val="bottom"/>
            <w:tcBorders>
              <w:bottom w:val="single" w:sz="8" w:color="F0FFFF"/>
            </w:tcBorders>
          </w:tcPr>
          <w:p>
            <w:pPr>
              <w:spacing w:after="0"/>
              <w:rPr>
                <w:sz w:val="21"/>
                <w:szCs w:val="21"/>
                <w:color w:val="auto"/>
              </w:rPr>
            </w:pPr>
          </w:p>
        </w:tc>
        <w:tc>
          <w:tcPr>
            <w:tcW w:w="24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16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60" w:type="dxa"/>
            <w:vAlign w:val="bottom"/>
            <w:tcBorders>
              <w:bottom w:val="single" w:sz="8" w:color="F0FFFF"/>
            </w:tcBorders>
          </w:tcPr>
          <w:p>
            <w:pPr>
              <w:spacing w:after="0"/>
              <w:rPr>
                <w:sz w:val="21"/>
                <w:szCs w:val="21"/>
                <w:color w:val="auto"/>
              </w:rPr>
            </w:pPr>
          </w:p>
        </w:tc>
        <w:tc>
          <w:tcPr>
            <w:tcW w:w="1120" w:type="dxa"/>
            <w:vAlign w:val="bottom"/>
            <w:tcBorders>
              <w:bottom w:val="single" w:sz="8" w:color="F0FFFF"/>
            </w:tcBorders>
          </w:tcPr>
          <w:p>
            <w:pPr>
              <w:spacing w:after="0"/>
              <w:rPr>
                <w:sz w:val="21"/>
                <w:szCs w:val="21"/>
                <w:color w:val="auto"/>
              </w:rPr>
            </w:pPr>
          </w:p>
        </w:tc>
        <w:tc>
          <w:tcPr>
            <w:tcW w:w="220" w:type="dxa"/>
            <w:vAlign w:val="bottom"/>
            <w:tcBorders>
              <w:bottom w:val="single" w:sz="8" w:color="F0FFFF"/>
            </w:tcBorders>
          </w:tcPr>
          <w:p>
            <w:pPr>
              <w:spacing w:after="0"/>
              <w:rPr>
                <w:sz w:val="21"/>
                <w:szCs w:val="21"/>
                <w:color w:val="auto"/>
              </w:rPr>
            </w:pPr>
          </w:p>
        </w:tc>
        <w:tc>
          <w:tcPr>
            <w:tcW w:w="180" w:type="dxa"/>
            <w:vAlign w:val="bottom"/>
            <w:tcBorders>
              <w:bottom w:val="single" w:sz="8" w:color="F0FFFF"/>
            </w:tcBorders>
          </w:tcPr>
          <w:p>
            <w:pPr>
              <w:spacing w:after="0"/>
              <w:rPr>
                <w:sz w:val="21"/>
                <w:szCs w:val="21"/>
                <w:color w:val="auto"/>
              </w:rPr>
            </w:pPr>
          </w:p>
        </w:tc>
        <w:tc>
          <w:tcPr>
            <w:tcW w:w="106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14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14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305,590</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26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305,590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w w:val="99"/>
              </w:rPr>
              <w:t>Acquisition of Business Carolina,</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gridSpan w:val="3"/>
          </w:tcPr>
          <w:p>
            <w:pPr>
              <w:spacing w:after="0"/>
              <w:rPr>
                <w:sz w:val="20"/>
                <w:szCs w:val="20"/>
                <w:color w:val="auto"/>
              </w:rPr>
            </w:pPr>
            <w:r>
              <w:rPr>
                <w:rFonts w:ascii="Arial" w:cs="Arial" w:eastAsia="Arial" w:hAnsi="Arial"/>
                <w:sz w:val="18"/>
                <w:szCs w:val="18"/>
                <w:color w:val="auto"/>
              </w:rPr>
              <w:t>Inc.</w:t>
            </w:r>
          </w:p>
        </w:tc>
        <w:tc>
          <w:tcPr>
            <w:tcW w:w="1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62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307,081</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307,081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25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gridSpan w:val="2"/>
          </w:tcPr>
          <w:p>
            <w:pPr>
              <w:jc w:val="right"/>
              <w:spacing w:after="0"/>
              <w:rPr>
                <w:sz w:val="20"/>
                <w:szCs w:val="20"/>
                <w:color w:val="auto"/>
              </w:rPr>
            </w:pPr>
            <w:r>
              <w:rPr>
                <w:rFonts w:ascii="Arial" w:cs="Arial" w:eastAsia="Arial" w:hAnsi="Arial"/>
                <w:sz w:val="18"/>
                <w:szCs w:val="18"/>
                <w:color w:val="auto"/>
              </w:rPr>
              <w:t>41</w:t>
            </w:r>
          </w:p>
        </w:tc>
        <w:tc>
          <w:tcPr>
            <w:tcW w:w="1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amortization expense for intangibles subject to amortization for the three and nine months ended September 30, 2015 was $714,000 and $1.4 million, respectively, which was recognized in operating expenses. The amortization expense for intangibles subject to amortization for the three and nine months ended September 30, 2014 was $313,000 and $1.06 million, respectively. The estimated aggregate amortization expense for future periods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0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Remainder of 2015</w:t>
            </w:r>
          </w:p>
        </w:tc>
        <w:tc>
          <w:tcPr>
            <w:tcW w:w="280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F0FFFF"/>
            </w:tcBorders>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1,041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2016</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3,875</w:t>
            </w:r>
          </w:p>
        </w:tc>
      </w:tr>
      <w:tr>
        <w:trPr>
          <w:trHeight w:val="216"/>
        </w:trPr>
        <w:tc>
          <w:tcPr>
            <w:tcW w:w="408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28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2,900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2018</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2,310</w:t>
            </w:r>
          </w:p>
        </w:tc>
      </w:tr>
      <w:tr>
        <w:trPr>
          <w:trHeight w:val="216"/>
        </w:trPr>
        <w:tc>
          <w:tcPr>
            <w:tcW w:w="408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28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1,924</w:t>
            </w:r>
          </w:p>
        </w:tc>
      </w:tr>
      <w:tr>
        <w:trPr>
          <w:trHeight w:val="237"/>
        </w:trPr>
        <w:tc>
          <w:tcPr>
            <w:tcW w:w="6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5,799</w:t>
            </w:r>
          </w:p>
        </w:tc>
      </w:tr>
      <w:tr>
        <w:trPr>
          <w:trHeight w:val="255"/>
        </w:trPr>
        <w:tc>
          <w:tcPr>
            <w:tcW w:w="688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17,849</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4080" w:type="dxa"/>
            <w:vAlign w:val="bottom"/>
            <w:tcBorders>
              <w:top w:val="single" w:sz="8" w:color="F0FFFF"/>
            </w:tcBorders>
          </w:tcPr>
          <w:p>
            <w:pPr>
              <w:spacing w:after="0" w:line="20" w:lineRule="exact"/>
              <w:rPr>
                <w:sz w:val="1"/>
                <w:szCs w:val="1"/>
                <w:color w:val="auto"/>
              </w:rPr>
            </w:pPr>
          </w:p>
        </w:tc>
        <w:tc>
          <w:tcPr>
            <w:tcW w:w="28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Issue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Stated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Earliest</w:t>
            </w: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Maturity</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Call</w:t>
            </w:r>
          </w:p>
        </w:tc>
        <w:tc>
          <w:tcPr>
            <w:tcW w:w="100" w:type="dxa"/>
            <w:vAlign w:val="bottom"/>
          </w:tcPr>
          <w:p>
            <w:pPr>
              <w:spacing w:after="0"/>
              <w:rPr>
                <w:sz w:val="12"/>
                <w:szCs w:val="12"/>
                <w:color w:val="auto"/>
              </w:rPr>
            </w:pPr>
          </w:p>
        </w:tc>
        <w:tc>
          <w:tcPr>
            <w:tcW w:w="17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2012 senior debentures</w:t>
            </w:r>
          </w:p>
        </w:tc>
        <w:tc>
          <w:tcPr>
            <w:tcW w:w="240" w:type="dxa"/>
            <w:vAlign w:val="bottom"/>
            <w:shd w:val="clear" w:color="auto" w:fill="F0FFFF"/>
          </w:tcPr>
          <w:p>
            <w:pPr>
              <w:ind w:left="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35,000</w:t>
            </w:r>
          </w:p>
        </w:tc>
        <w:tc>
          <w:tcPr>
            <w:tcW w:w="240" w:type="dxa"/>
            <w:vAlign w:val="bottom"/>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35,000</w:t>
            </w:r>
          </w:p>
        </w:tc>
        <w:tc>
          <w:tcPr>
            <w:tcW w:w="240" w:type="dxa"/>
            <w:vAlign w:val="bottom"/>
            <w:shd w:val="clear" w:color="auto" w:fill="F0FFFF"/>
          </w:tcPr>
          <w:p>
            <w:pPr>
              <w:ind w:lef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35,000</w:t>
            </w:r>
          </w:p>
        </w:tc>
        <w:tc>
          <w:tcPr>
            <w:tcW w:w="900" w:type="dxa"/>
            <w:vAlign w:val="bottom"/>
            <w:shd w:val="clear" w:color="auto" w:fill="F0FFFF"/>
          </w:tcPr>
          <w:p>
            <w:pPr>
              <w:jc w:val="right"/>
              <w:ind w:right="228"/>
              <w:spacing w:after="0" w:line="149" w:lineRule="exact"/>
              <w:rPr>
                <w:sz w:val="20"/>
                <w:szCs w:val="20"/>
                <w:color w:val="auto"/>
              </w:rPr>
            </w:pPr>
            <w:r>
              <w:rPr>
                <w:rFonts w:ascii="Arial" w:cs="Arial" w:eastAsia="Arial" w:hAnsi="Arial"/>
                <w:sz w:val="14"/>
                <w:szCs w:val="14"/>
                <w:color w:val="auto"/>
              </w:rPr>
              <w:t>2012</w:t>
            </w:r>
          </w:p>
        </w:tc>
        <w:tc>
          <w:tcPr>
            <w:tcW w:w="120" w:type="dxa"/>
            <w:vAlign w:val="bottom"/>
            <w:shd w:val="clear" w:color="auto" w:fill="F0FFFF"/>
          </w:tcPr>
          <w:p>
            <w:pPr>
              <w:spacing w:after="0"/>
              <w:rPr>
                <w:sz w:val="12"/>
                <w:szCs w:val="12"/>
                <w:color w:val="auto"/>
              </w:rPr>
            </w:pPr>
          </w:p>
        </w:tc>
        <w:tc>
          <w:tcPr>
            <w:tcW w:w="90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F0FFFF"/>
          </w:tcPr>
          <w:p>
            <w:pPr>
              <w:spacing w:after="0"/>
              <w:rPr>
                <w:sz w:val="12"/>
                <w:szCs w:val="12"/>
                <w:color w:val="auto"/>
              </w:rPr>
            </w:pPr>
          </w:p>
        </w:tc>
        <w:tc>
          <w:tcPr>
            <w:tcW w:w="92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8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2013 senior debentures</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40,000</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40,000</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9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2022 senior debentures</w:t>
            </w:r>
          </w:p>
        </w:tc>
        <w:tc>
          <w:tcPr>
            <w:tcW w:w="240" w:type="dxa"/>
            <w:vAlign w:val="bottom"/>
            <w:shd w:val="clear" w:color="auto" w:fill="F0FFFF"/>
          </w:tcPr>
          <w:p>
            <w:pPr>
              <w:spacing w:after="0"/>
              <w:rPr>
                <w:sz w:val="11"/>
                <w:szCs w:val="11"/>
                <w:color w:val="auto"/>
              </w:rPr>
            </w:pPr>
          </w:p>
        </w:tc>
        <w:tc>
          <w:tcPr>
            <w:tcW w:w="1040" w:type="dxa"/>
            <w:vAlign w:val="bottom"/>
            <w:gridSpan w:val="2"/>
            <w:shd w:val="clear" w:color="auto" w:fill="F0FFFF"/>
          </w:tcPr>
          <w:p>
            <w:pPr>
              <w:jc w:val="right"/>
              <w:ind w:right="240"/>
              <w:spacing w:after="0" w:line="130" w:lineRule="exact"/>
              <w:rPr>
                <w:sz w:val="20"/>
                <w:szCs w:val="20"/>
                <w:color w:val="auto"/>
              </w:rPr>
            </w:pPr>
            <w:r>
              <w:rPr>
                <w:rFonts w:ascii="Arial" w:cs="Arial" w:eastAsia="Arial" w:hAnsi="Arial"/>
                <w:sz w:val="14"/>
                <w:szCs w:val="14"/>
                <w:color w:val="auto"/>
              </w:rPr>
              <w:t>50,000</w:t>
            </w:r>
          </w:p>
        </w:tc>
        <w:tc>
          <w:tcPr>
            <w:tcW w:w="240" w:type="dxa"/>
            <w:vAlign w:val="bottom"/>
            <w:shd w:val="clear" w:color="auto" w:fill="F0FFFF"/>
          </w:tcPr>
          <w:p>
            <w:pPr>
              <w:spacing w:after="0"/>
              <w:rPr>
                <w:sz w:val="11"/>
                <w:szCs w:val="11"/>
                <w:color w:val="auto"/>
              </w:rPr>
            </w:pPr>
          </w:p>
        </w:tc>
        <w:tc>
          <w:tcPr>
            <w:tcW w:w="800" w:type="dxa"/>
            <w:vAlign w:val="bottom"/>
            <w:shd w:val="clear" w:color="auto" w:fill="F0FFFF"/>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0" w:type="dxa"/>
            <w:vAlign w:val="bottom"/>
            <w:gridSpan w:val="2"/>
            <w:shd w:val="clear" w:color="auto" w:fill="F0FF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ind w:right="228"/>
              <w:spacing w:after="0" w:line="130" w:lineRule="exact"/>
              <w:rPr>
                <w:sz w:val="20"/>
                <w:szCs w:val="20"/>
                <w:color w:val="auto"/>
              </w:rPr>
            </w:pPr>
            <w:r>
              <w:rPr>
                <w:rFonts w:ascii="Arial" w:cs="Arial" w:eastAsia="Arial" w:hAnsi="Arial"/>
                <w:sz w:val="14"/>
                <w:szCs w:val="14"/>
                <w:color w:val="auto"/>
              </w:rPr>
              <w:t>2015</w:t>
            </w:r>
          </w:p>
        </w:tc>
        <w:tc>
          <w:tcPr>
            <w:tcW w:w="120" w:type="dxa"/>
            <w:vAlign w:val="bottom"/>
            <w:shd w:val="clear" w:color="auto" w:fill="F0FFFF"/>
          </w:tcPr>
          <w:p>
            <w:pPr>
              <w:spacing w:after="0"/>
              <w:rPr>
                <w:sz w:val="11"/>
                <w:szCs w:val="11"/>
                <w:color w:val="auto"/>
              </w:rPr>
            </w:pPr>
          </w:p>
        </w:tc>
        <w:tc>
          <w:tcPr>
            <w:tcW w:w="900" w:type="dxa"/>
            <w:vAlign w:val="bottom"/>
            <w:shd w:val="clear" w:color="auto" w:fill="F0FFFF"/>
          </w:tcPr>
          <w:p>
            <w:pPr>
              <w:jc w:val="center"/>
              <w:spacing w:after="0" w:line="130" w:lineRule="exact"/>
              <w:rPr>
                <w:sz w:val="20"/>
                <w:szCs w:val="20"/>
                <w:color w:val="auto"/>
              </w:rPr>
            </w:pPr>
            <w:r>
              <w:rPr>
                <w:rFonts w:ascii="Arial" w:cs="Arial" w:eastAsia="Arial" w:hAnsi="Arial"/>
                <w:sz w:val="14"/>
                <w:szCs w:val="14"/>
                <w:color w:val="auto"/>
                <w:w w:val="89"/>
              </w:rPr>
              <w:t>2022</w:t>
            </w:r>
          </w:p>
        </w:tc>
        <w:tc>
          <w:tcPr>
            <w:tcW w:w="100" w:type="dxa"/>
            <w:vAlign w:val="bottom"/>
            <w:shd w:val="clear" w:color="auto" w:fill="F0FFFF"/>
          </w:tcPr>
          <w:p>
            <w:pPr>
              <w:spacing w:after="0"/>
              <w:rPr>
                <w:sz w:val="11"/>
                <w:szCs w:val="11"/>
                <w:color w:val="auto"/>
              </w:rPr>
            </w:pPr>
          </w:p>
        </w:tc>
        <w:tc>
          <w:tcPr>
            <w:tcW w:w="920" w:type="dxa"/>
            <w:vAlign w:val="bottom"/>
            <w:shd w:val="clear" w:color="auto" w:fill="F0FFFF"/>
          </w:tcPr>
          <w:p>
            <w:pPr>
              <w:jc w:val="center"/>
              <w:spacing w:after="0" w:line="130" w:lineRule="exact"/>
              <w:rPr>
                <w:sz w:val="20"/>
                <w:szCs w:val="20"/>
                <w:color w:val="auto"/>
              </w:rPr>
            </w:pPr>
            <w:r>
              <w:rPr>
                <w:rFonts w:ascii="Arial" w:cs="Arial" w:eastAsia="Arial" w:hAnsi="Arial"/>
                <w:sz w:val="14"/>
                <w:szCs w:val="14"/>
                <w:color w:val="auto"/>
                <w:w w:val="89"/>
              </w:rPr>
              <w:t>2020</w:t>
            </w:r>
          </w:p>
        </w:tc>
        <w:tc>
          <w:tcPr>
            <w:tcW w:w="1800" w:type="dxa"/>
            <w:vAlign w:val="bottom"/>
            <w:gridSpan w:val="2"/>
            <w:shd w:val="clear" w:color="auto" w:fill="F0FFFF"/>
          </w:tcPr>
          <w:p>
            <w:pPr>
              <w:jc w:val="center"/>
              <w:spacing w:after="0" w:line="130" w:lineRule="exact"/>
              <w:rPr>
                <w:sz w:val="20"/>
                <w:szCs w:val="20"/>
                <w:color w:val="auto"/>
              </w:rPr>
            </w:pPr>
            <w:r>
              <w:rPr>
                <w:rFonts w:ascii="Arial" w:cs="Arial" w:eastAsia="Arial" w:hAnsi="Arial"/>
                <w:sz w:val="14"/>
                <w:szCs w:val="14"/>
                <w:color w:val="auto"/>
                <w:w w:val="94"/>
              </w:rPr>
              <w:t>5.000% through August 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70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2020, 3-month LIBOR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700" w:type="dxa"/>
            <w:vAlign w:val="bottom"/>
            <w:shd w:val="clear" w:color="auto" w:fill="F0FFFF"/>
          </w:tcPr>
          <w:p>
            <w:pPr>
              <w:jc w:val="center"/>
              <w:ind w:right="8"/>
              <w:spacing w:after="0"/>
              <w:rPr>
                <w:sz w:val="20"/>
                <w:szCs w:val="20"/>
                <w:color w:val="auto"/>
              </w:rPr>
            </w:pPr>
            <w:r>
              <w:rPr>
                <w:rFonts w:ascii="Arial" w:cs="Arial" w:eastAsia="Arial" w:hAnsi="Arial"/>
                <w:sz w:val="14"/>
                <w:szCs w:val="14"/>
                <w:color w:val="auto"/>
                <w:w w:val="92"/>
              </w:rPr>
              <w:t>plus 3.814% thereafter</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2027 senior debentures</w:t>
            </w:r>
          </w:p>
        </w:tc>
        <w:tc>
          <w:tcPr>
            <w:tcW w:w="240" w:type="dxa"/>
            <w:vAlign w:val="bottom"/>
            <w:shd w:val="clear" w:color="auto" w:fill="F0FFFF"/>
          </w:tcPr>
          <w:p>
            <w:pPr>
              <w:spacing w:after="0"/>
              <w:rPr>
                <w:sz w:val="11"/>
                <w:szCs w:val="11"/>
                <w:color w:val="auto"/>
              </w:rPr>
            </w:pPr>
          </w:p>
        </w:tc>
        <w:tc>
          <w:tcPr>
            <w:tcW w:w="1040" w:type="dxa"/>
            <w:vAlign w:val="bottom"/>
            <w:gridSpan w:val="2"/>
            <w:shd w:val="clear" w:color="auto" w:fill="F0FFFF"/>
          </w:tcPr>
          <w:p>
            <w:pPr>
              <w:jc w:val="right"/>
              <w:ind w:right="240"/>
              <w:spacing w:after="0" w:line="130" w:lineRule="exact"/>
              <w:rPr>
                <w:sz w:val="20"/>
                <w:szCs w:val="20"/>
                <w:color w:val="auto"/>
              </w:rPr>
            </w:pPr>
            <w:r>
              <w:rPr>
                <w:rFonts w:ascii="Arial" w:cs="Arial" w:eastAsia="Arial" w:hAnsi="Arial"/>
                <w:sz w:val="14"/>
                <w:szCs w:val="14"/>
                <w:color w:val="auto"/>
              </w:rPr>
              <w:t>35,000</w:t>
            </w:r>
          </w:p>
        </w:tc>
        <w:tc>
          <w:tcPr>
            <w:tcW w:w="240" w:type="dxa"/>
            <w:vAlign w:val="bottom"/>
            <w:shd w:val="clear" w:color="auto" w:fill="F0FFFF"/>
          </w:tcPr>
          <w:p>
            <w:pPr>
              <w:spacing w:after="0"/>
              <w:rPr>
                <w:sz w:val="11"/>
                <w:szCs w:val="11"/>
                <w:color w:val="auto"/>
              </w:rPr>
            </w:pPr>
          </w:p>
        </w:tc>
        <w:tc>
          <w:tcPr>
            <w:tcW w:w="800" w:type="dxa"/>
            <w:vAlign w:val="bottom"/>
            <w:shd w:val="clear" w:color="auto" w:fill="F0FFFF"/>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0" w:type="dxa"/>
            <w:vAlign w:val="bottom"/>
            <w:gridSpan w:val="2"/>
            <w:shd w:val="clear" w:color="auto" w:fill="F0FF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ind w:right="228"/>
              <w:spacing w:after="0" w:line="130" w:lineRule="exact"/>
              <w:rPr>
                <w:sz w:val="20"/>
                <w:szCs w:val="20"/>
                <w:color w:val="auto"/>
              </w:rPr>
            </w:pPr>
            <w:r>
              <w:rPr>
                <w:rFonts w:ascii="Arial" w:cs="Arial" w:eastAsia="Arial" w:hAnsi="Arial"/>
                <w:sz w:val="14"/>
                <w:szCs w:val="14"/>
                <w:color w:val="auto"/>
              </w:rPr>
              <w:t>2015</w:t>
            </w:r>
          </w:p>
        </w:tc>
        <w:tc>
          <w:tcPr>
            <w:tcW w:w="120" w:type="dxa"/>
            <w:vAlign w:val="bottom"/>
            <w:shd w:val="clear" w:color="auto" w:fill="F0FFFF"/>
          </w:tcPr>
          <w:p>
            <w:pPr>
              <w:spacing w:after="0"/>
              <w:rPr>
                <w:sz w:val="11"/>
                <w:szCs w:val="11"/>
                <w:color w:val="auto"/>
              </w:rPr>
            </w:pPr>
          </w:p>
        </w:tc>
        <w:tc>
          <w:tcPr>
            <w:tcW w:w="900" w:type="dxa"/>
            <w:vAlign w:val="bottom"/>
            <w:shd w:val="clear" w:color="auto" w:fill="F0FFFF"/>
          </w:tcPr>
          <w:p>
            <w:pPr>
              <w:jc w:val="center"/>
              <w:spacing w:after="0" w:line="130" w:lineRule="exact"/>
              <w:rPr>
                <w:sz w:val="20"/>
                <w:szCs w:val="20"/>
                <w:color w:val="auto"/>
              </w:rPr>
            </w:pPr>
            <w:r>
              <w:rPr>
                <w:rFonts w:ascii="Arial" w:cs="Arial" w:eastAsia="Arial" w:hAnsi="Arial"/>
                <w:sz w:val="14"/>
                <w:szCs w:val="14"/>
                <w:color w:val="auto"/>
                <w:w w:val="89"/>
              </w:rPr>
              <w:t>2027</w:t>
            </w:r>
          </w:p>
        </w:tc>
        <w:tc>
          <w:tcPr>
            <w:tcW w:w="100" w:type="dxa"/>
            <w:vAlign w:val="bottom"/>
            <w:shd w:val="clear" w:color="auto" w:fill="F0FFFF"/>
          </w:tcPr>
          <w:p>
            <w:pPr>
              <w:spacing w:after="0"/>
              <w:rPr>
                <w:sz w:val="11"/>
                <w:szCs w:val="11"/>
                <w:color w:val="auto"/>
              </w:rPr>
            </w:pPr>
          </w:p>
        </w:tc>
        <w:tc>
          <w:tcPr>
            <w:tcW w:w="920" w:type="dxa"/>
            <w:vAlign w:val="bottom"/>
            <w:shd w:val="clear" w:color="auto" w:fill="F0FFFF"/>
          </w:tcPr>
          <w:p>
            <w:pPr>
              <w:jc w:val="center"/>
              <w:spacing w:after="0" w:line="130" w:lineRule="exact"/>
              <w:rPr>
                <w:sz w:val="20"/>
                <w:szCs w:val="20"/>
                <w:color w:val="auto"/>
              </w:rPr>
            </w:pPr>
            <w:r>
              <w:rPr>
                <w:rFonts w:ascii="Arial" w:cs="Arial" w:eastAsia="Arial" w:hAnsi="Arial"/>
                <w:sz w:val="14"/>
                <w:szCs w:val="14"/>
                <w:color w:val="auto"/>
                <w:w w:val="89"/>
              </w:rPr>
              <w:t>2025</w:t>
            </w:r>
          </w:p>
        </w:tc>
        <w:tc>
          <w:tcPr>
            <w:tcW w:w="1800" w:type="dxa"/>
            <w:vAlign w:val="bottom"/>
            <w:gridSpan w:val="2"/>
            <w:shd w:val="clear" w:color="auto" w:fill="F0FFFF"/>
          </w:tcPr>
          <w:p>
            <w:pPr>
              <w:jc w:val="center"/>
              <w:spacing w:after="0" w:line="130" w:lineRule="exact"/>
              <w:rPr>
                <w:sz w:val="20"/>
                <w:szCs w:val="20"/>
                <w:color w:val="auto"/>
              </w:rPr>
            </w:pPr>
            <w:r>
              <w:rPr>
                <w:rFonts w:ascii="Arial" w:cs="Arial" w:eastAsia="Arial" w:hAnsi="Arial"/>
                <w:sz w:val="14"/>
                <w:szCs w:val="14"/>
                <w:color w:val="auto"/>
                <w:w w:val="94"/>
              </w:rPr>
              <w:t>5.500% through August 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700" w:type="dxa"/>
            <w:vAlign w:val="bottom"/>
            <w:shd w:val="clear" w:color="auto" w:fill="F0FFFF"/>
          </w:tcPr>
          <w:p>
            <w:pPr>
              <w:jc w:val="center"/>
              <w:ind w:right="28"/>
              <w:spacing w:after="0" w:line="149" w:lineRule="exact"/>
              <w:rPr>
                <w:sz w:val="20"/>
                <w:szCs w:val="20"/>
                <w:color w:val="auto"/>
              </w:rPr>
            </w:pPr>
            <w:r>
              <w:rPr>
                <w:rFonts w:ascii="Arial" w:cs="Arial" w:eastAsia="Arial" w:hAnsi="Arial"/>
                <w:sz w:val="14"/>
                <w:szCs w:val="14"/>
                <w:color w:val="auto"/>
                <w:w w:val="96"/>
              </w:rPr>
              <w:t>2025 3-month LIBOR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700" w:type="dxa"/>
            <w:vAlign w:val="bottom"/>
            <w:shd w:val="clear" w:color="auto" w:fill="F0FFFF"/>
          </w:tcPr>
          <w:p>
            <w:pPr>
              <w:jc w:val="center"/>
              <w:ind w:right="68"/>
              <w:spacing w:after="0"/>
              <w:rPr>
                <w:sz w:val="20"/>
                <w:szCs w:val="20"/>
                <w:color w:val="auto"/>
              </w:rPr>
            </w:pPr>
            <w:r>
              <w:rPr>
                <w:rFonts w:ascii="Arial" w:cs="Arial" w:eastAsia="Arial" w:hAnsi="Arial"/>
                <w:sz w:val="14"/>
                <w:szCs w:val="14"/>
                <w:color w:val="auto"/>
                <w:w w:val="93"/>
              </w:rPr>
              <w:t>plus 3.71% thereafter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tcBorders>
              <w:bottom w:val="single" w:sz="8" w:color="F0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F0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F0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F0FFFF"/>
            </w:tcBorders>
          </w:tcPr>
          <w:p>
            <w:pPr>
              <w:spacing w:after="0"/>
              <w:rPr>
                <w:sz w:val="14"/>
                <w:szCs w:val="14"/>
                <w:color w:val="auto"/>
              </w:rPr>
            </w:pPr>
          </w:p>
        </w:tc>
        <w:tc>
          <w:tcPr>
            <w:tcW w:w="900" w:type="dxa"/>
            <w:vAlign w:val="bottom"/>
            <w:tcBorders>
              <w:bottom w:val="single" w:sz="8" w:color="F0FFFF"/>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90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92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170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bottom w:val="single" w:sz="8" w:color="F0FFFF"/>
            </w:tcBorders>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senior debentures</w:t>
            </w:r>
          </w:p>
        </w:tc>
        <w:tc>
          <w:tcPr>
            <w:tcW w:w="240" w:type="dxa"/>
            <w:vAlign w:val="bottom"/>
            <w:tcBorders>
              <w:bottom w:val="single" w:sz="8" w:color="auto"/>
            </w:tcBorders>
            <w:shd w:val="clear" w:color="auto" w:fill="F0FFFF"/>
          </w:tcPr>
          <w:p>
            <w:pPr>
              <w:spacing w:after="0"/>
              <w:rPr>
                <w:sz w:val="13"/>
                <w:szCs w:val="13"/>
                <w:color w:val="auto"/>
              </w:rPr>
            </w:pPr>
          </w:p>
        </w:tc>
        <w:tc>
          <w:tcPr>
            <w:tcW w:w="800" w:type="dxa"/>
            <w:vAlign w:val="bottom"/>
            <w:tcBorders>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160,000</w:t>
            </w:r>
          </w:p>
        </w:tc>
        <w:tc>
          <w:tcPr>
            <w:tcW w:w="240" w:type="dxa"/>
            <w:vAlign w:val="bottom"/>
            <w:tcBorders>
              <w:bottom w:val="single" w:sz="8" w:color="F0FFFF"/>
            </w:tcBorders>
            <w:shd w:val="clear" w:color="auto" w:fill="F0FFFF"/>
          </w:tcPr>
          <w:p>
            <w:pPr>
              <w:spacing w:after="0"/>
              <w:rPr>
                <w:sz w:val="13"/>
                <w:szCs w:val="13"/>
                <w:color w:val="auto"/>
              </w:rPr>
            </w:pPr>
          </w:p>
        </w:tc>
        <w:tc>
          <w:tcPr>
            <w:tcW w:w="240" w:type="dxa"/>
            <w:vAlign w:val="bottom"/>
            <w:tcBorders>
              <w:bottom w:val="single" w:sz="8" w:color="auto"/>
            </w:tcBorders>
            <w:shd w:val="clear" w:color="auto" w:fill="F0FFFF"/>
          </w:tcPr>
          <w:p>
            <w:pPr>
              <w:spacing w:after="0"/>
              <w:rPr>
                <w:sz w:val="13"/>
                <w:szCs w:val="13"/>
                <w:color w:val="auto"/>
              </w:rPr>
            </w:pPr>
          </w:p>
        </w:tc>
        <w:tc>
          <w:tcPr>
            <w:tcW w:w="800" w:type="dxa"/>
            <w:vAlign w:val="bottom"/>
            <w:tcBorders>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75,000</w:t>
            </w:r>
          </w:p>
        </w:tc>
        <w:tc>
          <w:tcPr>
            <w:tcW w:w="240" w:type="dxa"/>
            <w:vAlign w:val="bottom"/>
            <w:tcBorders>
              <w:bottom w:val="single" w:sz="8" w:color="F0FFFF"/>
            </w:tcBorders>
            <w:shd w:val="clear" w:color="auto" w:fill="F0FFFF"/>
          </w:tcPr>
          <w:p>
            <w:pPr>
              <w:spacing w:after="0"/>
              <w:rPr>
                <w:sz w:val="13"/>
                <w:szCs w:val="13"/>
                <w:color w:val="auto"/>
              </w:rPr>
            </w:pPr>
          </w:p>
        </w:tc>
        <w:tc>
          <w:tcPr>
            <w:tcW w:w="240" w:type="dxa"/>
            <w:vAlign w:val="bottom"/>
            <w:tcBorders>
              <w:bottom w:val="single" w:sz="8" w:color="auto"/>
            </w:tcBorders>
            <w:shd w:val="clear" w:color="auto" w:fill="F0FFFF"/>
          </w:tcPr>
          <w:p>
            <w:pPr>
              <w:spacing w:after="0"/>
              <w:rPr>
                <w:sz w:val="13"/>
                <w:szCs w:val="13"/>
                <w:color w:val="auto"/>
              </w:rPr>
            </w:pPr>
          </w:p>
        </w:tc>
        <w:tc>
          <w:tcPr>
            <w:tcW w:w="780" w:type="dxa"/>
            <w:vAlign w:val="bottom"/>
            <w:tcBorders>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75,000</w:t>
            </w:r>
          </w:p>
        </w:tc>
        <w:tc>
          <w:tcPr>
            <w:tcW w:w="220" w:type="dxa"/>
            <w:vAlign w:val="bottom"/>
            <w:tcBorders>
              <w:bottom w:val="single" w:sz="8" w:color="F0FFFF"/>
            </w:tcBorders>
            <w:shd w:val="clear" w:color="auto" w:fill="F0FFFF"/>
          </w:tcPr>
          <w:p>
            <w:pPr>
              <w:spacing w:after="0"/>
              <w:rPr>
                <w:sz w:val="13"/>
                <w:szCs w:val="13"/>
                <w:color w:val="auto"/>
              </w:rPr>
            </w:pPr>
          </w:p>
        </w:tc>
        <w:tc>
          <w:tcPr>
            <w:tcW w:w="900" w:type="dxa"/>
            <w:vAlign w:val="bottom"/>
            <w:tcBorders>
              <w:bottom w:val="single" w:sz="8" w:color="F0FFFF"/>
            </w:tcBorders>
            <w:shd w:val="clear" w:color="auto" w:fill="F0FFFF"/>
          </w:tcPr>
          <w:p>
            <w:pPr>
              <w:spacing w:after="0"/>
              <w:rPr>
                <w:sz w:val="13"/>
                <w:szCs w:val="13"/>
                <w:color w:val="auto"/>
              </w:rPr>
            </w:pPr>
          </w:p>
        </w:tc>
        <w:tc>
          <w:tcPr>
            <w:tcW w:w="120" w:type="dxa"/>
            <w:vAlign w:val="bottom"/>
            <w:tcBorders>
              <w:bottom w:val="single" w:sz="8" w:color="F0FFFF"/>
            </w:tcBorders>
            <w:shd w:val="clear" w:color="auto" w:fill="F0FFFF"/>
          </w:tcPr>
          <w:p>
            <w:pPr>
              <w:spacing w:after="0"/>
              <w:rPr>
                <w:sz w:val="13"/>
                <w:szCs w:val="13"/>
                <w:color w:val="auto"/>
              </w:rPr>
            </w:pPr>
          </w:p>
        </w:tc>
        <w:tc>
          <w:tcPr>
            <w:tcW w:w="900" w:type="dxa"/>
            <w:vAlign w:val="bottom"/>
            <w:tcBorders>
              <w:bottom w:val="single" w:sz="8" w:color="F0FFFF"/>
            </w:tcBorders>
            <w:shd w:val="clear" w:color="auto" w:fill="F0FFFF"/>
          </w:tcPr>
          <w:p>
            <w:pPr>
              <w:spacing w:after="0"/>
              <w:rPr>
                <w:sz w:val="13"/>
                <w:szCs w:val="13"/>
                <w:color w:val="auto"/>
              </w:rPr>
            </w:pPr>
          </w:p>
        </w:tc>
        <w:tc>
          <w:tcPr>
            <w:tcW w:w="100" w:type="dxa"/>
            <w:vAlign w:val="bottom"/>
            <w:tcBorders>
              <w:bottom w:val="single" w:sz="8" w:color="F0FFFF"/>
            </w:tcBorders>
            <w:shd w:val="clear" w:color="auto" w:fill="F0FFFF"/>
          </w:tcPr>
          <w:p>
            <w:pPr>
              <w:spacing w:after="0"/>
              <w:rPr>
                <w:sz w:val="13"/>
                <w:szCs w:val="13"/>
                <w:color w:val="auto"/>
              </w:rPr>
            </w:pPr>
          </w:p>
        </w:tc>
        <w:tc>
          <w:tcPr>
            <w:tcW w:w="920" w:type="dxa"/>
            <w:vAlign w:val="bottom"/>
            <w:tcBorders>
              <w:bottom w:val="single" w:sz="8" w:color="F0FFFF"/>
            </w:tcBorders>
            <w:shd w:val="clear" w:color="auto" w:fill="F0FFFF"/>
          </w:tcPr>
          <w:p>
            <w:pPr>
              <w:spacing w:after="0"/>
              <w:rPr>
                <w:sz w:val="13"/>
                <w:szCs w:val="13"/>
                <w:color w:val="auto"/>
              </w:rPr>
            </w:pPr>
          </w:p>
        </w:tc>
        <w:tc>
          <w:tcPr>
            <w:tcW w:w="100" w:type="dxa"/>
            <w:vAlign w:val="bottom"/>
            <w:tcBorders>
              <w:bottom w:val="single" w:sz="8" w:color="F0FFFF"/>
            </w:tcBorders>
            <w:shd w:val="clear" w:color="auto" w:fill="F0FFFF"/>
          </w:tcPr>
          <w:p>
            <w:pPr>
              <w:spacing w:after="0"/>
              <w:rPr>
                <w:sz w:val="13"/>
                <w:szCs w:val="13"/>
                <w:color w:val="auto"/>
              </w:rPr>
            </w:pPr>
          </w:p>
        </w:tc>
        <w:tc>
          <w:tcPr>
            <w:tcW w:w="1700" w:type="dxa"/>
            <w:vAlign w:val="bottom"/>
            <w:tcBorders>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United Community Capital Trust</w:t>
            </w:r>
          </w:p>
        </w:tc>
        <w:tc>
          <w:tcPr>
            <w:tcW w:w="24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21,650</w:t>
            </w: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21,650</w:t>
            </w:r>
          </w:p>
        </w:tc>
        <w:tc>
          <w:tcPr>
            <w:tcW w:w="900" w:type="dxa"/>
            <w:vAlign w:val="bottom"/>
            <w:shd w:val="clear" w:color="auto" w:fill="F0FFFF"/>
          </w:tcPr>
          <w:p>
            <w:pPr>
              <w:jc w:val="right"/>
              <w:ind w:right="228"/>
              <w:spacing w:after="0" w:line="149" w:lineRule="exact"/>
              <w:rPr>
                <w:sz w:val="20"/>
                <w:szCs w:val="20"/>
                <w:color w:val="auto"/>
              </w:rPr>
            </w:pPr>
            <w:r>
              <w:rPr>
                <w:rFonts w:ascii="Arial" w:cs="Arial" w:eastAsia="Arial" w:hAnsi="Arial"/>
                <w:sz w:val="14"/>
                <w:szCs w:val="14"/>
                <w:color w:val="auto"/>
              </w:rPr>
              <w:t>1998</w:t>
            </w:r>
          </w:p>
        </w:tc>
        <w:tc>
          <w:tcPr>
            <w:tcW w:w="120" w:type="dxa"/>
            <w:vAlign w:val="bottom"/>
            <w:shd w:val="clear" w:color="auto" w:fill="F0FFFF"/>
          </w:tcPr>
          <w:p>
            <w:pPr>
              <w:spacing w:after="0"/>
              <w:rPr>
                <w:sz w:val="12"/>
                <w:szCs w:val="12"/>
                <w:color w:val="auto"/>
              </w:rPr>
            </w:pPr>
          </w:p>
        </w:tc>
        <w:tc>
          <w:tcPr>
            <w:tcW w:w="90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2028</w:t>
            </w:r>
          </w:p>
        </w:tc>
        <w:tc>
          <w:tcPr>
            <w:tcW w:w="100" w:type="dxa"/>
            <w:vAlign w:val="bottom"/>
            <w:shd w:val="clear" w:color="auto" w:fill="F0FFFF"/>
          </w:tcPr>
          <w:p>
            <w:pPr>
              <w:spacing w:after="0"/>
              <w:rPr>
                <w:sz w:val="12"/>
                <w:szCs w:val="12"/>
                <w:color w:val="auto"/>
              </w:rPr>
            </w:pPr>
          </w:p>
        </w:tc>
        <w:tc>
          <w:tcPr>
            <w:tcW w:w="92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18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8.125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United Community Statutory Trust I</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5,155</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5,155</w:t>
            </w:r>
          </w:p>
        </w:tc>
        <w:tc>
          <w:tcPr>
            <w:tcW w:w="9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2030</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10.600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United Community Capital Trust II</w:t>
            </w:r>
          </w:p>
        </w:tc>
        <w:tc>
          <w:tcPr>
            <w:tcW w:w="24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10,309</w:t>
            </w: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10,309</w:t>
            </w:r>
          </w:p>
        </w:tc>
        <w:tc>
          <w:tcPr>
            <w:tcW w:w="900" w:type="dxa"/>
            <w:vAlign w:val="bottom"/>
            <w:shd w:val="clear" w:color="auto" w:fill="F0FFFF"/>
          </w:tcPr>
          <w:p>
            <w:pPr>
              <w:jc w:val="right"/>
              <w:ind w:right="228"/>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F0FFFF"/>
          </w:tcPr>
          <w:p>
            <w:pPr>
              <w:spacing w:after="0"/>
              <w:rPr>
                <w:sz w:val="12"/>
                <w:szCs w:val="12"/>
                <w:color w:val="auto"/>
              </w:rPr>
            </w:pPr>
          </w:p>
        </w:tc>
        <w:tc>
          <w:tcPr>
            <w:tcW w:w="90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2030</w:t>
            </w:r>
          </w:p>
        </w:tc>
        <w:tc>
          <w:tcPr>
            <w:tcW w:w="100" w:type="dxa"/>
            <w:vAlign w:val="bottom"/>
            <w:shd w:val="clear" w:color="auto" w:fill="F0FFFF"/>
          </w:tcPr>
          <w:p>
            <w:pPr>
              <w:spacing w:after="0"/>
              <w:rPr>
                <w:sz w:val="12"/>
                <w:szCs w:val="12"/>
                <w:color w:val="auto"/>
              </w:rPr>
            </w:pPr>
          </w:p>
        </w:tc>
        <w:tc>
          <w:tcPr>
            <w:tcW w:w="92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18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11.295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Southern Bancorp Capital Trust I</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4,382</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4,382</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4,382</w:t>
            </w:r>
          </w:p>
        </w:tc>
        <w:tc>
          <w:tcPr>
            <w:tcW w:w="90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2004</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2034</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Prime + 1.00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United Community Statutory Trust II</w:t>
            </w:r>
          </w:p>
        </w:tc>
        <w:tc>
          <w:tcPr>
            <w:tcW w:w="24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4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12,131</w:t>
            </w: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12,131</w:t>
            </w:r>
          </w:p>
        </w:tc>
        <w:tc>
          <w:tcPr>
            <w:tcW w:w="900" w:type="dxa"/>
            <w:vAlign w:val="bottom"/>
            <w:shd w:val="clear" w:color="auto" w:fill="F0FFFF"/>
          </w:tcPr>
          <w:p>
            <w:pPr>
              <w:jc w:val="right"/>
              <w:ind w:right="228"/>
              <w:spacing w:after="0" w:line="149" w:lineRule="exact"/>
              <w:rPr>
                <w:sz w:val="20"/>
                <w:szCs w:val="20"/>
                <w:color w:val="auto"/>
              </w:rPr>
            </w:pPr>
            <w:r>
              <w:rPr>
                <w:rFonts w:ascii="Arial" w:cs="Arial" w:eastAsia="Arial" w:hAnsi="Arial"/>
                <w:sz w:val="14"/>
                <w:szCs w:val="14"/>
                <w:color w:val="auto"/>
              </w:rPr>
              <w:t>2008</w:t>
            </w:r>
          </w:p>
        </w:tc>
        <w:tc>
          <w:tcPr>
            <w:tcW w:w="120" w:type="dxa"/>
            <w:vAlign w:val="bottom"/>
            <w:shd w:val="clear" w:color="auto" w:fill="F0FFFF"/>
          </w:tcPr>
          <w:p>
            <w:pPr>
              <w:spacing w:after="0"/>
              <w:rPr>
                <w:sz w:val="12"/>
                <w:szCs w:val="12"/>
                <w:color w:val="auto"/>
              </w:rPr>
            </w:pPr>
          </w:p>
        </w:tc>
        <w:tc>
          <w:tcPr>
            <w:tcW w:w="90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2038</w:t>
            </w:r>
          </w:p>
        </w:tc>
        <w:tc>
          <w:tcPr>
            <w:tcW w:w="100" w:type="dxa"/>
            <w:vAlign w:val="bottom"/>
            <w:shd w:val="clear" w:color="auto" w:fill="F0FFFF"/>
          </w:tcPr>
          <w:p>
            <w:pPr>
              <w:spacing w:after="0"/>
              <w:rPr>
                <w:sz w:val="12"/>
                <w:szCs w:val="12"/>
                <w:color w:val="auto"/>
              </w:rPr>
            </w:pPr>
          </w:p>
        </w:tc>
        <w:tc>
          <w:tcPr>
            <w:tcW w:w="92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80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United Community Statutory Trust III</w:t>
            </w:r>
          </w:p>
        </w:tc>
        <w:tc>
          <w:tcPr>
            <w:tcW w:w="2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1,238</w:t>
            </w:r>
          </w:p>
        </w:tc>
        <w:tc>
          <w:tcPr>
            <w:tcW w:w="2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1,238</w:t>
            </w: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1,238</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2013</w:t>
            </w:r>
          </w:p>
        </w:tc>
        <w:tc>
          <w:tcPr>
            <w:tcW w:w="1800" w:type="dxa"/>
            <w:vAlign w:val="bottom"/>
            <w:gridSpan w:val="2"/>
          </w:tcPr>
          <w:p>
            <w:pPr>
              <w:ind w:left="100"/>
              <w:spacing w:after="0"/>
              <w:rPr>
                <w:sz w:val="20"/>
                <w:szCs w:val="20"/>
                <w:color w:val="auto"/>
              </w:rPr>
            </w:pPr>
            <w:r>
              <w:rPr>
                <w:rFonts w:ascii="Arial" w:cs="Arial" w:eastAsia="Arial" w:hAnsi="Arial"/>
                <w:sz w:val="14"/>
                <w:szCs w:val="14"/>
                <w:color w:val="auto"/>
              </w:rPr>
              <w:t>Prime + 3.00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top w:val="single" w:sz="8" w:color="F0FFFF"/>
              <w:bottom w:val="single" w:sz="8" w:color="F0FFFF"/>
            </w:tcBorders>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trust preferred securities</w:t>
            </w:r>
          </w:p>
        </w:tc>
        <w:tc>
          <w:tcPr>
            <w:tcW w:w="240" w:type="dxa"/>
            <w:vAlign w:val="bottom"/>
            <w:tcBorders>
              <w:top w:val="single" w:sz="8" w:color="auto"/>
              <w:bottom w:val="single" w:sz="8" w:color="auto"/>
            </w:tcBorders>
            <w:shd w:val="clear" w:color="auto" w:fill="F0FFFF"/>
          </w:tcPr>
          <w:p>
            <w:pPr>
              <w:spacing w:after="0"/>
              <w:rPr>
                <w:sz w:val="13"/>
                <w:szCs w:val="13"/>
                <w:color w:val="auto"/>
              </w:rPr>
            </w:pPr>
          </w:p>
        </w:tc>
        <w:tc>
          <w:tcPr>
            <w:tcW w:w="8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5,620</w:t>
            </w:r>
          </w:p>
        </w:tc>
        <w:tc>
          <w:tcPr>
            <w:tcW w:w="240" w:type="dxa"/>
            <w:vAlign w:val="bottom"/>
            <w:tcBorders>
              <w:top w:val="single" w:sz="8" w:color="F0FFFF"/>
              <w:bottom w:val="single" w:sz="8" w:color="F0FFFF"/>
            </w:tcBorders>
            <w:shd w:val="clear" w:color="auto" w:fill="F0FFFF"/>
          </w:tcPr>
          <w:p>
            <w:pPr>
              <w:spacing w:after="0"/>
              <w:rPr>
                <w:sz w:val="13"/>
                <w:szCs w:val="13"/>
                <w:color w:val="auto"/>
              </w:rPr>
            </w:pPr>
          </w:p>
        </w:tc>
        <w:tc>
          <w:tcPr>
            <w:tcW w:w="240" w:type="dxa"/>
            <w:vAlign w:val="bottom"/>
            <w:tcBorders>
              <w:top w:val="single" w:sz="8" w:color="auto"/>
              <w:bottom w:val="single" w:sz="8" w:color="auto"/>
            </w:tcBorders>
            <w:shd w:val="clear" w:color="auto" w:fill="F0FFFF"/>
          </w:tcPr>
          <w:p>
            <w:pPr>
              <w:spacing w:after="0"/>
              <w:rPr>
                <w:sz w:val="13"/>
                <w:szCs w:val="13"/>
                <w:color w:val="auto"/>
              </w:rPr>
            </w:pPr>
          </w:p>
        </w:tc>
        <w:tc>
          <w:tcPr>
            <w:tcW w:w="8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54,865</w:t>
            </w:r>
          </w:p>
        </w:tc>
        <w:tc>
          <w:tcPr>
            <w:tcW w:w="240" w:type="dxa"/>
            <w:vAlign w:val="bottom"/>
            <w:tcBorders>
              <w:top w:val="single" w:sz="8" w:color="F0FFFF"/>
              <w:bottom w:val="single" w:sz="8" w:color="F0FFFF"/>
            </w:tcBorders>
            <w:shd w:val="clear" w:color="auto" w:fill="F0FFFF"/>
          </w:tcPr>
          <w:p>
            <w:pPr>
              <w:spacing w:after="0"/>
              <w:rPr>
                <w:sz w:val="13"/>
                <w:szCs w:val="13"/>
                <w:color w:val="auto"/>
              </w:rPr>
            </w:pPr>
          </w:p>
        </w:tc>
        <w:tc>
          <w:tcPr>
            <w:tcW w:w="240" w:type="dxa"/>
            <w:vAlign w:val="bottom"/>
            <w:tcBorders>
              <w:top w:val="single" w:sz="8" w:color="auto"/>
              <w:bottom w:val="single" w:sz="8" w:color="auto"/>
            </w:tcBorders>
            <w:shd w:val="clear" w:color="auto" w:fill="F0FFFF"/>
          </w:tcPr>
          <w:p>
            <w:pPr>
              <w:spacing w:after="0"/>
              <w:rPr>
                <w:sz w:val="13"/>
                <w:szCs w:val="13"/>
                <w:color w:val="auto"/>
              </w:rPr>
            </w:pPr>
          </w:p>
        </w:tc>
        <w:tc>
          <w:tcPr>
            <w:tcW w:w="7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54,865</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900" w:type="dxa"/>
            <w:vAlign w:val="bottom"/>
            <w:tcBorders>
              <w:top w:val="single" w:sz="8" w:color="F0FFFF"/>
              <w:bottom w:val="single" w:sz="8" w:color="F0FFFF"/>
            </w:tcBorders>
            <w:shd w:val="clear" w:color="auto" w:fill="F0FFFF"/>
          </w:tcPr>
          <w:p>
            <w:pPr>
              <w:spacing w:after="0"/>
              <w:rPr>
                <w:sz w:val="13"/>
                <w:szCs w:val="13"/>
                <w:color w:val="auto"/>
              </w:rPr>
            </w:pPr>
          </w:p>
        </w:tc>
        <w:tc>
          <w:tcPr>
            <w:tcW w:w="120" w:type="dxa"/>
            <w:vAlign w:val="bottom"/>
            <w:tcBorders>
              <w:top w:val="single" w:sz="8" w:color="F0FFFF"/>
              <w:bottom w:val="single" w:sz="8" w:color="F0FFFF"/>
            </w:tcBorders>
            <w:shd w:val="clear" w:color="auto" w:fill="F0FFFF"/>
          </w:tcPr>
          <w:p>
            <w:pPr>
              <w:spacing w:after="0"/>
              <w:rPr>
                <w:sz w:val="13"/>
                <w:szCs w:val="13"/>
                <w:color w:val="auto"/>
              </w:rPr>
            </w:pPr>
          </w:p>
        </w:tc>
        <w:tc>
          <w:tcPr>
            <w:tcW w:w="900" w:type="dxa"/>
            <w:vAlign w:val="bottom"/>
            <w:tcBorders>
              <w:top w:val="single" w:sz="8" w:color="F0FFFF"/>
              <w:bottom w:val="single" w:sz="8" w:color="F0FFFF"/>
            </w:tcBorders>
            <w:shd w:val="clear" w:color="auto" w:fill="F0FFFF"/>
          </w:tcPr>
          <w:p>
            <w:pPr>
              <w:spacing w:after="0"/>
              <w:rPr>
                <w:sz w:val="13"/>
                <w:szCs w:val="13"/>
                <w:color w:val="auto"/>
              </w:rPr>
            </w:pPr>
          </w:p>
        </w:tc>
        <w:tc>
          <w:tcPr>
            <w:tcW w:w="100" w:type="dxa"/>
            <w:vAlign w:val="bottom"/>
            <w:tcBorders>
              <w:top w:val="single" w:sz="8" w:color="F0FFFF"/>
              <w:bottom w:val="single" w:sz="8" w:color="F0FFFF"/>
            </w:tcBorders>
            <w:shd w:val="clear" w:color="auto" w:fill="F0FFFF"/>
          </w:tcPr>
          <w:p>
            <w:pPr>
              <w:spacing w:after="0"/>
              <w:rPr>
                <w:sz w:val="13"/>
                <w:szCs w:val="13"/>
                <w:color w:val="auto"/>
              </w:rPr>
            </w:pPr>
          </w:p>
        </w:tc>
        <w:tc>
          <w:tcPr>
            <w:tcW w:w="920" w:type="dxa"/>
            <w:vAlign w:val="bottom"/>
            <w:tcBorders>
              <w:top w:val="single" w:sz="8" w:color="F0FFFF"/>
              <w:bottom w:val="single" w:sz="8" w:color="F0FFFF"/>
            </w:tcBorders>
            <w:shd w:val="clear" w:color="auto" w:fill="F0FFFF"/>
          </w:tcPr>
          <w:p>
            <w:pPr>
              <w:spacing w:after="0"/>
              <w:rPr>
                <w:sz w:val="13"/>
                <w:szCs w:val="13"/>
                <w:color w:val="auto"/>
              </w:rPr>
            </w:pPr>
          </w:p>
        </w:tc>
        <w:tc>
          <w:tcPr>
            <w:tcW w:w="100" w:type="dxa"/>
            <w:vAlign w:val="bottom"/>
            <w:tcBorders>
              <w:top w:val="single" w:sz="8" w:color="F0FFFF"/>
              <w:bottom w:val="single" w:sz="8" w:color="F0FFFF"/>
            </w:tcBorders>
            <w:shd w:val="clear" w:color="auto" w:fill="F0FFFF"/>
          </w:tcPr>
          <w:p>
            <w:pPr>
              <w:spacing w:after="0"/>
              <w:rPr>
                <w:sz w:val="13"/>
                <w:szCs w:val="13"/>
                <w:color w:val="auto"/>
              </w:rPr>
            </w:pPr>
          </w:p>
        </w:tc>
        <w:tc>
          <w:tcPr>
            <w:tcW w:w="1700" w:type="dxa"/>
            <w:vAlign w:val="bottom"/>
            <w:tcBorders>
              <w:top w:val="single" w:sz="8" w:color="F0FFFF"/>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Total long-term debt</w:t>
            </w:r>
          </w:p>
        </w:tc>
        <w:tc>
          <w:tcPr>
            <w:tcW w:w="240" w:type="dxa"/>
            <w:vAlign w:val="bottom"/>
            <w:shd w:val="clear" w:color="auto" w:fill="F0FFFF"/>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165,620</w:t>
            </w:r>
          </w:p>
        </w:tc>
        <w:tc>
          <w:tcPr>
            <w:tcW w:w="2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129,865</w:t>
            </w:r>
          </w:p>
        </w:tc>
        <w:tc>
          <w:tcPr>
            <w:tcW w:w="240" w:type="dxa"/>
            <w:vAlign w:val="bottom"/>
            <w:shd w:val="clear" w:color="auto" w:fill="F0FFFF"/>
          </w:tcPr>
          <w:p>
            <w:pPr>
              <w:ind w:lef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129,865</w:t>
            </w: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7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7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is currently paid semiannually for all senior debentures and trust preferred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2012 senior debentures are not redeemable prior to maturity and will mature on October 15, 2017. The 2013 senior debentures are redeemable on or after August 13, 2015, at a redemption price equal to 100% of the principal amount plus any accrued and unpaid interest, and will mature on August 13, 2018 if not redeemed prior to that date. The 2022 senior debentures are redeemable, in whole or in part, on or after August 14, 2020 at a redemption price equal to 100% of the principal amount to be redeemed plus any accrued and unpaid interest, and will mature on February 14, 2022 if not redeemed prior to that date. 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at a premium as provided in the indentures.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2015, United announced its decision to exit its corporate healthcare lending business based in Nashville, Tennessee. In conjunction with the exit, United agreed to sell $190 million of corporate healthcare loans that were originated by United's Nashville-based healthcare team. United has also transferred the lease on its healthcare lending office in Nashville and the personnel there have become employees of the acquirer.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2014 as well as the following factors:</w:t>
      </w:r>
    </w:p>
    <w:p>
      <w:pPr>
        <w:spacing w:after="0" w:line="1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net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w:t>
      </w: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has not been reviewed, or confirmed for accuracy or relevance, by the Federal Deposit Insurance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September 30, 2015, United had total consolidated assets of $9.41 billion, total loans of $6.02 billion, total deposits of $7.91 billion, and shareholders’ equity of $1.01 billion.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conducts substantially all of its operations through its wholly-owned Georgia bank subsidiary, United Community Bank (the “Bank”), which as of September 30, 2015, operated at 133 locations throughout the Atlanta-Sandy Springs-Roswell, Georgia, and Gainesville, Georgia metropolitan statistical areas, upstate South Carolina, north and coastal Georgia, western North Carolina, and east Tennessee. Also, United has a commercial loan office in Charlotte, North Carolina.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United completed the acquisition of Palmetto Bancshares, Inc. (“Palmetto”) and its wholly-owned bank subsidiary The Palmetto Bank. On May 1, 2015, United completed the acquisition of MoneyTree Corporation (“MoneyTree”) and its wholly-owned bank subsidiary First National Bank (“FNB”). The acquired entities’ results are included in United’s consolidated results beginning on the respective acquisition dates. Also 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48.</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reported net income of $17.9 million for the third quarter of 2015. This compared to net income of $17.6 million for the third quarter of 2014. Diluted earnings per common share were $.27 for the third quarter of 2015, compared to diluted earnings per common share of $.29 for the third quarter of 2014. The decrease in earnings per share results from $5.74 million in merger-related charges reported in the third quarter of 2015.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2015, United reported net income of $53.4 million. This compared to net income of $49.4 million for the first nine months of 2014. Diluted earnings per common share were $.84 for the nine months ended September 30, 2015, compared to diluted earnings per common share of $.81 for the nine months ended September 30, 2014.</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Taxable equivalent net interest revenue increased to $65.7 million for the third quarter of 2015, compared to $57.0 million for the same period of 2014, primarily due to loan growth. Net interest margin decreased to 3.26% for the three months ended September 30, 2015 from 3.32% for the same period in 2014. For the nine months ended September 30, 2015, taxable equivalent net interest revenue was $185 million compared to $166 million for the same period of 2014, primarily due to loan growth and an increase in the net interest margin. Net interest margin increased to 3.29% for the nine months ended September 30, 2015 from 3.25% for the same period in 2014. In the second quarter of 2014, United executed a number of balance sheet management activities, including restructuring interest rate swaps, selling investment securities and repaying high cost wholesale borrowings with the intent of improving the net interest margin and increasing net interest revenue. These balance sheet management activities, along with strong loan growth over the last five quarters, had the desired effect of increasing net interest revenue and net interest margin.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provision for credit losses was $700,000 for the third quarter of 2015, compared to $2.0 million for the same period in 2014. Net charge-offs for the third quarter of 2015 were $1.42 million, compared to $3.16 million for the third quarter of 2014. Strong recoveries of previously charged-off loans drove net charge-offs down in the third quarter of 2015. For the nine months ended September 30, 2015, United’s provision for loan losses was $3.40 million, compared to $6.70 million for the same period of 2014. United’s credit quality indicators have shown improvement over the last five quarters leading to lower net charge offs and provisions for credit losses.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2015, United’s allowance for loan losses was $69.1 million, or 1.15% of loans, compared to $71.6 million, or 1.53% of loans, at December 31, 2014 and $71.9 million, or 1.57% of loans, at September 30, 2014. In accordance with the accounting guidance for business combinations, there was no allowance for loan losses brought forward on loans acquired from Palmetto or MoneyTree, as credit deterioration was included in the determination of fair value at acquisition date. At September 30, 2015, United recorded no allowance for loan losses on loans acquired from Palmetto or MoneyTree as there was no evidence of credit deterioration beyond that which was incorporated into the determination of fair value at acquisition date. Nonperforming assets of $27.7 million were .29% of total assets at September 30, 2015, up from .26% at December 31, 2014 and the same level as September 30, 2014. The year-to-date increase was primarily due to foreclosed properties assumed in connection with the Palmetto acquisition. During the third quarter of 2015, $8.92 million in loans were placed on nonaccrual compared with $7.67 million in the third quarter of 2014.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72" w:lineRule="auto"/>
        <w:rPr>
          <w:sz w:val="20"/>
          <w:szCs w:val="20"/>
          <w:color w:val="auto"/>
        </w:rPr>
      </w:pPr>
      <w:r>
        <w:rPr>
          <w:rFonts w:ascii="Arial" w:cs="Arial" w:eastAsia="Arial" w:hAnsi="Arial"/>
          <w:sz w:val="17"/>
          <w:szCs w:val="17"/>
          <w:color w:val="auto"/>
        </w:rPr>
        <w:t>Fee revenue of $18.3 million for the third quarter of 2015 was up $3.89 million, or 27%, from the third quarter of 2014. The increase was partly due to $1.65 million in gains from the sales of government guaranteed loans in the third quarter of 2015, compared to $945,000 in the third quarter of 2014. United began selling the guaranteed portion of Small Business Administration (“SBA”) / United States Department of Agriculture (“USDA”) loans in the second quarter of 2014 as part of its emphasis on growing its government guaranteed lending business. Mortgage fees of $3.84 million for the third quarter of 2015 increased from $2.18 million in the third quarter of 2014. The increase was due to United’s emphasis on growing its mortgage business by recruiting lenders in metropolitan markets and continued strong refinancing activity. For the first nine months of 2015, fee revenue of $51.2 million increased $10.5 million, or 26%, from the same period in 2014, primarily due to the same factors resulting in the quarterly increase.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third quarter of 2015, operating expenses of $54.3 million were up $12.9 million from the third quarter of 2014, partially due to the addition of Palmetto and FNB operating expenses since acquisition. Salaries and benefits expense increased $3.68 million from a year ago mostly due to the investment in additional staff and new teams to expand the specialized lending area as well as higher incentive compensation in connection with increased lending activities and improvement in earnings performance. In addition, merger-related charges of $5.74 million were expensed in third quarter 2015. For the nine months ended September 30, 2015, operating expenses of $146 million were up $24.8 million from the same period in 2014, mainly due to the same factors that caused the quarterly increase.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2015, United announced its decision to exit its corporate healthcare lending business based in Nashville, Tennessee. In conjunction with the exit, United agreed to sell $190 million of corporate healthcare loans that were originated by United's Nashville-based healthcare team. United has also transferred the lease on its healthcare lending office in Nashville and the personnel there have become employees of the acquirer.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the table on page 48.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reported net income of $17.9 million for the third quarter of 2015. This compared to net income of $17.6 million for the same period in 2014. For the third quarter of 2015, diluted earnings per common share were $.27 compared to $.29 for the third quarter of 2014. For the nine months ended September 30, 2015, United reported net income of $53.4 million compared to net income of $49.4 million for the same period in 2014.</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color w:val="auto"/>
        </w:rPr>
        <w:t>United reported net operating income of $21.7 million and $59.4 million, respectively, for the third quarter and the first nine months of 2015, compared to $17.6 million and $49.4 million, respectively, for the same periods in 2014. Operating earnings exclude the effects of merger-related charges, which, net of tax, totaled $3.84 million and $6.02 million, respectively, for the three and nine months ended September 30,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16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5"/>
              </w:rPr>
              <w:t>For the Nine</w:t>
            </w: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6"/>
                <w:szCs w:val="16"/>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69"/>
        </w:trPr>
        <w:tc>
          <w:tcPr>
            <w:tcW w:w="230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w:t>
            </w: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2015-2014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2015-2014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gridSpan w:val="3"/>
          </w:tcPr>
          <w:p>
            <w:pPr>
              <w:spacing w:after="0"/>
              <w:rPr>
                <w:sz w:val="20"/>
                <w:szCs w:val="20"/>
                <w:color w:val="auto"/>
              </w:rPr>
            </w:pPr>
            <w:r>
              <w:rPr>
                <w:rFonts w:ascii="Arial" w:cs="Arial" w:eastAsia="Arial" w:hAnsi="Arial"/>
                <w:sz w:val="14"/>
                <w:szCs w:val="14"/>
                <w:i w:val="1"/>
                <w:iCs w:val="1"/>
                <w:color w:val="auto"/>
              </w:rPr>
              <w:t>data; taxable equivalent)</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INCOME SUMMARY</w:t>
            </w:r>
          </w:p>
        </w:tc>
        <w:tc>
          <w:tcPr>
            <w:tcW w:w="1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Interest revenue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71,120</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62,909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64,353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63,338</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200,163</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185,616</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5,402</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4,817</w:t>
            </w:r>
          </w:p>
        </w:tc>
        <w:tc>
          <w:tcPr>
            <w:tcW w:w="10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5,292</w:t>
            </w: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6,021</w:t>
            </w: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6,371</w:t>
            </w:r>
          </w:p>
        </w:tc>
        <w:tc>
          <w:tcPr>
            <w:tcW w:w="7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15,511</w:t>
            </w:r>
          </w:p>
        </w:tc>
        <w:tc>
          <w:tcPr>
            <w:tcW w:w="220" w:type="dxa"/>
            <w:vAlign w:val="bottom"/>
            <w:tcBorders>
              <w:right w:val="single" w:sz="8" w:color="F0FFFF"/>
            </w:tcBorders>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19,530</w:t>
            </w: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Borders>
              <w:top w:val="single" w:sz="8" w:color="F0FFFF"/>
            </w:tcBorders>
            <w:gridSpan w:val="2"/>
          </w:tcPr>
          <w:p>
            <w:pPr>
              <w:ind w:left="320"/>
              <w:spacing w:after="0" w:line="136" w:lineRule="exact"/>
              <w:rPr>
                <w:sz w:val="20"/>
                <w:szCs w:val="20"/>
                <w:color w:val="auto"/>
              </w:rPr>
            </w:pPr>
            <w:r>
              <w:rPr>
                <w:rFonts w:ascii="Arial" w:cs="Arial" w:eastAsia="Arial" w:hAnsi="Arial"/>
                <w:sz w:val="14"/>
                <w:szCs w:val="14"/>
                <w:color w:val="auto"/>
              </w:rPr>
              <w:t>Net interest revenue</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65,718</w:t>
            </w:r>
          </w:p>
        </w:tc>
        <w:tc>
          <w:tcPr>
            <w:tcW w:w="18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61,317</w:t>
            </w:r>
          </w:p>
        </w:tc>
        <w:tc>
          <w:tcPr>
            <w:tcW w:w="26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57,617</w:t>
            </w: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58,332</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56,967</w:t>
            </w:r>
          </w:p>
        </w:tc>
        <w:tc>
          <w:tcPr>
            <w:tcW w:w="240" w:type="dxa"/>
            <w:vAlign w:val="bottom"/>
            <w:tcBorders>
              <w:top w:val="single" w:sz="8" w:color="F0FFFF"/>
            </w:tcBorders>
          </w:tcPr>
          <w:p>
            <w:pPr>
              <w:spacing w:after="0"/>
              <w:rPr>
                <w:sz w:val="11"/>
                <w:szCs w:val="11"/>
                <w:color w:val="auto"/>
              </w:rPr>
            </w:pPr>
          </w:p>
        </w:tc>
        <w:tc>
          <w:tcPr>
            <w:tcW w:w="1000" w:type="dxa"/>
            <w:vAlign w:val="bottom"/>
            <w:tcBorders>
              <w:top w:val="single" w:sz="8" w:color="F0FFFF"/>
            </w:tcBorders>
            <w:gridSpan w:val="2"/>
          </w:tcPr>
          <w:p>
            <w:pPr>
              <w:jc w:val="right"/>
              <w:ind w:right="100"/>
              <w:spacing w:after="0" w:line="136" w:lineRule="exact"/>
              <w:rPr>
                <w:sz w:val="20"/>
                <w:szCs w:val="20"/>
                <w:color w:val="auto"/>
              </w:rPr>
            </w:pPr>
            <w:r>
              <w:rPr>
                <w:rFonts w:ascii="Arial" w:cs="Arial" w:eastAsia="Arial" w:hAnsi="Arial"/>
                <w:sz w:val="14"/>
                <w:szCs w:val="14"/>
                <w:color w:val="auto"/>
              </w:rPr>
              <w:t>15%</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184,652</w:t>
            </w: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166,086</w:t>
            </w:r>
          </w:p>
        </w:tc>
        <w:tc>
          <w:tcPr>
            <w:tcW w:w="240" w:type="dxa"/>
            <w:vAlign w:val="bottom"/>
            <w:tcBorders>
              <w:top w:val="single" w:sz="8" w:color="F0FFFF"/>
            </w:tcBorders>
          </w:tcPr>
          <w:p>
            <w:pPr>
              <w:spacing w:after="0"/>
              <w:rPr>
                <w:sz w:val="11"/>
                <w:szCs w:val="11"/>
                <w:color w:val="auto"/>
              </w:rPr>
            </w:pPr>
          </w:p>
        </w:tc>
        <w:tc>
          <w:tcPr>
            <w:tcW w:w="900" w:type="dxa"/>
            <w:vAlign w:val="bottom"/>
            <w:tcBorders>
              <w:top w:val="single" w:sz="8" w:color="F0FFFF"/>
            </w:tcBorders>
            <w:gridSpan w:val="2"/>
          </w:tcPr>
          <w:p>
            <w:pPr>
              <w:jc w:val="right"/>
              <w:spacing w:after="0" w:line="136"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700</w:t>
            </w: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900</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1,800</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1,800</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3,400</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6,700</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Fee revenue</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18,297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17,266</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15,682</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14,823</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14,412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51,245</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40,731</w:t>
            </w: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F0FFFF"/>
            </w:tcBorders>
            <w:gridSpan w:val="2"/>
            <w:shd w:val="clear" w:color="auto" w:fill="F0FFFF"/>
          </w:tcPr>
          <w:p>
            <w:pPr>
              <w:ind w:left="320"/>
              <w:spacing w:after="0" w:line="149" w:lineRule="exact"/>
              <w:rPr>
                <w:sz w:val="20"/>
                <w:szCs w:val="20"/>
                <w:color w:val="auto"/>
              </w:rPr>
            </w:pPr>
            <w:r>
              <w:rPr>
                <w:rFonts w:ascii="Arial" w:cs="Arial" w:eastAsia="Arial" w:hAnsi="Arial"/>
                <w:sz w:val="14"/>
                <w:szCs w:val="14"/>
                <w:b w:val="1"/>
                <w:bCs w:val="1"/>
                <w:color w:val="auto"/>
              </w:rPr>
              <w:t>Total revenue</w:t>
            </w: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83,315</w:t>
            </w:r>
          </w:p>
        </w:tc>
        <w:tc>
          <w:tcPr>
            <w:tcW w:w="1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77,683</w:t>
            </w:r>
          </w:p>
        </w:tc>
        <w:tc>
          <w:tcPr>
            <w:tcW w:w="2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71,499</w:t>
            </w:r>
          </w:p>
        </w:tc>
        <w:tc>
          <w:tcPr>
            <w:tcW w:w="240" w:type="dxa"/>
            <w:vAlign w:val="bottom"/>
            <w:tcBorders>
              <w:top w:val="single" w:sz="8" w:color="F0FFFF"/>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71,355</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69,379</w:t>
            </w:r>
          </w:p>
        </w:tc>
        <w:tc>
          <w:tcPr>
            <w:tcW w:w="240" w:type="dxa"/>
            <w:vAlign w:val="bottom"/>
            <w:tcBorders>
              <w:top w:val="single" w:sz="8" w:color="F0FFFF"/>
            </w:tcBorders>
            <w:shd w:val="clear" w:color="auto" w:fill="F0FFFF"/>
          </w:tcPr>
          <w:p>
            <w:pPr>
              <w:spacing w:after="0"/>
              <w:rPr>
                <w:sz w:val="12"/>
                <w:szCs w:val="12"/>
                <w:color w:val="auto"/>
              </w:rPr>
            </w:pPr>
          </w:p>
        </w:tc>
        <w:tc>
          <w:tcPr>
            <w:tcW w:w="1000" w:type="dxa"/>
            <w:vAlign w:val="bottom"/>
            <w:tcBorders>
              <w:top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232,497</w:t>
            </w:r>
          </w:p>
        </w:tc>
        <w:tc>
          <w:tcPr>
            <w:tcW w:w="220" w:type="dxa"/>
            <w:vAlign w:val="bottom"/>
            <w:tcBorders>
              <w:top w:val="single" w:sz="8" w:color="F0FFFF"/>
              <w:right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200,117</w:t>
            </w:r>
          </w:p>
        </w:tc>
        <w:tc>
          <w:tcPr>
            <w:tcW w:w="24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F0FFFF"/>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Expenses - operating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48,525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45,247</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43,061</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41,919</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41,364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136,833</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120,946</w:t>
            </w: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Borders>
              <w:top w:val="single" w:sz="8" w:color="F0FFFF"/>
            </w:tcBorders>
            <w:gridSpan w:val="2"/>
            <w:shd w:val="clear" w:color="auto" w:fill="F0FFFF"/>
          </w:tcPr>
          <w:p>
            <w:pPr>
              <w:ind w:left="320"/>
              <w:spacing w:after="0" w:line="127" w:lineRule="exact"/>
              <w:rPr>
                <w:sz w:val="20"/>
                <w:szCs w:val="20"/>
                <w:color w:val="auto"/>
              </w:rPr>
            </w:pPr>
            <w:r>
              <w:rPr>
                <w:rFonts w:ascii="Arial" w:cs="Arial" w:eastAsia="Arial" w:hAnsi="Arial"/>
                <w:sz w:val="14"/>
                <w:szCs w:val="14"/>
                <w:color w:val="auto"/>
              </w:rPr>
              <w:t>Income before income tax</w:t>
            </w:r>
          </w:p>
        </w:tc>
        <w:tc>
          <w:tcPr>
            <w:tcW w:w="12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right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64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right w:val="single" w:sz="8" w:color="F0FFFF"/>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62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F0FFFF"/>
          </w:tcPr>
          <w:p>
            <w:pPr>
              <w:ind w:left="480"/>
              <w:spacing w:after="0" w:line="198" w:lineRule="exact"/>
              <w:rPr>
                <w:sz w:val="20"/>
                <w:szCs w:val="20"/>
                <w:color w:val="auto"/>
              </w:rPr>
            </w:pPr>
            <w:r>
              <w:rPr>
                <w:rFonts w:ascii="Arial" w:cs="Arial" w:eastAsia="Arial" w:hAnsi="Arial"/>
                <w:sz w:val="14"/>
                <w:szCs w:val="14"/>
                <w:color w:val="auto"/>
              </w:rPr>
              <w:t xml:space="preserve">expense - operating </w:t>
            </w:r>
            <w:r>
              <w:rPr>
                <w:rFonts w:ascii="Arial" w:cs="Arial" w:eastAsia="Arial" w:hAnsi="Arial"/>
                <w:sz w:val="22"/>
                <w:szCs w:val="22"/>
                <w:color w:val="auto"/>
                <w:vertAlign w:val="superscript"/>
              </w:rPr>
              <w:t>(1)</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34,790</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32,436</w:t>
            </w:r>
          </w:p>
        </w:tc>
        <w:tc>
          <w:tcPr>
            <w:tcW w:w="10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28,438</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29,436</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28,015</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24</w:t>
            </w: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95,664</w:t>
            </w:r>
          </w:p>
        </w:tc>
        <w:tc>
          <w:tcPr>
            <w:tcW w:w="16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79,171</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Income tax expense - operating </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13,064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12,447</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10,768</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11,189</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10,399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36,279</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29,798</w:t>
            </w: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gridSpan w:val="2"/>
            <w:vMerge w:val="restart"/>
            <w:shd w:val="clear" w:color="auto" w:fill="F0FFFF"/>
          </w:tcPr>
          <w:p>
            <w:pPr>
              <w:ind w:left="320"/>
              <w:spacing w:after="0" w:line="202" w:lineRule="exact"/>
              <w:rPr>
                <w:sz w:val="20"/>
                <w:szCs w:val="20"/>
                <w:color w:val="auto"/>
              </w:rPr>
            </w:pPr>
            <w:r>
              <w:rPr>
                <w:rFonts w:ascii="Arial" w:cs="Arial" w:eastAsia="Arial" w:hAnsi="Arial"/>
                <w:sz w:val="14"/>
                <w:szCs w:val="14"/>
                <w:b w:val="1"/>
                <w:bCs w:val="1"/>
                <w:color w:val="auto"/>
              </w:rPr>
              <w:t xml:space="preserve">Net income - operating </w:t>
            </w:r>
            <w:r>
              <w:rPr>
                <w:rFonts w:ascii="Arial" w:cs="Arial" w:eastAsia="Arial" w:hAnsi="Arial"/>
                <w:sz w:val="23"/>
                <w:szCs w:val="23"/>
                <w:b w:val="1"/>
                <w:bCs w:val="1"/>
                <w:color w:val="auto"/>
                <w:vertAlign w:val="superscript"/>
              </w:rPr>
              <w:t>(1)</w:t>
            </w: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gridSpan w:val="2"/>
            <w:vMerge w:val="continue"/>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21,726</w:t>
            </w:r>
          </w:p>
        </w:tc>
        <w:tc>
          <w:tcPr>
            <w:tcW w:w="1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19,989</w:t>
            </w:r>
          </w:p>
        </w:tc>
        <w:tc>
          <w:tcPr>
            <w:tcW w:w="10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17,670</w:t>
            </w: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18,247</w:t>
            </w: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17,616</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23</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59,385</w:t>
            </w:r>
          </w:p>
        </w:tc>
        <w:tc>
          <w:tcPr>
            <w:tcW w:w="16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49,373</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tcPr>
          <w:p>
            <w:pPr>
              <w:spacing w:after="0" w:line="130" w:lineRule="exact"/>
              <w:rPr>
                <w:sz w:val="20"/>
                <w:szCs w:val="20"/>
                <w:color w:val="auto"/>
              </w:rPr>
            </w:pPr>
            <w:r>
              <w:rPr>
                <w:rFonts w:ascii="Arial" w:cs="Arial" w:eastAsia="Arial" w:hAnsi="Arial"/>
                <w:sz w:val="14"/>
                <w:szCs w:val="14"/>
                <w:color w:val="auto"/>
              </w:rPr>
              <w:t>Preferred dividends and discount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gridSpan w:val="2"/>
          </w:tcPr>
          <w:p>
            <w:pPr>
              <w:ind w:left="160"/>
              <w:spacing w:after="0"/>
              <w:rPr>
                <w:sz w:val="20"/>
                <w:szCs w:val="20"/>
                <w:color w:val="auto"/>
              </w:rPr>
            </w:pPr>
            <w:r>
              <w:rPr>
                <w:rFonts w:ascii="Arial" w:cs="Arial" w:eastAsia="Arial" w:hAnsi="Arial"/>
                <w:sz w:val="14"/>
                <w:szCs w:val="14"/>
                <w:color w:val="auto"/>
              </w:rPr>
              <w:t>accretion</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439</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Borders>
              <w:top w:val="single" w:sz="8" w:color="F0FFFF"/>
            </w:tcBorders>
            <w:gridSpan w:val="2"/>
            <w:shd w:val="clear" w:color="auto" w:fill="F0FFFF"/>
          </w:tcPr>
          <w:p>
            <w:pPr>
              <w:spacing w:after="0" w:line="123" w:lineRule="exact"/>
              <w:rPr>
                <w:sz w:val="20"/>
                <w:szCs w:val="20"/>
                <w:color w:val="auto"/>
              </w:rPr>
            </w:pPr>
            <w:r>
              <w:rPr>
                <w:rFonts w:ascii="Arial" w:cs="Arial" w:eastAsia="Arial" w:hAnsi="Arial"/>
                <w:sz w:val="14"/>
                <w:szCs w:val="14"/>
                <w:b w:val="1"/>
                <w:bCs w:val="1"/>
                <w:color w:val="auto"/>
              </w:rPr>
              <w:t>Net income available to common</w:t>
            </w:r>
          </w:p>
        </w:tc>
        <w:tc>
          <w:tcPr>
            <w:tcW w:w="12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right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64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right w:val="single" w:sz="8" w:color="F0FFFF"/>
            </w:tcBorders>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62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F0FFFF"/>
          </w:tcPr>
          <w:p>
            <w:pPr>
              <w:ind w:left="160"/>
              <w:spacing w:after="0" w:line="202" w:lineRule="exact"/>
              <w:rPr>
                <w:sz w:val="20"/>
                <w:szCs w:val="20"/>
                <w:color w:val="auto"/>
              </w:rPr>
            </w:pPr>
            <w:r>
              <w:rPr>
                <w:rFonts w:ascii="Arial" w:cs="Arial" w:eastAsia="Arial" w:hAnsi="Arial"/>
                <w:sz w:val="14"/>
                <w:szCs w:val="14"/>
                <w:b w:val="1"/>
                <w:bCs w:val="1"/>
                <w:color w:val="auto"/>
              </w:rPr>
              <w:t xml:space="preserve">shareholders - operating </w:t>
            </w:r>
            <w:r>
              <w:rPr>
                <w:rFonts w:ascii="Arial" w:cs="Arial" w:eastAsia="Arial" w:hAnsi="Arial"/>
                <w:sz w:val="23"/>
                <w:szCs w:val="23"/>
                <w:b w:val="1"/>
                <w:bCs w:val="1"/>
                <w:color w:val="auto"/>
                <w:vertAlign w:val="superscript"/>
              </w:rPr>
              <w:t>(1)</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21,701</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19,972</w:t>
            </w:r>
          </w:p>
        </w:tc>
        <w:tc>
          <w:tcPr>
            <w:tcW w:w="10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17,670</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18,247</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17,616</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23</w:t>
            </w: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59,343</w:t>
            </w:r>
          </w:p>
        </w:tc>
        <w:tc>
          <w:tcPr>
            <w:tcW w:w="16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48,934</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tcPr>
          <w:p>
            <w:pPr>
              <w:spacing w:after="0" w:line="130" w:lineRule="exact"/>
              <w:rPr>
                <w:sz w:val="20"/>
                <w:szCs w:val="20"/>
                <w:color w:val="auto"/>
              </w:rPr>
            </w:pPr>
            <w:r>
              <w:rPr>
                <w:rFonts w:ascii="Arial" w:cs="Arial" w:eastAsia="Arial" w:hAnsi="Arial"/>
                <w:sz w:val="14"/>
                <w:szCs w:val="14"/>
                <w:color w:val="auto"/>
              </w:rPr>
              <w:t>Merger-related charges, net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gridSpan w:val="2"/>
          </w:tcPr>
          <w:p>
            <w:pPr>
              <w:ind w:left="160"/>
              <w:spacing w:after="0"/>
              <w:rPr>
                <w:sz w:val="20"/>
                <w:szCs w:val="20"/>
                <w:color w:val="auto"/>
              </w:rPr>
            </w:pPr>
            <w:r>
              <w:rPr>
                <w:rFonts w:ascii="Arial" w:cs="Arial" w:eastAsia="Arial" w:hAnsi="Arial"/>
                <w:sz w:val="14"/>
                <w:szCs w:val="14"/>
                <w:color w:val="auto"/>
              </w:rPr>
              <w:t>income tax benefit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6,015</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Borders>
              <w:top w:val="single" w:sz="8" w:color="F0FFFF"/>
            </w:tcBorders>
            <w:gridSpan w:val="2"/>
            <w:shd w:val="clear" w:color="auto" w:fill="F0FFFF"/>
          </w:tcPr>
          <w:p>
            <w:pPr>
              <w:spacing w:after="0" w:line="113" w:lineRule="exact"/>
              <w:rPr>
                <w:sz w:val="20"/>
                <w:szCs w:val="20"/>
                <w:color w:val="auto"/>
              </w:rPr>
            </w:pPr>
            <w:r>
              <w:rPr>
                <w:rFonts w:ascii="Arial" w:cs="Arial" w:eastAsia="Arial" w:hAnsi="Arial"/>
                <w:sz w:val="13"/>
                <w:szCs w:val="13"/>
                <w:b w:val="1"/>
                <w:bCs w:val="1"/>
                <w:color w:val="auto"/>
              </w:rPr>
              <w:t>Net income available to common</w:t>
            </w:r>
          </w:p>
        </w:tc>
        <w:tc>
          <w:tcPr>
            <w:tcW w:w="120" w:type="dxa"/>
            <w:vAlign w:val="bottom"/>
            <w:tcBorders>
              <w:top w:val="single" w:sz="8" w:color="auto"/>
            </w:tcBorders>
            <w:shd w:val="clear" w:color="auto" w:fill="F0FFFF"/>
          </w:tcPr>
          <w:p>
            <w:pPr>
              <w:spacing w:after="0"/>
              <w:rPr>
                <w:sz w:val="9"/>
                <w:szCs w:val="9"/>
                <w:color w:val="auto"/>
              </w:rPr>
            </w:pPr>
          </w:p>
        </w:tc>
        <w:tc>
          <w:tcPr>
            <w:tcW w:w="700" w:type="dxa"/>
            <w:vAlign w:val="bottom"/>
            <w:tcBorders>
              <w:top w:val="single" w:sz="8" w:color="auto"/>
            </w:tcBorders>
            <w:shd w:val="clear" w:color="auto" w:fill="F0FFFF"/>
          </w:tcPr>
          <w:p>
            <w:pPr>
              <w:spacing w:after="0"/>
              <w:rPr>
                <w:sz w:val="9"/>
                <w:szCs w:val="9"/>
                <w:color w:val="auto"/>
              </w:rPr>
            </w:pPr>
          </w:p>
        </w:tc>
        <w:tc>
          <w:tcPr>
            <w:tcW w:w="180" w:type="dxa"/>
            <w:vAlign w:val="bottom"/>
            <w:tcBorders>
              <w:top w:val="single" w:sz="8" w:color="F0FFFF"/>
            </w:tcBorders>
            <w:shd w:val="clear" w:color="auto" w:fill="F0FFFF"/>
          </w:tcPr>
          <w:p>
            <w:pPr>
              <w:spacing w:after="0"/>
              <w:rPr>
                <w:sz w:val="9"/>
                <w:szCs w:val="9"/>
                <w:color w:val="auto"/>
              </w:rPr>
            </w:pPr>
          </w:p>
        </w:tc>
        <w:tc>
          <w:tcPr>
            <w:tcW w:w="80" w:type="dxa"/>
            <w:vAlign w:val="bottom"/>
            <w:tcBorders>
              <w:top w:val="single" w:sz="8" w:color="F0FFFF"/>
            </w:tcBorders>
            <w:shd w:val="clear" w:color="auto" w:fill="F0FFFF"/>
          </w:tcPr>
          <w:p>
            <w:pPr>
              <w:spacing w:after="0"/>
              <w:rPr>
                <w:sz w:val="9"/>
                <w:szCs w:val="9"/>
                <w:color w:val="auto"/>
              </w:rPr>
            </w:pPr>
          </w:p>
        </w:tc>
        <w:tc>
          <w:tcPr>
            <w:tcW w:w="100" w:type="dxa"/>
            <w:vAlign w:val="bottom"/>
            <w:tcBorders>
              <w:top w:val="single" w:sz="8" w:color="auto"/>
            </w:tcBorders>
            <w:shd w:val="clear" w:color="auto" w:fill="F0FFFF"/>
          </w:tcPr>
          <w:p>
            <w:pPr>
              <w:spacing w:after="0"/>
              <w:rPr>
                <w:sz w:val="9"/>
                <w:szCs w:val="9"/>
                <w:color w:val="auto"/>
              </w:rPr>
            </w:pPr>
          </w:p>
        </w:tc>
        <w:tc>
          <w:tcPr>
            <w:tcW w:w="700" w:type="dxa"/>
            <w:vAlign w:val="bottom"/>
            <w:tcBorders>
              <w:top w:val="single" w:sz="8" w:color="auto"/>
            </w:tcBorders>
            <w:shd w:val="clear" w:color="auto" w:fill="F0FFFF"/>
          </w:tcPr>
          <w:p>
            <w:pPr>
              <w:spacing w:after="0"/>
              <w:rPr>
                <w:sz w:val="9"/>
                <w:szCs w:val="9"/>
                <w:color w:val="auto"/>
              </w:rPr>
            </w:pPr>
          </w:p>
        </w:tc>
        <w:tc>
          <w:tcPr>
            <w:tcW w:w="260" w:type="dxa"/>
            <w:vAlign w:val="bottom"/>
            <w:tcBorders>
              <w:top w:val="single" w:sz="8" w:color="F0FFFF"/>
            </w:tcBorders>
            <w:shd w:val="clear" w:color="auto" w:fill="F0FFFF"/>
          </w:tcPr>
          <w:p>
            <w:pPr>
              <w:spacing w:after="0"/>
              <w:rPr>
                <w:sz w:val="9"/>
                <w:szCs w:val="9"/>
                <w:color w:val="auto"/>
              </w:rPr>
            </w:pPr>
          </w:p>
        </w:tc>
        <w:tc>
          <w:tcPr>
            <w:tcW w:w="10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40" w:type="dxa"/>
            <w:vAlign w:val="bottom"/>
            <w:tcBorders>
              <w:top w:val="single" w:sz="8" w:color="F0FFFF"/>
              <w:right w:val="single" w:sz="8" w:color="F0FFFF"/>
            </w:tcBorders>
            <w:shd w:val="clear" w:color="auto" w:fill="F0FFFF"/>
          </w:tcPr>
          <w:p>
            <w:pPr>
              <w:spacing w:after="0"/>
              <w:rPr>
                <w:sz w:val="9"/>
                <w:szCs w:val="9"/>
                <w:color w:val="auto"/>
              </w:rPr>
            </w:pPr>
          </w:p>
        </w:tc>
        <w:tc>
          <w:tcPr>
            <w:tcW w:w="10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20" w:type="dxa"/>
            <w:vAlign w:val="bottom"/>
            <w:tcBorders>
              <w:top w:val="single" w:sz="8" w:color="F0FFFF"/>
            </w:tcBorders>
            <w:shd w:val="clear" w:color="auto" w:fill="F0FFFF"/>
          </w:tcPr>
          <w:p>
            <w:pPr>
              <w:spacing w:after="0"/>
              <w:rPr>
                <w:sz w:val="9"/>
                <w:szCs w:val="9"/>
                <w:color w:val="auto"/>
              </w:rPr>
            </w:pPr>
          </w:p>
        </w:tc>
        <w:tc>
          <w:tcPr>
            <w:tcW w:w="10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40" w:type="dxa"/>
            <w:vAlign w:val="bottom"/>
            <w:tcBorders>
              <w:top w:val="single" w:sz="8" w:color="F0FFFF"/>
            </w:tcBorders>
            <w:shd w:val="clear" w:color="auto" w:fill="F0FFFF"/>
          </w:tcPr>
          <w:p>
            <w:pPr>
              <w:spacing w:after="0"/>
              <w:rPr>
                <w:sz w:val="9"/>
                <w:szCs w:val="9"/>
                <w:color w:val="auto"/>
              </w:rPr>
            </w:pPr>
          </w:p>
        </w:tc>
        <w:tc>
          <w:tcPr>
            <w:tcW w:w="780" w:type="dxa"/>
            <w:vAlign w:val="bottom"/>
            <w:tcBorders>
              <w:top w:val="single" w:sz="8" w:color="F0FFFF"/>
            </w:tcBorders>
            <w:shd w:val="clear" w:color="auto" w:fill="F0FFFF"/>
          </w:tcPr>
          <w:p>
            <w:pPr>
              <w:spacing w:after="0"/>
              <w:rPr>
                <w:sz w:val="9"/>
                <w:szCs w:val="9"/>
                <w:color w:val="auto"/>
              </w:rPr>
            </w:pPr>
          </w:p>
        </w:tc>
        <w:tc>
          <w:tcPr>
            <w:tcW w:w="220" w:type="dxa"/>
            <w:vAlign w:val="bottom"/>
            <w:tcBorders>
              <w:top w:val="single" w:sz="8" w:color="F0FFFF"/>
            </w:tcBorders>
            <w:shd w:val="clear" w:color="auto" w:fill="F0FFFF"/>
          </w:tcPr>
          <w:p>
            <w:pPr>
              <w:spacing w:after="0"/>
              <w:rPr>
                <w:sz w:val="9"/>
                <w:szCs w:val="9"/>
                <w:color w:val="auto"/>
              </w:rPr>
            </w:pPr>
          </w:p>
        </w:tc>
        <w:tc>
          <w:tcPr>
            <w:tcW w:w="160" w:type="dxa"/>
            <w:vAlign w:val="bottom"/>
            <w:tcBorders>
              <w:top w:val="single" w:sz="8" w:color="auto"/>
            </w:tcBorders>
            <w:shd w:val="clear" w:color="auto" w:fill="F0FFFF"/>
          </w:tcPr>
          <w:p>
            <w:pPr>
              <w:spacing w:after="0"/>
              <w:rPr>
                <w:sz w:val="9"/>
                <w:szCs w:val="9"/>
                <w:color w:val="auto"/>
              </w:rPr>
            </w:pPr>
          </w:p>
        </w:tc>
        <w:tc>
          <w:tcPr>
            <w:tcW w:w="640" w:type="dxa"/>
            <w:vAlign w:val="bottom"/>
            <w:tcBorders>
              <w:top w:val="single" w:sz="8" w:color="auto"/>
            </w:tcBorders>
            <w:shd w:val="clear" w:color="auto" w:fill="F0FFFF"/>
          </w:tcPr>
          <w:p>
            <w:pPr>
              <w:spacing w:after="0"/>
              <w:rPr>
                <w:sz w:val="9"/>
                <w:szCs w:val="9"/>
                <w:color w:val="auto"/>
              </w:rPr>
            </w:pPr>
          </w:p>
        </w:tc>
        <w:tc>
          <w:tcPr>
            <w:tcW w:w="220" w:type="dxa"/>
            <w:vAlign w:val="bottom"/>
            <w:tcBorders>
              <w:top w:val="single" w:sz="8" w:color="F0FFFF"/>
              <w:right w:val="single" w:sz="8" w:color="F0FFFF"/>
            </w:tcBorders>
            <w:shd w:val="clear" w:color="auto" w:fill="F0FFFF"/>
          </w:tcPr>
          <w:p>
            <w:pPr>
              <w:spacing w:after="0"/>
              <w:rPr>
                <w:sz w:val="9"/>
                <w:szCs w:val="9"/>
                <w:color w:val="auto"/>
              </w:rPr>
            </w:pPr>
          </w:p>
        </w:tc>
        <w:tc>
          <w:tcPr>
            <w:tcW w:w="160" w:type="dxa"/>
            <w:vAlign w:val="bottom"/>
            <w:tcBorders>
              <w:top w:val="single" w:sz="8" w:color="auto"/>
            </w:tcBorders>
            <w:shd w:val="clear" w:color="auto" w:fill="F0FFFF"/>
          </w:tcPr>
          <w:p>
            <w:pPr>
              <w:spacing w:after="0"/>
              <w:rPr>
                <w:sz w:val="9"/>
                <w:szCs w:val="9"/>
                <w:color w:val="auto"/>
              </w:rPr>
            </w:pPr>
          </w:p>
        </w:tc>
        <w:tc>
          <w:tcPr>
            <w:tcW w:w="620" w:type="dxa"/>
            <w:vAlign w:val="bottom"/>
            <w:tcBorders>
              <w:top w:val="single" w:sz="8" w:color="auto"/>
            </w:tcBorders>
            <w:shd w:val="clear" w:color="auto" w:fill="F0FFFF"/>
          </w:tcPr>
          <w:p>
            <w:pPr>
              <w:spacing w:after="0"/>
              <w:rPr>
                <w:sz w:val="9"/>
                <w:szCs w:val="9"/>
                <w:color w:val="auto"/>
              </w:rPr>
            </w:pPr>
          </w:p>
        </w:tc>
        <w:tc>
          <w:tcPr>
            <w:tcW w:w="240" w:type="dxa"/>
            <w:vAlign w:val="bottom"/>
            <w:tcBorders>
              <w:top w:val="single" w:sz="8" w:color="F0FFFF"/>
            </w:tcBorders>
            <w:shd w:val="clear" w:color="auto" w:fill="F0FFFF"/>
          </w:tcPr>
          <w:p>
            <w:pPr>
              <w:spacing w:after="0"/>
              <w:rPr>
                <w:sz w:val="9"/>
                <w:szCs w:val="9"/>
                <w:color w:val="auto"/>
              </w:rPr>
            </w:pPr>
          </w:p>
        </w:tc>
        <w:tc>
          <w:tcPr>
            <w:tcW w:w="780" w:type="dxa"/>
            <w:vAlign w:val="bottom"/>
            <w:tcBorders>
              <w:top w:val="single" w:sz="8" w:color="F0FFFF"/>
            </w:tcBorders>
            <w:shd w:val="clear" w:color="auto" w:fill="F0FFFF"/>
          </w:tcPr>
          <w:p>
            <w:pPr>
              <w:spacing w:after="0"/>
              <w:rPr>
                <w:sz w:val="9"/>
                <w:szCs w:val="9"/>
                <w:color w:val="auto"/>
              </w:rPr>
            </w:pPr>
          </w:p>
        </w:tc>
        <w:tc>
          <w:tcPr>
            <w:tcW w:w="120" w:type="dxa"/>
            <w:vAlign w:val="bottom"/>
            <w:tcBorders>
              <w:top w:val="single" w:sz="8" w:color="F0FFFF"/>
            </w:tcBorders>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gridSpan w:val="2"/>
            <w:shd w:val="clear" w:color="auto" w:fill="F0FFFF"/>
          </w:tcPr>
          <w:p>
            <w:pPr>
              <w:ind w:left="160"/>
              <w:spacing w:after="0"/>
              <w:rPr>
                <w:sz w:val="20"/>
                <w:szCs w:val="20"/>
                <w:color w:val="auto"/>
              </w:rPr>
            </w:pPr>
            <w:r>
              <w:rPr>
                <w:rFonts w:ascii="Arial" w:cs="Arial" w:eastAsia="Arial" w:hAnsi="Arial"/>
                <w:sz w:val="14"/>
                <w:szCs w:val="14"/>
                <w:b w:val="1"/>
                <w:bCs w:val="1"/>
                <w:color w:val="auto"/>
              </w:rPr>
              <w:t>shareholders - GAAP</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17,862</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17,796</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17,670</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18,247</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17,616</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53,328</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48,934</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PERFORMANCE MEASURES</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Per common share: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gridSpan w:val="2"/>
            <w:shd w:val="clear" w:color="auto" w:fill="F0FFFF"/>
          </w:tcPr>
          <w:p>
            <w:pPr>
              <w:ind w:left="320"/>
              <w:spacing w:after="0" w:line="189" w:lineRule="exact"/>
              <w:rPr>
                <w:sz w:val="20"/>
                <w:szCs w:val="20"/>
                <w:color w:val="auto"/>
              </w:rPr>
            </w:pPr>
            <w:r>
              <w:rPr>
                <w:rFonts w:ascii="Arial" w:cs="Arial" w:eastAsia="Arial" w:hAnsi="Arial"/>
                <w:sz w:val="13"/>
                <w:szCs w:val="13"/>
                <w:color w:val="auto"/>
              </w:rPr>
              <w:t xml:space="preserve">Diluted income - operating </w:t>
            </w:r>
            <w:r>
              <w:rPr>
                <w:rFonts w:ascii="Arial" w:cs="Arial" w:eastAsia="Arial" w:hAnsi="Arial"/>
                <w:sz w:val="21"/>
                <w:szCs w:val="21"/>
                <w:color w:val="auto"/>
                <w:vertAlign w:val="superscript"/>
              </w:rPr>
              <w:t>(1)</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.33</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.29</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.94</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.81</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Diluted income - GAAP</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320"/>
              <w:spacing w:after="0" w:line="149" w:lineRule="exact"/>
              <w:rPr>
                <w:sz w:val="20"/>
                <w:szCs w:val="20"/>
                <w:color w:val="auto"/>
              </w:rPr>
            </w:pPr>
            <w:r>
              <w:rPr>
                <w:rFonts w:ascii="Arial" w:cs="Arial" w:eastAsia="Arial" w:hAnsi="Arial"/>
                <w:sz w:val="14"/>
                <w:szCs w:val="14"/>
                <w:color w:val="auto"/>
              </w:rPr>
              <w:t>Cash dividends declared</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.06</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Book value</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12.95</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12.58</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12.20</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13.95</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gridSpan w:val="2"/>
            <w:shd w:val="clear" w:color="auto" w:fill="F0FFFF"/>
          </w:tcPr>
          <w:p>
            <w:pPr>
              <w:ind w:left="320"/>
              <w:spacing w:after="0" w:line="189" w:lineRule="exact"/>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21"/>
                <w:szCs w:val="21"/>
                <w:color w:val="auto"/>
                <w:vertAlign w:val="superscript"/>
              </w:rPr>
              <w:t>(3)</w:t>
            </w: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12.08</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F0FFFF"/>
          </w:tcPr>
          <w:p>
            <w:pPr>
              <w:spacing w:after="0"/>
              <w:rPr>
                <w:sz w:val="16"/>
                <w:szCs w:val="16"/>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12.10</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6"/>
                <w:szCs w:val="16"/>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12.08</w:t>
            </w:r>
          </w:p>
        </w:tc>
        <w:tc>
          <w:tcPr>
            <w:tcW w:w="16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12.10</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Key performance ratios:</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80" w:type="dxa"/>
            <w:vAlign w:val="bottom"/>
            <w:gridSpan w:val="2"/>
          </w:tcPr>
          <w:p>
            <w:pPr>
              <w:ind w:left="320"/>
              <w:spacing w:after="0" w:line="140" w:lineRule="exact"/>
              <w:rPr>
                <w:sz w:val="20"/>
                <w:szCs w:val="20"/>
                <w:color w:val="auto"/>
              </w:rPr>
            </w:pPr>
            <w:r>
              <w:rPr>
                <w:rFonts w:ascii="Arial" w:cs="Arial" w:eastAsia="Arial" w:hAnsi="Arial"/>
                <w:sz w:val="14"/>
                <w:szCs w:val="14"/>
                <w:color w:val="auto"/>
              </w:rPr>
              <w:t>Return on tangible common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tcPr>
          <w:p>
            <w:pPr>
              <w:ind w:left="480"/>
              <w:spacing w:after="0" w:line="198" w:lineRule="exact"/>
              <w:rPr>
                <w:sz w:val="20"/>
                <w:szCs w:val="20"/>
                <w:color w:val="auto"/>
              </w:rPr>
            </w:pPr>
            <w:r>
              <w:rPr>
                <w:rFonts w:ascii="Arial" w:cs="Arial" w:eastAsia="Arial" w:hAnsi="Arial"/>
                <w:sz w:val="14"/>
                <w:szCs w:val="14"/>
                <w:color w:val="auto"/>
                <w:w w:val="96"/>
              </w:rPr>
              <w:t xml:space="preserve">equity - operating </w:t>
            </w:r>
            <w:r>
              <w:rPr>
                <w:rFonts w:ascii="Arial" w:cs="Arial" w:eastAsia="Arial" w:hAnsi="Arial"/>
                <w:sz w:val="22"/>
                <w:szCs w:val="22"/>
                <w:color w:val="auto"/>
                <w:w w:val="96"/>
                <w:vertAlign w:val="superscript"/>
              </w:rPr>
              <w:t>(1)(2)(3)(4)</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9.55%</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9.18%</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80" w:type="dxa"/>
            <w:vAlign w:val="bottom"/>
            <w:gridSpan w:val="2"/>
            <w:shd w:val="clear" w:color="auto" w:fill="F0FFFF"/>
          </w:tcPr>
          <w:p>
            <w:pPr>
              <w:ind w:left="320"/>
              <w:spacing w:after="0" w:line="140" w:lineRule="exact"/>
              <w:rPr>
                <w:sz w:val="20"/>
                <w:szCs w:val="20"/>
                <w:color w:val="auto"/>
              </w:rPr>
            </w:pPr>
            <w:r>
              <w:rPr>
                <w:rFonts w:ascii="Arial" w:cs="Arial" w:eastAsia="Arial" w:hAnsi="Arial"/>
                <w:sz w:val="14"/>
                <w:szCs w:val="14"/>
                <w:color w:val="auto"/>
              </w:rPr>
              <w:t>Return on common equity -</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F0FFFF"/>
          </w:tcPr>
          <w:p>
            <w:pPr>
              <w:ind w:left="48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(1)(2)(4)</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9.54</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9.41</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9.60</w:t>
            </w:r>
          </w:p>
        </w:tc>
        <w:tc>
          <w:tcPr>
            <w:tcW w:w="16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9.02</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80" w:type="dxa"/>
            <w:vAlign w:val="bottom"/>
            <w:gridSpan w:val="2"/>
          </w:tcPr>
          <w:p>
            <w:pPr>
              <w:ind w:left="320"/>
              <w:spacing w:after="0" w:line="140" w:lineRule="exact"/>
              <w:rPr>
                <w:sz w:val="20"/>
                <w:szCs w:val="20"/>
                <w:color w:val="auto"/>
              </w:rPr>
            </w:pPr>
            <w:r>
              <w:rPr>
                <w:rFonts w:ascii="Arial" w:cs="Arial" w:eastAsia="Arial" w:hAnsi="Arial"/>
                <w:sz w:val="14"/>
                <w:szCs w:val="14"/>
                <w:color w:val="auto"/>
              </w:rPr>
              <w:t>Return on common equity -</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tcPr>
          <w:p>
            <w:pPr>
              <w:ind w:left="480"/>
              <w:spacing w:after="0" w:line="198" w:lineRule="exact"/>
              <w:rPr>
                <w:sz w:val="20"/>
                <w:szCs w:val="20"/>
                <w:color w:val="auto"/>
              </w:rPr>
            </w:pPr>
            <w:r>
              <w:rPr>
                <w:rFonts w:ascii="Arial" w:cs="Arial" w:eastAsia="Arial" w:hAnsi="Arial"/>
                <w:sz w:val="22"/>
                <w:szCs w:val="22"/>
                <w:color w:val="auto"/>
                <w:vertAlign w:val="subscript"/>
              </w:rPr>
              <w:t>GAAP</w:t>
            </w:r>
            <w:r>
              <w:rPr>
                <w:rFonts w:ascii="Arial" w:cs="Arial" w:eastAsia="Arial" w:hAnsi="Arial"/>
                <w:sz w:val="10"/>
                <w:szCs w:val="10"/>
                <w:color w:val="auto"/>
              </w:rPr>
              <w:t xml:space="preserve"> (2)(4)</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9.41</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8.63</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80" w:type="dxa"/>
            <w:vAlign w:val="bottom"/>
            <w:gridSpan w:val="2"/>
            <w:shd w:val="clear" w:color="auto" w:fill="F0FFFF"/>
          </w:tcPr>
          <w:p>
            <w:pPr>
              <w:ind w:left="320"/>
              <w:spacing w:after="0" w:line="181" w:lineRule="exact"/>
              <w:rPr>
                <w:sz w:val="20"/>
                <w:szCs w:val="20"/>
                <w:color w:val="auto"/>
              </w:rPr>
            </w:pPr>
            <w:r>
              <w:rPr>
                <w:rFonts w:ascii="Arial" w:cs="Arial" w:eastAsia="Arial" w:hAnsi="Arial"/>
                <w:sz w:val="13"/>
                <w:szCs w:val="13"/>
                <w:color w:val="auto"/>
              </w:rPr>
              <w:t xml:space="preserve">Return on assets - operating </w:t>
            </w:r>
            <w:r>
              <w:rPr>
                <w:rFonts w:ascii="Arial" w:cs="Arial" w:eastAsia="Arial" w:hAnsi="Arial"/>
                <w:sz w:val="20"/>
                <w:szCs w:val="20"/>
                <w:color w:val="auto"/>
                <w:vertAlign w:val="superscript"/>
              </w:rPr>
              <w:t>(1)</w:t>
            </w:r>
          </w:p>
        </w:tc>
        <w:tc>
          <w:tcPr>
            <w:tcW w:w="1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4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F0FFFF"/>
          </w:tcPr>
          <w:p>
            <w:pPr>
              <w:ind w:left="480"/>
              <w:spacing w:after="0"/>
              <w:rPr>
                <w:sz w:val="20"/>
                <w:szCs w:val="20"/>
                <w:color w:val="auto"/>
              </w:rPr>
            </w:pPr>
            <w:r>
              <w:rPr>
                <w:rFonts w:ascii="Arial" w:cs="Arial" w:eastAsia="Arial" w:hAnsi="Arial"/>
                <w:sz w:val="12"/>
                <w:szCs w:val="12"/>
                <w:color w:val="auto"/>
              </w:rPr>
              <w:t>(4)</w:t>
            </w: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F0FFFF"/>
          </w:tcPr>
          <w:p>
            <w:pPr>
              <w:spacing w:after="0"/>
              <w:rPr>
                <w:sz w:val="14"/>
                <w:szCs w:val="14"/>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.96</w:t>
            </w: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.95</w:t>
            </w: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.98</w:t>
            </w:r>
          </w:p>
        </w:tc>
        <w:tc>
          <w:tcPr>
            <w:tcW w:w="16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.89</w:t>
            </w: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Return on assets - GAAP </w:t>
            </w:r>
            <w:r>
              <w:rPr>
                <w:rFonts w:ascii="Arial" w:cs="Arial" w:eastAsia="Arial" w:hAnsi="Arial"/>
                <w:sz w:val="21"/>
                <w:szCs w:val="21"/>
                <w:color w:val="auto"/>
                <w:vertAlign w:val="superscript"/>
              </w:rPr>
              <w:t>(4)</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.89</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80" w:type="dxa"/>
            <w:vAlign w:val="bottom"/>
            <w:gridSpan w:val="2"/>
            <w:shd w:val="clear" w:color="auto" w:fill="F0FFFF"/>
          </w:tcPr>
          <w:p>
            <w:pPr>
              <w:ind w:left="320"/>
              <w:spacing w:after="0" w:line="140" w:lineRule="exact"/>
              <w:rPr>
                <w:sz w:val="20"/>
                <w:szCs w:val="20"/>
                <w:color w:val="auto"/>
              </w:rPr>
            </w:pPr>
            <w:r>
              <w:rPr>
                <w:rFonts w:ascii="Arial" w:cs="Arial" w:eastAsia="Arial" w:hAnsi="Arial"/>
                <w:sz w:val="14"/>
                <w:szCs w:val="14"/>
                <w:color w:val="auto"/>
              </w:rPr>
              <w:t>Dividend payout ratio -</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F0FFFF"/>
          </w:tcPr>
          <w:p>
            <w:pPr>
              <w:ind w:left="48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18.18</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10.34</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17.02</w:t>
            </w:r>
          </w:p>
        </w:tc>
        <w:tc>
          <w:tcPr>
            <w:tcW w:w="16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7.41</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Dividend payout ratio - GAAP</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17.86</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17.24</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10.34</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19.05</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7.41</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gridSpan w:val="2"/>
            <w:shd w:val="clear" w:color="auto" w:fill="F0FFFF"/>
          </w:tcPr>
          <w:p>
            <w:pPr>
              <w:ind w:left="320"/>
              <w:spacing w:after="0" w:line="189"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1"/>
                <w:szCs w:val="21"/>
                <w:color w:val="auto"/>
                <w:vertAlign w:val="superscript"/>
              </w:rPr>
              <w:t>(4)</w:t>
            </w: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3.26</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F0FFFF"/>
          </w:tcPr>
          <w:p>
            <w:pPr>
              <w:spacing w:after="0"/>
              <w:rPr>
                <w:sz w:val="16"/>
                <w:szCs w:val="16"/>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3.32</w:t>
            </w:r>
          </w:p>
        </w:tc>
        <w:tc>
          <w:tcPr>
            <w:tcW w:w="7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3.29</w:t>
            </w:r>
          </w:p>
        </w:tc>
        <w:tc>
          <w:tcPr>
            <w:tcW w:w="16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3.25</w:t>
            </w:r>
          </w:p>
        </w:tc>
        <w:tc>
          <w:tcPr>
            <w:tcW w:w="7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Efficiency ratio - operating </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57.81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57.59</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59.15</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57.47</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57.96</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58.15</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58.54</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320"/>
              <w:spacing w:after="0" w:line="149" w:lineRule="exact"/>
              <w:rPr>
                <w:sz w:val="20"/>
                <w:szCs w:val="20"/>
                <w:color w:val="auto"/>
              </w:rPr>
            </w:pPr>
            <w:r>
              <w:rPr>
                <w:rFonts w:ascii="Arial" w:cs="Arial" w:eastAsia="Arial" w:hAnsi="Arial"/>
                <w:sz w:val="14"/>
                <w:szCs w:val="14"/>
                <w:color w:val="auto"/>
              </w:rPr>
              <w:t>Efficiency ratio - GAAP</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64.65</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61.63</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59.15</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57.47</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57.96</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61.94</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58.54</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Average equity to average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ind w:left="48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9.85</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9.66</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80" w:type="dxa"/>
            <w:vAlign w:val="bottom"/>
            <w:gridSpan w:val="2"/>
            <w:shd w:val="clear" w:color="auto" w:fill="F0FFFF"/>
          </w:tcPr>
          <w:p>
            <w:pPr>
              <w:ind w:left="320"/>
              <w:spacing w:after="0" w:line="140" w:lineRule="exact"/>
              <w:rPr>
                <w:sz w:val="20"/>
                <w:szCs w:val="20"/>
                <w:color w:val="auto"/>
              </w:rPr>
            </w:pPr>
            <w:r>
              <w:rPr>
                <w:rFonts w:ascii="Arial" w:cs="Arial" w:eastAsia="Arial" w:hAnsi="Arial"/>
                <w:sz w:val="14"/>
                <w:szCs w:val="14"/>
                <w:color w:val="auto"/>
              </w:rPr>
              <w:t>Average tangible equity to</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F0FFFF"/>
          </w:tcPr>
          <w:p>
            <w:pPr>
              <w:ind w:left="480"/>
              <w:spacing w:after="0" w:line="198" w:lineRule="exact"/>
              <w:rPr>
                <w:sz w:val="20"/>
                <w:szCs w:val="20"/>
                <w:color w:val="auto"/>
              </w:rPr>
            </w:pPr>
            <w:r>
              <w:rPr>
                <w:rFonts w:ascii="Arial" w:cs="Arial" w:eastAsia="Arial" w:hAnsi="Arial"/>
                <w:sz w:val="14"/>
                <w:szCs w:val="14"/>
                <w:color w:val="auto"/>
              </w:rPr>
              <w:t xml:space="preserve">average assets </w:t>
            </w:r>
            <w:r>
              <w:rPr>
                <w:rFonts w:ascii="Arial" w:cs="Arial" w:eastAsia="Arial" w:hAnsi="Arial"/>
                <w:sz w:val="22"/>
                <w:szCs w:val="22"/>
                <w:color w:val="auto"/>
                <w:vertAlign w:val="superscript"/>
              </w:rPr>
              <w:t>(3)</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9.88</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9.83</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9.88</w:t>
            </w:r>
          </w:p>
        </w:tc>
        <w:tc>
          <w:tcPr>
            <w:tcW w:w="16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9.64</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Average tangible common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8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equity to</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tcPr>
          <w:p>
            <w:pPr>
              <w:ind w:left="520"/>
              <w:spacing w:after="0" w:line="198" w:lineRule="exact"/>
              <w:rPr>
                <w:sz w:val="20"/>
                <w:szCs w:val="20"/>
                <w:color w:val="auto"/>
              </w:rPr>
            </w:pPr>
            <w:r>
              <w:rPr>
                <w:rFonts w:ascii="Arial" w:cs="Arial" w:eastAsia="Arial" w:hAnsi="Arial"/>
                <w:sz w:val="14"/>
                <w:szCs w:val="14"/>
                <w:color w:val="auto"/>
              </w:rPr>
              <w:t xml:space="preserve">average assets </w:t>
            </w:r>
            <w:r>
              <w:rPr>
                <w:rFonts w:ascii="Arial" w:cs="Arial" w:eastAsia="Arial" w:hAnsi="Arial"/>
                <w:sz w:val="22"/>
                <w:szCs w:val="22"/>
                <w:color w:val="auto"/>
                <w:vertAlign w:val="superscript"/>
              </w:rPr>
              <w:t>(3)</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9.83</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9.81</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9.55</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shd w:val="clear" w:color="auto" w:fill="F0FFFF"/>
          </w:tcPr>
          <w:p>
            <w:pPr>
              <w:ind w:left="320"/>
              <w:spacing w:after="0" w:line="130" w:lineRule="exact"/>
              <w:rPr>
                <w:sz w:val="20"/>
                <w:szCs w:val="20"/>
                <w:color w:val="auto"/>
              </w:rPr>
            </w:pPr>
            <w:r>
              <w:rPr>
                <w:rFonts w:ascii="Arial" w:cs="Arial" w:eastAsia="Arial" w:hAnsi="Arial"/>
                <w:sz w:val="14"/>
                <w:szCs w:val="14"/>
                <w:color w:val="auto"/>
              </w:rPr>
              <w:t>Tangible common equity to</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80" w:type="dxa"/>
            <w:vAlign w:val="bottom"/>
            <w:gridSpan w:val="2"/>
            <w:shd w:val="clear" w:color="auto" w:fill="F0FFFF"/>
          </w:tcPr>
          <w:p>
            <w:pPr>
              <w:ind w:left="480"/>
              <w:spacing w:after="0" w:line="159" w:lineRule="exact"/>
              <w:rPr>
                <w:sz w:val="20"/>
                <w:szCs w:val="20"/>
                <w:color w:val="auto"/>
              </w:rPr>
            </w:pPr>
            <w:r>
              <w:rPr>
                <w:rFonts w:ascii="Arial" w:cs="Arial" w:eastAsia="Arial" w:hAnsi="Arial"/>
                <w:sz w:val="14"/>
                <w:szCs w:val="14"/>
                <w:color w:val="auto"/>
              </w:rPr>
              <w:t>risk-weighted</w:t>
            </w: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240" w:type="dxa"/>
            <w:vAlign w:val="bottom"/>
            <w:tcBorders>
              <w:right w:val="single" w:sz="8" w:color="F0FFFF"/>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78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40" w:type="dxa"/>
            <w:vAlign w:val="bottom"/>
            <w:shd w:val="clear" w:color="auto" w:fill="F0FFFF"/>
          </w:tcPr>
          <w:p>
            <w:pPr>
              <w:spacing w:after="0"/>
              <w:rPr>
                <w:sz w:val="13"/>
                <w:szCs w:val="13"/>
                <w:color w:val="auto"/>
              </w:rPr>
            </w:pPr>
          </w:p>
        </w:tc>
        <w:tc>
          <w:tcPr>
            <w:tcW w:w="220" w:type="dxa"/>
            <w:vAlign w:val="bottom"/>
            <w:tcBorders>
              <w:right w:val="single" w:sz="8" w:color="F0FFFF"/>
            </w:tcBorders>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2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7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2"/>
            <w:shd w:val="clear" w:color="auto" w:fill="F0FFFF"/>
          </w:tcPr>
          <w:p>
            <w:pPr>
              <w:ind w:left="520"/>
              <w:spacing w:after="0" w:line="198" w:lineRule="exact"/>
              <w:rPr>
                <w:sz w:val="20"/>
                <w:szCs w:val="20"/>
                <w:color w:val="auto"/>
              </w:rPr>
            </w:pPr>
            <w:r>
              <w:rPr>
                <w:rFonts w:ascii="Arial" w:cs="Arial" w:eastAsia="Arial" w:hAnsi="Arial"/>
                <w:sz w:val="14"/>
                <w:szCs w:val="14"/>
                <w:color w:val="auto"/>
              </w:rPr>
              <w:t xml:space="preserve">assets </w:t>
            </w:r>
            <w:r>
              <w:rPr>
                <w:rFonts w:ascii="Arial" w:cs="Arial" w:eastAsia="Arial" w:hAnsi="Arial"/>
                <w:sz w:val="22"/>
                <w:szCs w:val="22"/>
                <w:color w:val="auto"/>
                <w:vertAlign w:val="superscript"/>
              </w:rPr>
              <w:t>(3)(5)</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12.68</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14.10</w:t>
            </w: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12.68</w:t>
            </w:r>
          </w:p>
        </w:tc>
        <w:tc>
          <w:tcPr>
            <w:tcW w:w="16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14.10</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ASSET QUALITY</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Nonperforming loans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20,064</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18,805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19,015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17,881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18,745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20,064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18,745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gridSpan w:val="2"/>
            <w:shd w:val="clear" w:color="auto" w:fill="F0FFFF"/>
          </w:tcPr>
          <w:p>
            <w:pPr>
              <w:ind w:left="160"/>
              <w:spacing w:after="0"/>
              <w:rPr>
                <w:sz w:val="20"/>
                <w:szCs w:val="20"/>
                <w:color w:val="auto"/>
              </w:rPr>
            </w:pPr>
            <w:r>
              <w:rPr>
                <w:rFonts w:ascii="Arial" w:cs="Arial" w:eastAsia="Arial" w:hAnsi="Arial"/>
                <w:sz w:val="14"/>
                <w:szCs w:val="14"/>
                <w:color w:val="auto"/>
              </w:rPr>
              <w:t>Foreclosed properties</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7,669</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2,356</w:t>
            </w:r>
          </w:p>
        </w:tc>
        <w:tc>
          <w:tcPr>
            <w:tcW w:w="100" w:type="dxa"/>
            <w:vAlign w:val="bottom"/>
            <w:shd w:val="clear" w:color="auto" w:fill="F0FFFF"/>
          </w:tcPr>
          <w:p>
            <w:pPr>
              <w:spacing w:after="0"/>
              <w:rPr>
                <w:sz w:val="15"/>
                <w:szCs w:val="15"/>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3,146</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144</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7,669</w:t>
            </w:r>
          </w:p>
        </w:tc>
        <w:tc>
          <w:tcPr>
            <w:tcW w:w="16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3,146</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280" w:type="dxa"/>
            <w:vAlign w:val="bottom"/>
            <w:tcBorders>
              <w:top w:val="single" w:sz="8" w:color="F0FFFF"/>
            </w:tcBorders>
            <w:gridSpan w:val="2"/>
          </w:tcPr>
          <w:p>
            <w:pPr>
              <w:ind w:left="320"/>
              <w:spacing w:after="0" w:line="104" w:lineRule="exact"/>
              <w:rPr>
                <w:sz w:val="20"/>
                <w:szCs w:val="20"/>
                <w:color w:val="auto"/>
              </w:rPr>
            </w:pPr>
            <w:r>
              <w:rPr>
                <w:rFonts w:ascii="Arial" w:cs="Arial" w:eastAsia="Arial" w:hAnsi="Arial"/>
                <w:sz w:val="11"/>
                <w:szCs w:val="11"/>
                <w:color w:val="auto"/>
              </w:rPr>
              <w:t>Total nonperforming assets</w:t>
            </w: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6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780" w:type="dxa"/>
            <w:vAlign w:val="bottom"/>
            <w:tcBorders>
              <w:top w:val="single" w:sz="8" w:color="F0FFFF"/>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780" w:type="dxa"/>
            <w:vAlign w:val="bottom"/>
            <w:tcBorders>
              <w:top w:val="single" w:sz="8" w:color="F0FFFF"/>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ind w:left="480"/>
              <w:spacing w:after="0"/>
              <w:rPr>
                <w:sz w:val="20"/>
                <w:szCs w:val="20"/>
                <w:color w:val="auto"/>
              </w:rPr>
            </w:pPr>
            <w:r>
              <w:rPr>
                <w:rFonts w:ascii="Arial" w:cs="Arial" w:eastAsia="Arial" w:hAnsi="Arial"/>
                <w:sz w:val="14"/>
                <w:szCs w:val="14"/>
                <w:color w:val="auto"/>
              </w:rPr>
              <w:t>(NPAs)</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27,733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21,161</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20,173</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19,607</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21,891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27,733</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21,891</w:t>
            </w: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Allowance for loan losses</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69,062</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70,129</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70,007</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71,619</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71,928</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69,062</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71,928</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978</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2,562</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3,155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4,957</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11,369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w w:val="99"/>
              </w:rPr>
              <w:t>Allowance for loan losses to loans</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1.36%</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1.57%</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1.57%</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Allowance for loan losses to</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ind w:left="320"/>
              <w:spacing w:after="0"/>
              <w:rPr>
                <w:sz w:val="20"/>
                <w:szCs w:val="20"/>
                <w:color w:val="auto"/>
              </w:rPr>
            </w:pPr>
            <w:r>
              <w:rPr>
                <w:rFonts w:ascii="Arial" w:cs="Arial" w:eastAsia="Arial" w:hAnsi="Arial"/>
                <w:sz w:val="14"/>
                <w:szCs w:val="14"/>
                <w:color w:val="auto"/>
              </w:rPr>
              <w:t>loans, excl. acquired loans</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1.57</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1.37</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1.57</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0" w:lineRule="exact"/>
              <w:rPr>
                <w:sz w:val="20"/>
                <w:szCs w:val="20"/>
                <w:color w:val="auto"/>
              </w:rPr>
            </w:pPr>
            <w:r>
              <w:rPr>
                <w:rFonts w:ascii="Arial" w:cs="Arial" w:eastAsia="Arial" w:hAnsi="Arial"/>
                <w:sz w:val="14"/>
                <w:szCs w:val="14"/>
                <w:color w:val="auto"/>
              </w:rPr>
              <w:t>Net charge-offs to average loans</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F0FFFF"/>
          </w:tcPr>
          <w:p>
            <w:pPr>
              <w:ind w:left="320"/>
              <w:spacing w:after="0"/>
              <w:rPr>
                <w:sz w:val="20"/>
                <w:szCs w:val="20"/>
                <w:color w:val="auto"/>
              </w:rPr>
            </w:pPr>
            <w:r>
              <w:rPr>
                <w:rFonts w:ascii="Arial" w:cs="Arial" w:eastAsia="Arial" w:hAnsi="Arial"/>
                <w:sz w:val="12"/>
                <w:szCs w:val="12"/>
                <w:color w:val="auto"/>
              </w:rPr>
              <w:t>(4)</w:t>
            </w: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.10</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F0FFFF"/>
          </w:tcPr>
          <w:p>
            <w:pPr>
              <w:spacing w:after="0"/>
              <w:rPr>
                <w:sz w:val="14"/>
                <w:szCs w:val="14"/>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.28</w:t>
            </w: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w:t>
            </w:r>
          </w:p>
        </w:tc>
        <w:tc>
          <w:tcPr>
            <w:tcW w:w="16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.35</w:t>
            </w: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NPAs to loans and foreclosed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ind w:left="320"/>
              <w:spacing w:after="0"/>
              <w:rPr>
                <w:sz w:val="20"/>
                <w:szCs w:val="20"/>
                <w:color w:val="auto"/>
              </w:rPr>
            </w:pPr>
            <w:r>
              <w:rPr>
                <w:rFonts w:ascii="Arial" w:cs="Arial" w:eastAsia="Arial" w:hAnsi="Arial"/>
                <w:sz w:val="14"/>
                <w:szCs w:val="14"/>
                <w:color w:val="auto"/>
              </w:rPr>
              <w:t>properties</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.48</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.48</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NPAs to total assets</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.29</w:t>
            </w: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.29</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b w:val="1"/>
                <w:bCs w:val="1"/>
                <w:i w:val="1"/>
                <w:iCs w:val="1"/>
                <w:color w:val="auto"/>
              </w:rPr>
              <w:t>($ in</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shd w:val="clear" w:color="auto" w:fill="F0FFFF"/>
          </w:tcPr>
          <w:p>
            <w:pPr>
              <w:ind w:left="160"/>
              <w:spacing w:after="0"/>
              <w:rPr>
                <w:sz w:val="20"/>
                <w:szCs w:val="20"/>
                <w:color w:val="auto"/>
              </w:rPr>
            </w:pPr>
            <w:r>
              <w:rPr>
                <w:rFonts w:ascii="Arial" w:cs="Arial" w:eastAsia="Arial" w:hAnsi="Arial"/>
                <w:sz w:val="14"/>
                <w:szCs w:val="14"/>
                <w:b w:val="1"/>
                <w:bCs w:val="1"/>
                <w:i w:val="1"/>
                <w:iCs w:val="1"/>
                <w:color w:val="auto"/>
              </w:rPr>
              <w:t>millions)</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Loans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5,457</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4,446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5,069</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4,393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2,396</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2,261</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2,203</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2,222</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2,231</w:t>
            </w: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2,288</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2,292</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Earning assets</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7,444</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7,070</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7,013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6,820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6,836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8,634</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8,017</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7,617</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7,565</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7,374</w:t>
            </w: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8,093</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7,392</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6,669</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6,369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6,383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6,143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6,727</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6,176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Shareholders’ equity</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897</w:t>
            </w: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806</w:t>
            </w: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751</w:t>
            </w: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738</w:t>
            </w: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726</w:t>
            </w:r>
          </w:p>
        </w:tc>
        <w:tc>
          <w:tcPr>
            <w:tcW w:w="240" w:type="dxa"/>
            <w:vAlign w:val="bottom"/>
            <w:shd w:val="clear" w:color="auto" w:fill="F0FFFF"/>
          </w:tcPr>
          <w:p>
            <w:pPr>
              <w:spacing w:after="0"/>
              <w:rPr>
                <w:sz w:val="12"/>
                <w:szCs w:val="12"/>
                <w:color w:val="auto"/>
              </w:rPr>
            </w:pP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818</w:t>
            </w: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714</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Common shares - basic</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tcPr>
          <w:p>
            <w:pPr>
              <w:ind w:left="320"/>
              <w:spacing w:after="0"/>
              <w:rPr>
                <w:sz w:val="20"/>
                <w:szCs w:val="20"/>
                <w:color w:val="auto"/>
              </w:rPr>
            </w:pPr>
            <w:r>
              <w:rPr>
                <w:rFonts w:ascii="Arial" w:cs="Arial" w:eastAsia="Arial" w:hAnsi="Arial"/>
                <w:sz w:val="14"/>
                <w:szCs w:val="14"/>
                <w:i w:val="1"/>
                <w:iCs w:val="1"/>
                <w:color w:val="auto"/>
              </w:rPr>
              <w:t>(thousands)</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66,294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62,549</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60,905</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60,830</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60,776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63,297</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60,511</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gridSpan w:val="2"/>
            <w:shd w:val="clear" w:color="auto" w:fill="F0FFFF"/>
          </w:tcPr>
          <w:p>
            <w:pPr>
              <w:ind w:left="160"/>
              <w:spacing w:after="0" w:line="130" w:lineRule="exact"/>
              <w:rPr>
                <w:sz w:val="20"/>
                <w:szCs w:val="20"/>
                <w:color w:val="auto"/>
              </w:rPr>
            </w:pPr>
            <w:r>
              <w:rPr>
                <w:rFonts w:ascii="Arial" w:cs="Arial" w:eastAsia="Arial" w:hAnsi="Arial"/>
                <w:sz w:val="14"/>
                <w:szCs w:val="14"/>
                <w:color w:val="auto"/>
              </w:rPr>
              <w:t>Common shares - diluted</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gridSpan w:val="2"/>
            <w:shd w:val="clear" w:color="auto" w:fill="F0FFFF"/>
          </w:tcPr>
          <w:p>
            <w:pPr>
              <w:ind w:left="320"/>
              <w:spacing w:after="0"/>
              <w:rPr>
                <w:sz w:val="20"/>
                <w:szCs w:val="20"/>
                <w:color w:val="auto"/>
              </w:rPr>
            </w:pPr>
            <w:r>
              <w:rPr>
                <w:rFonts w:ascii="Arial" w:cs="Arial" w:eastAsia="Arial" w:hAnsi="Arial"/>
                <w:sz w:val="14"/>
                <w:szCs w:val="14"/>
                <w:i w:val="1"/>
                <w:iCs w:val="1"/>
                <w:color w:val="auto"/>
              </w:rPr>
              <w:t>(thousands)</w:t>
            </w:r>
          </w:p>
        </w:tc>
        <w:tc>
          <w:tcPr>
            <w:tcW w:w="12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66,300</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62,553</w:t>
            </w:r>
          </w:p>
        </w:tc>
        <w:tc>
          <w:tcPr>
            <w:tcW w:w="100" w:type="dxa"/>
            <w:vAlign w:val="bottom"/>
            <w:shd w:val="clear" w:color="auto" w:fill="F0FFFF"/>
          </w:tcPr>
          <w:p>
            <w:pPr>
              <w:spacing w:after="0"/>
              <w:rPr>
                <w:sz w:val="14"/>
                <w:szCs w:val="14"/>
                <w:color w:val="auto"/>
              </w:rPr>
            </w:pPr>
          </w:p>
        </w:tc>
        <w:tc>
          <w:tcPr>
            <w:tcW w:w="92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60,909</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60,833</w:t>
            </w: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60,779</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w:t>
            </w: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63,302</w:t>
            </w:r>
          </w:p>
        </w:tc>
        <w:tc>
          <w:tcPr>
            <w:tcW w:w="16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60,513</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b w:val="1"/>
                <w:bCs w:val="1"/>
                <w:i w:val="1"/>
                <w:iCs w:val="1"/>
                <w:color w:val="auto"/>
              </w:rPr>
              <w:t>($ in millions)</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Loans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6,022</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4,672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4,569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6,022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4,569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2,457</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2,322</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2,201</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2,198</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2,222</w:t>
            </w: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2,457</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2,222</w:t>
            </w: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8,246</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7,664</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7,567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7,526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9,414</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7,526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Deposits</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7,905</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6,808</w:t>
            </w:r>
          </w:p>
        </w:tc>
        <w:tc>
          <w:tcPr>
            <w:tcW w:w="100" w:type="dxa"/>
            <w:vAlign w:val="bottom"/>
            <w:shd w:val="clear" w:color="auto" w:fill="F0FFFF"/>
          </w:tcPr>
          <w:p>
            <w:pPr>
              <w:spacing w:after="0"/>
              <w:rPr>
                <w:sz w:val="12"/>
                <w:szCs w:val="12"/>
                <w:color w:val="auto"/>
              </w:rPr>
            </w:pPr>
          </w:p>
        </w:tc>
        <w:tc>
          <w:tcPr>
            <w:tcW w:w="92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6,438</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6,327</w:t>
            </w: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6,241</w:t>
            </w:r>
          </w:p>
        </w:tc>
        <w:tc>
          <w:tcPr>
            <w:tcW w:w="10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7,905</w:t>
            </w: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6,241</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gridSpan w:val="2"/>
          </w:tcPr>
          <w:p>
            <w:pPr>
              <w:ind w:left="16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736</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1,013</w:t>
            </w:r>
          </w:p>
        </w:tc>
        <w:tc>
          <w:tcPr>
            <w:tcW w:w="16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736</w:t>
            </w: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45" w:orient="portrait"/>
          <w:cols w:equalWidth="0" w:num="1">
            <w:col w:w="11420"/>
          </w:cols>
          <w:pgMar w:left="240" w:top="904" w:right="239" w:bottom="0" w:gutter="0" w:footer="0" w:header="0"/>
        </w:sectPr>
      </w:pPr>
    </w:p>
    <w:bookmarkStart w:id="50" w:name="page51"/>
    <w:bookmarkEnd w:id="50"/>
    <w:p>
      <w:pPr>
        <w:spacing w:after="0" w:line="1" w:lineRule="exact"/>
        <w:rPr>
          <w:sz w:val="20"/>
          <w:szCs w:val="20"/>
          <w:color w:val="auto"/>
        </w:rPr>
      </w:pPr>
    </w:p>
    <w:tbl>
      <w:tblPr>
        <w:tblLayout w:type="fixed"/>
        <w:tblInd w:w="172"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color w:val="auto"/>
              </w:rPr>
              <w:t>Common shares outstanding</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2"/>
        </w:trPr>
        <w:tc>
          <w:tcPr>
            <w:tcW w:w="2080" w:type="dxa"/>
            <w:vAlign w:val="bottom"/>
          </w:tcPr>
          <w:p>
            <w:pPr>
              <w:ind w:left="160"/>
              <w:spacing w:after="0"/>
              <w:rPr>
                <w:sz w:val="20"/>
                <w:szCs w:val="20"/>
                <w:color w:val="auto"/>
              </w:rPr>
            </w:pPr>
            <w:r>
              <w:rPr>
                <w:rFonts w:ascii="Arial" w:cs="Arial" w:eastAsia="Arial" w:hAnsi="Arial"/>
                <w:sz w:val="14"/>
                <w:szCs w:val="14"/>
                <w:i w:val="1"/>
                <w:iCs w:val="1"/>
                <w:color w:val="auto"/>
              </w:rPr>
              <w:t>(thousands)</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71,472</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62,700</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60,309</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60,259</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60,248</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19</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71,472</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60,248</w:t>
            </w: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4662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70" w:lineRule="exact"/>
        <w:rPr>
          <w:sz w:val="20"/>
          <w:szCs w:val="20"/>
          <w:color w:val="auto"/>
        </w:rPr>
      </w:pPr>
    </w:p>
    <w:p>
      <w:pPr>
        <w:ind w:left="-8" w:firstLine="8"/>
        <w:spacing w:after="0" w:line="257" w:lineRule="auto"/>
        <w:tabs>
          <w:tab w:leader="none" w:pos="204"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 xml:space="preserve">Excludes merger-related charges. </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Excludes effect of acquisition related intangibles and associated amortization. </w:t>
      </w:r>
      <w:r>
        <w:rPr>
          <w:rFonts w:ascii="Arial" w:cs="Arial" w:eastAsia="Arial" w:hAnsi="Arial"/>
          <w:sz w:val="25"/>
          <w:szCs w:val="25"/>
          <w:color w:val="auto"/>
          <w:vertAlign w:val="superscript"/>
        </w:rPr>
        <w:t>(4)</w:t>
      </w:r>
      <w:r>
        <w:rPr>
          <w:rFonts w:ascii="Arial" w:cs="Arial" w:eastAsia="Arial" w:hAnsi="Arial"/>
          <w:sz w:val="16"/>
          <w:szCs w:val="16"/>
          <w:color w:val="auto"/>
        </w:rPr>
        <w:t xml:space="preserve"> Annualized. </w:t>
      </w:r>
      <w:r>
        <w:rPr>
          <w:rFonts w:ascii="Arial" w:cs="Arial" w:eastAsia="Arial" w:hAnsi="Arial"/>
          <w:sz w:val="25"/>
          <w:szCs w:val="25"/>
          <w:color w:val="auto"/>
          <w:vertAlign w:val="superscript"/>
        </w:rPr>
        <w:t>(5)</w:t>
      </w:r>
      <w:r>
        <w:rPr>
          <w:rFonts w:ascii="Arial" w:cs="Arial" w:eastAsia="Arial" w:hAnsi="Arial"/>
          <w:sz w:val="16"/>
          <w:szCs w:val="16"/>
          <w:color w:val="auto"/>
        </w:rPr>
        <w:t xml:space="preserve"> September 30, June 30 and March 31, 2015 calculated under Basel III rules, which became effective January 1, 2015.</w:t>
      </w:r>
    </w:p>
    <w:p>
      <w:pPr>
        <w:spacing w:after="0" w:line="27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108" w:right="339" w:bottom="1440" w:gutter="0" w:footer="0" w:header="0"/>
        </w:sectPr>
      </w:pPr>
    </w:p>
    <w:bookmarkStart w:id="51" w:name="page52"/>
    <w:bookmarkEnd w:id="51"/>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 Non-GAAP Performance Measures Reconciliation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973" w:orient="portrait"/>
          <w:cols w:equalWidth="0" w:num="1">
            <w:col w:w="11420"/>
          </w:cols>
          <w:pgMar w:left="240" w:top="904" w:right="239" w:bottom="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except per share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taxable equivalent)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revenue reconciliation</w:t>
      </w:r>
    </w:p>
    <w:p>
      <w:pPr>
        <w:spacing w:after="0"/>
        <w:rPr>
          <w:sz w:val="20"/>
          <w:szCs w:val="20"/>
          <w:color w:val="auto"/>
        </w:rPr>
      </w:pPr>
      <w:r>
        <w:rPr>
          <w:rFonts w:ascii="Arial" w:cs="Arial" w:eastAsia="Arial" w:hAnsi="Arial"/>
          <w:sz w:val="12"/>
          <w:szCs w:val="12"/>
          <w:color w:val="auto"/>
        </w:rPr>
        <w:t>Interest revenue - taxable equivalent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Taxable equivalent adjustment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revenue (GAAP)</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5"/>
              </w:rPr>
              <w:t>For the Nine Months Ended</w:t>
            </w:r>
          </w:p>
        </w:tc>
      </w:tr>
      <w:tr>
        <w:trPr>
          <w:trHeight w:val="142"/>
        </w:trPr>
        <w:tc>
          <w:tcPr>
            <w:tcW w:w="100" w:type="dxa"/>
            <w:vAlign w:val="bottom"/>
          </w:tcPr>
          <w:p>
            <w:pPr>
              <w:spacing w:after="0"/>
              <w:rPr>
                <w:sz w:val="12"/>
                <w:szCs w:val="12"/>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4"/>
              </w:rPr>
              <w:t>Second</w:t>
            </w:r>
          </w:p>
        </w:tc>
        <w:tc>
          <w:tcPr>
            <w:tcW w:w="100" w:type="dxa"/>
            <w:vAlign w:val="bottom"/>
          </w:tcPr>
          <w:p>
            <w:pPr>
              <w:spacing w:after="0"/>
              <w:rPr>
                <w:sz w:val="12"/>
                <w:szCs w:val="12"/>
                <w:color w:val="auto"/>
              </w:rPr>
            </w:pPr>
          </w:p>
        </w:tc>
        <w:tc>
          <w:tcPr>
            <w:tcW w:w="680" w:type="dxa"/>
            <w:vAlign w:val="bottom"/>
          </w:tcPr>
          <w:p>
            <w:pPr>
              <w:jc w:val="right"/>
              <w:ind w:right="168"/>
              <w:spacing w:after="0" w:line="135"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2"/>
                <w:szCs w:val="12"/>
                <w:color w:val="auto"/>
              </w:rPr>
            </w:pPr>
          </w:p>
        </w:tc>
        <w:tc>
          <w:tcPr>
            <w:tcW w:w="680" w:type="dxa"/>
            <w:vAlign w:val="bottom"/>
          </w:tcPr>
          <w:p>
            <w:pPr>
              <w:jc w:val="right"/>
              <w:ind w:right="148"/>
              <w:spacing w:after="0" w:line="135"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right"/>
              <w:ind w:right="500"/>
              <w:spacing w:after="0" w:line="135" w:lineRule="exact"/>
              <w:rPr>
                <w:sz w:val="20"/>
                <w:szCs w:val="20"/>
                <w:color w:val="auto"/>
              </w:rPr>
            </w:pPr>
            <w:r>
              <w:rPr>
                <w:rFonts w:ascii="Arial" w:cs="Arial" w:eastAsia="Arial" w:hAnsi="Arial"/>
                <w:sz w:val="14"/>
                <w:szCs w:val="14"/>
                <w:b w:val="1"/>
                <w:bCs w:val="1"/>
                <w:color w:val="auto"/>
              </w:rPr>
              <w:t>September 30,</w:t>
            </w:r>
          </w:p>
        </w:tc>
      </w:tr>
      <w:tr>
        <w:trPr>
          <w:trHeight w:val="169"/>
        </w:trPr>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r>
      <w:tr>
        <w:trPr>
          <w:trHeight w:val="278"/>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71,120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66,134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62,909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64,353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63,338</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200,163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185,616</w:t>
            </w:r>
          </w:p>
        </w:tc>
        <w:tc>
          <w:tcPr>
            <w:tcW w:w="40" w:type="dxa"/>
            <w:vAlign w:val="bottom"/>
          </w:tcPr>
          <w:p>
            <w:pPr>
              <w:spacing w:after="0"/>
              <w:rPr>
                <w:sz w:val="24"/>
                <w:szCs w:val="24"/>
                <w:color w:val="auto"/>
              </w:rPr>
            </w:pPr>
          </w:p>
        </w:tc>
      </w:tr>
      <w:tr>
        <w:trPr>
          <w:trHeight w:val="188"/>
        </w:trPr>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(993)</w:t>
            </w:r>
          </w:p>
        </w:tc>
        <w:tc>
          <w:tcPr>
            <w:tcW w:w="1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(1,139)</w:t>
            </w:r>
          </w:p>
        </w:tc>
      </w:tr>
      <w:tr>
        <w:trPr>
          <w:trHeight w:val="162"/>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70,828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65,808</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63,955</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199,170</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184,477</w:t>
            </w:r>
          </w:p>
        </w:tc>
        <w:tc>
          <w:tcPr>
            <w:tcW w:w="40" w:type="dxa"/>
            <w:vAlign w:val="bottom"/>
          </w:tcPr>
          <w:p>
            <w:pPr>
              <w:spacing w:after="0"/>
              <w:rPr>
                <w:sz w:val="14"/>
                <w:szCs w:val="14"/>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-256540</wp:posOffset>
            </wp:positionV>
            <wp:extent cx="7246620"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-462280</wp:posOffset>
            </wp:positionV>
            <wp:extent cx="7246620"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 w:lineRule="exact"/>
        <w:rPr>
          <w:sz w:val="20"/>
          <w:szCs w:val="20"/>
          <w:color w:val="auto"/>
        </w:rPr>
      </w:pPr>
    </w:p>
    <w:p>
      <w:pPr>
        <w:sectPr>
          <w:pgSz w:w="11900" w:h="16973" w:orient="portrait"/>
          <w:cols w:equalWidth="0" w:num="2">
            <w:col w:w="3640" w:space="720"/>
            <w:col w:w="706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vMerge w:val="restart"/>
          </w:tcPr>
          <w:p>
            <w:pPr>
              <w:spacing w:after="0"/>
              <w:rPr>
                <w:sz w:val="11"/>
                <w:szCs w:val="11"/>
                <w:color w:val="auto"/>
              </w:rPr>
            </w:pPr>
          </w:p>
        </w:tc>
        <w:tc>
          <w:tcPr>
            <w:tcW w:w="43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revenue reconciliation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Net interest revenue - taxable equivalent</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65,718</w:t>
            </w:r>
          </w:p>
        </w:tc>
        <w:tc>
          <w:tcPr>
            <w:tcW w:w="34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61,317</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57,617</w:t>
            </w:r>
          </w:p>
        </w:tc>
        <w:tc>
          <w:tcPr>
            <w:tcW w:w="320" w:type="dxa"/>
            <w:vAlign w:val="bottom"/>
            <w:gridSpan w:val="2"/>
            <w:shd w:val="clear" w:color="auto" w:fill="F0FF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58,332</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56,967</w:t>
            </w:r>
          </w:p>
        </w:tc>
        <w:tc>
          <w:tcPr>
            <w:tcW w:w="28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184,652</w:t>
            </w:r>
          </w:p>
        </w:tc>
        <w:tc>
          <w:tcPr>
            <w:tcW w:w="180" w:type="dxa"/>
            <w:vAlign w:val="bottom"/>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166,086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Taxable equivalent adjustment</w:t>
            </w:r>
          </w:p>
        </w:tc>
        <w:tc>
          <w:tcPr>
            <w:tcW w:w="2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(326)</w:t>
            </w:r>
          </w:p>
        </w:tc>
        <w:tc>
          <w:tcPr>
            <w:tcW w:w="2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(398)</w:t>
            </w:r>
          </w:p>
        </w:tc>
        <w:tc>
          <w:tcPr>
            <w:tcW w:w="2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(993)</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3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Net interest revenue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65,426</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60,991</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57,242</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57,934</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56,562</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183,659</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164,947</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Total revenue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Total operating revenue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83,315</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77,683</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71,499</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71,355</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69,379</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232,497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200,117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4"/>
                <w:szCs w:val="14"/>
                <w:color w:val="auto"/>
              </w:rPr>
              <w:t>Taxable equivalent adjustment</w:t>
            </w:r>
          </w:p>
        </w:tc>
        <w:tc>
          <w:tcPr>
            <w:tcW w:w="24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(326)</w:t>
            </w:r>
          </w:p>
        </w:tc>
        <w:tc>
          <w:tcPr>
            <w:tcW w:w="24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(398)</w:t>
            </w:r>
          </w:p>
        </w:tc>
        <w:tc>
          <w:tcPr>
            <w:tcW w:w="2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(405)</w:t>
            </w:r>
          </w:p>
        </w:tc>
        <w:tc>
          <w:tcPr>
            <w:tcW w:w="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(993)</w:t>
            </w:r>
          </w:p>
        </w:tc>
        <w:tc>
          <w:tcPr>
            <w:tcW w:w="18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Borders>
              <w:top w:val="single" w:sz="8" w:color="F0FFFF"/>
            </w:tcBorders>
          </w:tcPr>
          <w:p>
            <w:pPr>
              <w:ind w:left="160"/>
              <w:spacing w:after="0" w:line="149" w:lineRule="exact"/>
              <w:rPr>
                <w:sz w:val="20"/>
                <w:szCs w:val="20"/>
                <w:color w:val="auto"/>
              </w:rPr>
            </w:pPr>
            <w:r>
              <w:rPr>
                <w:rFonts w:ascii="Arial" w:cs="Arial" w:eastAsia="Arial" w:hAnsi="Arial"/>
                <w:sz w:val="14"/>
                <w:szCs w:val="14"/>
                <w:color w:val="auto"/>
              </w:rPr>
              <w:t>Total revenue (GAAP)</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83,023</w:t>
            </w:r>
          </w:p>
        </w:tc>
        <w:tc>
          <w:tcPr>
            <w:tcW w:w="16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77,357</w:t>
            </w:r>
          </w:p>
        </w:tc>
        <w:tc>
          <w:tcPr>
            <w:tcW w:w="22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71,124</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70,957</w:t>
            </w:r>
          </w:p>
        </w:tc>
        <w:tc>
          <w:tcPr>
            <w:tcW w:w="22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68,974</w:t>
            </w:r>
          </w:p>
        </w:tc>
        <w:tc>
          <w:tcPr>
            <w:tcW w:w="14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231,504</w:t>
            </w:r>
          </w:p>
        </w:tc>
        <w:tc>
          <w:tcPr>
            <w:tcW w:w="24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198,978</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3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b w:val="1"/>
                <w:bCs w:val="1"/>
                <w:color w:val="auto"/>
              </w:rPr>
              <w:t>Expense reconciliation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Expenses - operating</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48,525</w:t>
            </w:r>
          </w:p>
        </w:tc>
        <w:tc>
          <w:tcPr>
            <w:tcW w:w="34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45,247</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43,061</w:t>
            </w:r>
          </w:p>
        </w:tc>
        <w:tc>
          <w:tcPr>
            <w:tcW w:w="320" w:type="dxa"/>
            <w:vAlign w:val="bottom"/>
            <w:gridSpan w:val="2"/>
            <w:shd w:val="clear" w:color="auto" w:fill="F0FF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41,919</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41,364</w:t>
            </w:r>
          </w:p>
        </w:tc>
        <w:tc>
          <w:tcPr>
            <w:tcW w:w="28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136,833</w:t>
            </w:r>
          </w:p>
        </w:tc>
        <w:tc>
          <w:tcPr>
            <w:tcW w:w="180" w:type="dxa"/>
            <w:vAlign w:val="bottom"/>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120,946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Merger-related charges</w:t>
            </w:r>
          </w:p>
        </w:tc>
        <w:tc>
          <w:tcPr>
            <w:tcW w:w="2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3,173</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8,917</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3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Expenses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54,269</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48,420</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43,061</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41,919</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41,364</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145,750</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120,946</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Income before taxes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Income before taxes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34,790</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32,436</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28,438</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29,436</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28,015</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95,664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24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(292)</w:t>
            </w: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(326)</w:t>
            </w:r>
          </w:p>
        </w:tc>
        <w:tc>
          <w:tcPr>
            <w:tcW w:w="2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(375)</w:t>
            </w: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(398)</w:t>
            </w:r>
          </w:p>
        </w:tc>
        <w:tc>
          <w:tcPr>
            <w:tcW w:w="2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(405)</w:t>
            </w: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(993)</w:t>
            </w: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Merger-related charges</w:t>
            </w:r>
          </w:p>
        </w:tc>
        <w:tc>
          <w:tcPr>
            <w:tcW w:w="2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(3,173)</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(8,917)</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3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Income before taxes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28,754</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28,937</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28,063</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29,038</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27,610</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85,754</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78,032</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Income tax expense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Income tax expense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13,064</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12,447</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10,768</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11,189</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10,399</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36,279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24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(292)</w:t>
            </w: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(326)</w:t>
            </w:r>
          </w:p>
        </w:tc>
        <w:tc>
          <w:tcPr>
            <w:tcW w:w="2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(375)</w:t>
            </w: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(398)</w:t>
            </w:r>
          </w:p>
        </w:tc>
        <w:tc>
          <w:tcPr>
            <w:tcW w:w="2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(405)</w:t>
            </w: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(993)</w:t>
            </w:r>
          </w:p>
        </w:tc>
        <w:tc>
          <w:tcPr>
            <w:tcW w:w="180" w:type="dxa"/>
            <w:vAlign w:val="bottom"/>
            <w:shd w:val="clear" w:color="auto" w:fill="F0FFFF"/>
          </w:tcPr>
          <w:p>
            <w:pPr>
              <w:spacing w:after="0"/>
              <w:rPr>
                <w:sz w:val="12"/>
                <w:szCs w:val="12"/>
                <w:color w:val="auto"/>
              </w:rPr>
            </w:pPr>
          </w:p>
        </w:tc>
        <w:tc>
          <w:tcPr>
            <w:tcW w:w="72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Merger-related charges, tax benefit</w:t>
            </w:r>
          </w:p>
        </w:tc>
        <w:tc>
          <w:tcPr>
            <w:tcW w:w="2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(1,905)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(997)</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(2,902)</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3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Income tax expense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10,867</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11,124</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10,393</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10,791</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9,994</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32,384</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28,659</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Net income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Net income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21,726</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19,989</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17,670</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18,247</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17,616</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59,385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4"/>
                <w:szCs w:val="14"/>
                <w:color w:val="auto"/>
              </w:rPr>
              <w:t>Merger-related charges, net of income tax benefit</w:t>
            </w:r>
          </w:p>
        </w:tc>
        <w:tc>
          <w:tcPr>
            <w:tcW w:w="24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(3,839)</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(2,176)</w:t>
            </w:r>
          </w:p>
        </w:tc>
        <w:tc>
          <w:tcPr>
            <w:tcW w:w="240" w:type="dxa"/>
            <w:vAlign w:val="bottom"/>
            <w:shd w:val="clear" w:color="auto" w:fill="F0FFFF"/>
          </w:tcPr>
          <w:p>
            <w:pPr>
              <w:spacing w:after="0"/>
              <w:rPr>
                <w:sz w:val="15"/>
                <w:szCs w:val="15"/>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(6,015)</w:t>
            </w:r>
          </w:p>
        </w:tc>
        <w:tc>
          <w:tcPr>
            <w:tcW w:w="180" w:type="dxa"/>
            <w:vAlign w:val="bottom"/>
            <w:shd w:val="clear" w:color="auto" w:fill="F0FFFF"/>
          </w:tcPr>
          <w:p>
            <w:pPr>
              <w:spacing w:after="0"/>
              <w:rPr>
                <w:sz w:val="15"/>
                <w:szCs w:val="15"/>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Borders>
              <w:top w:val="single" w:sz="8" w:color="F0FFFF"/>
            </w:tcBorders>
          </w:tcPr>
          <w:p>
            <w:pPr>
              <w:ind w:left="160"/>
              <w:spacing w:after="0" w:line="149" w:lineRule="exact"/>
              <w:rPr>
                <w:sz w:val="20"/>
                <w:szCs w:val="20"/>
                <w:color w:val="auto"/>
              </w:rPr>
            </w:pPr>
            <w:r>
              <w:rPr>
                <w:rFonts w:ascii="Arial" w:cs="Arial" w:eastAsia="Arial" w:hAnsi="Arial"/>
                <w:sz w:val="14"/>
                <w:szCs w:val="14"/>
                <w:color w:val="auto"/>
              </w:rPr>
              <w:t>Net income (GAAP)</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17,887</w:t>
            </w:r>
          </w:p>
        </w:tc>
        <w:tc>
          <w:tcPr>
            <w:tcW w:w="16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17,813</w:t>
            </w:r>
          </w:p>
        </w:tc>
        <w:tc>
          <w:tcPr>
            <w:tcW w:w="22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17,670</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18,247</w:t>
            </w:r>
          </w:p>
        </w:tc>
        <w:tc>
          <w:tcPr>
            <w:tcW w:w="22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17,616</w:t>
            </w:r>
          </w:p>
        </w:tc>
        <w:tc>
          <w:tcPr>
            <w:tcW w:w="14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53,370</w:t>
            </w:r>
          </w:p>
        </w:tc>
        <w:tc>
          <w:tcPr>
            <w:tcW w:w="24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49,373</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3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available to common shareholders reconciliation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Net income available to common shareholders - operating</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21,701</w:t>
            </w:r>
          </w:p>
        </w:tc>
        <w:tc>
          <w:tcPr>
            <w:tcW w:w="34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19,972</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17,670</w:t>
            </w:r>
          </w:p>
        </w:tc>
        <w:tc>
          <w:tcPr>
            <w:tcW w:w="320" w:type="dxa"/>
            <w:vAlign w:val="bottom"/>
            <w:gridSpan w:val="2"/>
            <w:shd w:val="clear" w:color="auto" w:fill="F0FF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18,247</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17,616</w:t>
            </w:r>
          </w:p>
        </w:tc>
        <w:tc>
          <w:tcPr>
            <w:tcW w:w="28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59,343</w:t>
            </w:r>
          </w:p>
        </w:tc>
        <w:tc>
          <w:tcPr>
            <w:tcW w:w="180" w:type="dxa"/>
            <w:vAlign w:val="bottom"/>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48,934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Merger-related charges, net of income tax benefit</w:t>
            </w:r>
          </w:p>
        </w:tc>
        <w:tc>
          <w:tcPr>
            <w:tcW w:w="2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(3,839)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(2,176)</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(6,015)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3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Net income available to common shareholders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17,862</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17,796</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17,670</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18,247</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17,616</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53,328</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48,934</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Diluted income per common share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Diluted income per common share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4"/>
                <w:szCs w:val="14"/>
                <w:color w:val="auto"/>
              </w:rPr>
              <w:t>Merger-related charges</w:t>
            </w:r>
          </w:p>
        </w:tc>
        <w:tc>
          <w:tcPr>
            <w:tcW w:w="240" w:type="dxa"/>
            <w:vAlign w:val="bottom"/>
            <w:shd w:val="clear" w:color="auto" w:fill="F0FFFF"/>
          </w:tcPr>
          <w:p>
            <w:pPr>
              <w:spacing w:after="0"/>
              <w:rPr>
                <w:sz w:val="15"/>
                <w:szCs w:val="15"/>
                <w:color w:val="auto"/>
              </w:rPr>
            </w:pPr>
          </w:p>
        </w:tc>
        <w:tc>
          <w:tcPr>
            <w:tcW w:w="7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(.04)</w:t>
            </w:r>
          </w:p>
        </w:tc>
        <w:tc>
          <w:tcPr>
            <w:tcW w:w="240" w:type="dxa"/>
            <w:vAlign w:val="bottom"/>
            <w:shd w:val="clear" w:color="auto" w:fill="F0FFFF"/>
          </w:tcPr>
          <w:p>
            <w:pPr>
              <w:spacing w:after="0"/>
              <w:rPr>
                <w:sz w:val="15"/>
                <w:szCs w:val="15"/>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5"/>
                <w:szCs w:val="15"/>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(.10)</w:t>
            </w:r>
          </w:p>
        </w:tc>
        <w:tc>
          <w:tcPr>
            <w:tcW w:w="180" w:type="dxa"/>
            <w:vAlign w:val="bottom"/>
            <w:shd w:val="clear" w:color="auto" w:fill="F0FFFF"/>
          </w:tcPr>
          <w:p>
            <w:pPr>
              <w:spacing w:after="0"/>
              <w:rPr>
                <w:sz w:val="15"/>
                <w:szCs w:val="15"/>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Borders>
              <w:top w:val="single" w:sz="8" w:color="F0FFFF"/>
            </w:tcBorders>
          </w:tcPr>
          <w:p>
            <w:pPr>
              <w:ind w:left="160"/>
              <w:spacing w:after="0" w:line="149" w:lineRule="exact"/>
              <w:rPr>
                <w:sz w:val="20"/>
                <w:szCs w:val="20"/>
                <w:color w:val="auto"/>
              </w:rPr>
            </w:pPr>
            <w:r>
              <w:rPr>
                <w:rFonts w:ascii="Arial" w:cs="Arial" w:eastAsia="Arial" w:hAnsi="Arial"/>
                <w:sz w:val="14"/>
                <w:szCs w:val="14"/>
                <w:color w:val="auto"/>
              </w:rPr>
              <w:t>Diluted income per common share (GAAP)</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w:t>
            </w:r>
          </w:p>
        </w:tc>
        <w:tc>
          <w:tcPr>
            <w:tcW w:w="240" w:type="dxa"/>
            <w:vAlign w:val="bottom"/>
            <w:tcBorders>
              <w:top w:val="single" w:sz="8" w:color="F0FF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w:t>
            </w: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3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b w:val="1"/>
                <w:bCs w:val="1"/>
                <w:color w:val="auto"/>
              </w:rPr>
              <w:t>Book value per common share reconciliation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Tangible book value per common share</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12.08</w:t>
            </w:r>
          </w:p>
        </w:tc>
        <w:tc>
          <w:tcPr>
            <w:tcW w:w="34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12.66</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12.53</w:t>
            </w:r>
          </w:p>
        </w:tc>
        <w:tc>
          <w:tcPr>
            <w:tcW w:w="320" w:type="dxa"/>
            <w:vAlign w:val="bottom"/>
            <w:gridSpan w:val="2"/>
            <w:shd w:val="clear" w:color="auto" w:fill="F0FF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12.15</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12.10</w:t>
            </w:r>
          </w:p>
        </w:tc>
        <w:tc>
          <w:tcPr>
            <w:tcW w:w="28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12.08</w:t>
            </w:r>
          </w:p>
        </w:tc>
        <w:tc>
          <w:tcPr>
            <w:tcW w:w="180" w:type="dxa"/>
            <w:vAlign w:val="bottom"/>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Effect of goodwill and other intangibles</w:t>
            </w:r>
          </w:p>
        </w:tc>
        <w:tc>
          <w:tcPr>
            <w:tcW w:w="2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1.87</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3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Book value per common share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13.95</w:t>
            </w:r>
          </w:p>
        </w:tc>
        <w:tc>
          <w:tcPr>
            <w:tcW w:w="1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12.95</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12.58</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12.20</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12.15</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13.95</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auto"/>
              <w:bottom w:val="single" w:sz="8" w:color="auto"/>
            </w:tcBorders>
            <w:shd w:val="clear" w:color="auto" w:fill="F0FF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973" w:orient="portrait"/>
          <w:cols w:equalWidth="0" w:num="1">
            <w:col w:w="11420"/>
          </w:cols>
          <w:pgMar w:left="240" w:top="904" w:right="239" w:bottom="0" w:gutter="0" w:footer="0" w:header="0"/>
          <w:type w:val="continuous"/>
        </w:sectPr>
      </w:pPr>
    </w:p>
    <w:p>
      <w:pPr>
        <w:spacing w:after="0"/>
        <w:rPr>
          <w:sz w:val="20"/>
          <w:szCs w:val="20"/>
          <w:color w:val="auto"/>
        </w:rPr>
      </w:pPr>
      <w:r>
        <w:rPr>
          <w:rFonts w:ascii="Arial" w:cs="Arial" w:eastAsia="Arial" w:hAnsi="Arial"/>
          <w:sz w:val="12"/>
          <w:szCs w:val="12"/>
          <w:b w:val="1"/>
          <w:bCs w:val="1"/>
          <w:color w:val="auto"/>
        </w:rPr>
        <w:t>Return on tangible common equity reconciliation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Return on tangible common equity - operating</w:t>
      </w:r>
    </w:p>
    <w:p>
      <w:pPr>
        <w:spacing w:after="0"/>
        <w:rPr>
          <w:sz w:val="20"/>
          <w:szCs w:val="20"/>
          <w:color w:val="auto"/>
        </w:rPr>
      </w:pPr>
      <w:r>
        <w:rPr>
          <w:rFonts w:ascii="Arial" w:cs="Arial" w:eastAsia="Arial" w:hAnsi="Arial"/>
          <w:sz w:val="14"/>
          <w:szCs w:val="14"/>
          <w:color w:val="auto"/>
        </w:rPr>
        <w:t>Effect of goodwill and other intangibles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Return on common equity - operating</w:t>
      </w:r>
    </w:p>
    <w:p>
      <w:pPr>
        <w:spacing w:after="0"/>
        <w:rPr>
          <w:sz w:val="20"/>
          <w:szCs w:val="20"/>
          <w:color w:val="auto"/>
        </w:rPr>
      </w:pPr>
      <w:r>
        <w:rPr>
          <w:rFonts w:ascii="Arial" w:cs="Arial" w:eastAsia="Arial" w:hAnsi="Arial"/>
          <w:sz w:val="14"/>
          <w:szCs w:val="14"/>
          <w:color w:val="auto"/>
        </w:rPr>
        <w:t>Merger-related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Return on common equity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Return on assets reconciliation</w:t>
      </w:r>
    </w:p>
    <w:p>
      <w:pPr>
        <w:spacing w:after="0" w:line="226" w:lineRule="auto"/>
        <w:rPr>
          <w:sz w:val="20"/>
          <w:szCs w:val="20"/>
          <w:color w:val="auto"/>
        </w:rPr>
      </w:pPr>
      <w:r>
        <w:rPr>
          <w:rFonts w:ascii="Arial" w:cs="Arial" w:eastAsia="Arial" w:hAnsi="Arial"/>
          <w:sz w:val="14"/>
          <w:szCs w:val="14"/>
          <w:color w:val="auto"/>
        </w:rPr>
        <w:t>Return on assets - operating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Merger-related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Return on assets (GAAP)</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10.29%</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10.20%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9.46%</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9.74%</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9.55%</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10.00%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9.18%</w:t>
            </w:r>
          </w:p>
        </w:tc>
      </w:tr>
      <w:tr>
        <w:trPr>
          <w:trHeight w:val="188"/>
        </w:trPr>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(.75)</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(.30)</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(.40)</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(.16)</w:t>
            </w:r>
          </w:p>
        </w:tc>
      </w:tr>
      <w:tr>
        <w:trPr>
          <w:trHeight w:val="130"/>
        </w:trPr>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9.54</w:t>
            </w:r>
          </w:p>
        </w:tc>
        <w:tc>
          <w:tcPr>
            <w:tcW w:w="260" w:type="dxa"/>
            <w:vAlign w:val="bottom"/>
          </w:tcPr>
          <w:p>
            <w:pPr>
              <w:spacing w:after="0"/>
              <w:rPr>
                <w:sz w:val="11"/>
                <w:szCs w:val="11"/>
                <w:color w:val="auto"/>
              </w:rPr>
            </w:pPr>
          </w:p>
        </w:tc>
        <w:tc>
          <w:tcPr>
            <w:tcW w:w="8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9.90</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9.34</w:t>
            </w: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9.60</w:t>
            </w:r>
          </w:p>
        </w:tc>
        <w:tc>
          <w:tcPr>
            <w:tcW w:w="220" w:type="dxa"/>
            <w:vAlign w:val="bottom"/>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9.41</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9.60</w:t>
            </w:r>
          </w:p>
        </w:tc>
        <w:tc>
          <w:tcPr>
            <w:tcW w:w="24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9.02</w:t>
            </w:r>
          </w:p>
        </w:tc>
        <w:tc>
          <w:tcPr>
            <w:tcW w:w="100" w:type="dxa"/>
            <w:vAlign w:val="bottom"/>
          </w:tcPr>
          <w:p>
            <w:pPr>
              <w:spacing w:after="0"/>
              <w:rPr>
                <w:sz w:val="11"/>
                <w:szCs w:val="11"/>
                <w:color w:val="auto"/>
              </w:rPr>
            </w:pPr>
          </w:p>
        </w:tc>
      </w:tr>
      <w:tr>
        <w:trPr>
          <w:trHeight w:val="188"/>
        </w:trPr>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(1.69)</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(1.07)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(.97)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9.34</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9.41</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1.00%</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1.00%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.94%</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.96%</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.95%</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.98%</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.89%</w:t>
            </w:r>
          </w:p>
        </w:tc>
      </w:tr>
      <w:tr>
        <w:trPr>
          <w:trHeight w:val="188"/>
        </w:trPr>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(.18)</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(.11)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-1200150</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-1011555</wp:posOffset>
            </wp:positionV>
            <wp:extent cx="7246620" cy="111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-796925</wp:posOffset>
            </wp:positionV>
            <wp:extent cx="7246620" cy="111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-556895</wp:posOffset>
            </wp:positionV>
            <wp:extent cx="7246620" cy="1117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-351155</wp:posOffset>
            </wp:positionV>
            <wp:extent cx="72466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-145415</wp:posOffset>
            </wp:positionV>
            <wp:extent cx="724662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26" w:lineRule="exact"/>
        <w:rPr>
          <w:sz w:val="20"/>
          <w:szCs w:val="20"/>
          <w:color w:val="auto"/>
        </w:rPr>
      </w:pPr>
    </w:p>
    <w:p>
      <w:pPr>
        <w:sectPr>
          <w:pgSz w:w="11900" w:h="16973" w:orient="portrait"/>
          <w:cols w:equalWidth="0" w:num="2">
            <w:col w:w="3640" w:space="720"/>
            <w:col w:w="7060"/>
          </w:cols>
          <w:pgMar w:left="240" w:top="904" w:right="239" w:bottom="0" w:gutter="0" w:footer="0" w:header="0"/>
          <w:type w:val="continuous"/>
        </w:sectPr>
      </w:pPr>
    </w:p>
    <w:p>
      <w:pPr>
        <w:spacing w:after="0"/>
        <w:rPr>
          <w:sz w:val="20"/>
          <w:szCs w:val="20"/>
          <w:color w:val="auto"/>
        </w:rPr>
      </w:pPr>
      <w:r>
        <w:rPr>
          <w:rFonts w:ascii="Arial" w:cs="Arial" w:eastAsia="Arial" w:hAnsi="Arial"/>
          <w:sz w:val="13"/>
          <w:szCs w:val="13"/>
          <w:b w:val="1"/>
          <w:bCs w:val="1"/>
          <w:color w:val="auto"/>
        </w:rPr>
        <w:t>Allowance for loan losses to loans reconciliation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Allowance for loan losses to loans , excl. acquired loans</w:t>
      </w:r>
    </w:p>
    <w:p>
      <w:pPr>
        <w:spacing w:after="0"/>
        <w:rPr>
          <w:sz w:val="20"/>
          <w:szCs w:val="20"/>
          <w:color w:val="auto"/>
        </w:rPr>
      </w:pPr>
      <w:r>
        <w:rPr>
          <w:rFonts w:ascii="Arial" w:cs="Arial" w:eastAsia="Arial" w:hAnsi="Arial"/>
          <w:sz w:val="14"/>
          <w:szCs w:val="14"/>
          <w:color w:val="auto"/>
        </w:rPr>
        <w:t>Effect of removing acquired loans from ratio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Allowance for loan losses to loans (GAAP)</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1.37%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1.42%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1.46%</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1.53%</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1.57%</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1.37%</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1.57%</w:t>
            </w:r>
          </w:p>
        </w:tc>
      </w:tr>
      <w:tr>
        <w:trPr>
          <w:trHeight w:val="188"/>
        </w:trPr>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(.22)</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(.22)</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-445135</wp:posOffset>
            </wp:positionV>
            <wp:extent cx="72466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-256540</wp:posOffset>
            </wp:positionV>
            <wp:extent cx="7246620" cy="111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-16510</wp:posOffset>
            </wp:positionV>
            <wp:extent cx="7246620" cy="1117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26" w:lineRule="exact"/>
        <w:rPr>
          <w:sz w:val="20"/>
          <w:szCs w:val="20"/>
          <w:color w:val="auto"/>
        </w:rPr>
      </w:pPr>
    </w:p>
    <w:p>
      <w:pPr>
        <w:sectPr>
          <w:pgSz w:w="11900" w:h="16973" w:orient="portrait"/>
          <w:cols w:equalWidth="0" w:num="2">
            <w:col w:w="3640" w:space="720"/>
            <w:col w:w="7060"/>
          </w:cols>
          <w:pgMar w:left="240" w:top="904" w:right="239" w:bottom="0" w:gutter="0" w:footer="0" w:header="0"/>
          <w:type w:val="continuous"/>
        </w:sectPr>
      </w:pPr>
    </w:p>
    <w:p>
      <w:pPr>
        <w:spacing w:after="0"/>
        <w:rPr>
          <w:sz w:val="20"/>
          <w:szCs w:val="20"/>
          <w:color w:val="auto"/>
        </w:rPr>
      </w:pPr>
      <w:r>
        <w:rPr>
          <w:rFonts w:ascii="Arial" w:cs="Arial" w:eastAsia="Arial" w:hAnsi="Arial"/>
          <w:sz w:val="13"/>
          <w:szCs w:val="13"/>
          <w:b w:val="1"/>
          <w:bCs w:val="1"/>
          <w:color w:val="auto"/>
        </w:rPr>
        <w:t>Dividend payout ratio reconciliation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Dividend payout ratio - operating</w:t>
      </w:r>
    </w:p>
    <w:p>
      <w:pPr>
        <w:spacing w:after="0"/>
        <w:rPr>
          <w:sz w:val="20"/>
          <w:szCs w:val="20"/>
          <w:color w:val="auto"/>
        </w:rPr>
      </w:pPr>
      <w:r>
        <w:rPr>
          <w:rFonts w:ascii="Arial" w:cs="Arial" w:eastAsia="Arial" w:hAnsi="Arial"/>
          <w:sz w:val="14"/>
          <w:szCs w:val="14"/>
          <w:color w:val="auto"/>
        </w:rPr>
        <w:t>Merger-related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 payout ratio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Efficiency ratio reconciliation</w:t>
      </w:r>
    </w:p>
    <w:p>
      <w:pPr>
        <w:spacing w:after="0" w:line="226" w:lineRule="auto"/>
        <w:rPr>
          <w:sz w:val="20"/>
          <w:szCs w:val="20"/>
          <w:color w:val="auto"/>
        </w:rPr>
      </w:pPr>
      <w:r>
        <w:rPr>
          <w:rFonts w:ascii="Arial" w:cs="Arial" w:eastAsia="Arial" w:hAnsi="Arial"/>
          <w:sz w:val="14"/>
          <w:szCs w:val="14"/>
          <w:color w:val="auto"/>
        </w:rPr>
        <w:t>Efficiency ratio - operating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Merger-related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Efficiency ratio (GAAP)</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Average equity to assets reconciliation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Tangible common equity to assets</w:t>
      </w:r>
    </w:p>
    <w:p>
      <w:pPr>
        <w:spacing w:after="0"/>
        <w:rPr>
          <w:sz w:val="20"/>
          <w:szCs w:val="20"/>
          <w:color w:val="auto"/>
        </w:rPr>
      </w:pPr>
      <w:r>
        <w:rPr>
          <w:rFonts w:ascii="Arial" w:cs="Arial" w:eastAsia="Arial" w:hAnsi="Arial"/>
          <w:sz w:val="14"/>
          <w:szCs w:val="14"/>
          <w:color w:val="auto"/>
        </w:rPr>
        <w:t>Effect of preferred equity</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18.18%</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15.63%</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17.24%</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16.67%</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10.34%</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17.02%</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7.41%</w:t>
            </w:r>
          </w:p>
        </w:tc>
      </w:tr>
      <w:tr>
        <w:trPr>
          <w:trHeight w:val="174"/>
        </w:trPr>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4.04</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2.23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2.03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17.24</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16.67</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19.05</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57.81%</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57.59%</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59.15%</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57.47%</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57.96%</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58.15%</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58.54%</w:t>
            </w:r>
          </w:p>
        </w:tc>
      </w:tr>
      <w:tr>
        <w:trPr>
          <w:trHeight w:val="174"/>
        </w:trPr>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6.84</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4.04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3.79</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64.65</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61.63</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59.15</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57.47</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57.96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61.94</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58.54</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9.77%</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9.83%</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9.82%</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9.72%</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9.83%</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9.81%</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9.55%</w:t>
            </w:r>
          </w:p>
        </w:tc>
      </w:tr>
      <w:tr>
        <w:trPr>
          <w:trHeight w:val="167"/>
        </w:trPr>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.11</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.08</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.07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-1276985</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-1071245</wp:posOffset>
            </wp:positionV>
            <wp:extent cx="72466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-831215</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-642620</wp:posOffset>
            </wp:positionV>
            <wp:extent cx="7246620"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-402590</wp:posOffset>
            </wp:positionV>
            <wp:extent cx="724662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-196850</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 w:lineRule="exact"/>
        <w:rPr>
          <w:sz w:val="20"/>
          <w:szCs w:val="20"/>
          <w:color w:val="auto"/>
        </w:rPr>
      </w:pPr>
    </w:p>
    <w:p>
      <w:pPr>
        <w:sectPr>
          <w:pgSz w:w="11900" w:h="16973" w:orient="portrait"/>
          <w:cols w:equalWidth="0" w:num="2">
            <w:col w:w="3640" w:space="720"/>
            <w:col w:w="706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360" w:type="dxa"/>
            <w:vAlign w:val="bottom"/>
            <w:tcBorders>
              <w:top w:val="single" w:sz="8" w:color="F0FFFF"/>
            </w:tcBorders>
            <w:shd w:val="clear" w:color="auto" w:fill="F0FFFF"/>
          </w:tcPr>
          <w:p>
            <w:pPr>
              <w:ind w:left="180"/>
              <w:spacing w:after="0" w:line="155" w:lineRule="exact"/>
              <w:rPr>
                <w:sz w:val="20"/>
                <w:szCs w:val="20"/>
                <w:color w:val="auto"/>
              </w:rPr>
            </w:pPr>
            <w:r>
              <w:rPr>
                <w:rFonts w:ascii="Arial" w:cs="Arial" w:eastAsia="Arial" w:hAnsi="Arial"/>
                <w:sz w:val="14"/>
                <w:szCs w:val="14"/>
                <w:color w:val="auto"/>
              </w:rPr>
              <w:t>Tangible equity to assets</w:t>
            </w:r>
          </w:p>
        </w:tc>
        <w:tc>
          <w:tcPr>
            <w:tcW w:w="80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9.88</w:t>
            </w:r>
          </w:p>
        </w:tc>
        <w:tc>
          <w:tcPr>
            <w:tcW w:w="260" w:type="dxa"/>
            <w:vAlign w:val="bottom"/>
            <w:tcBorders>
              <w:top w:val="single" w:sz="8" w:color="F0FFFF"/>
            </w:tcBorders>
            <w:shd w:val="clear" w:color="auto" w:fill="F0FFFF"/>
          </w:tcPr>
          <w:p>
            <w:pPr>
              <w:spacing w:after="0"/>
              <w:rPr>
                <w:sz w:val="13"/>
                <w:szCs w:val="13"/>
                <w:color w:val="auto"/>
              </w:rPr>
            </w:pPr>
          </w:p>
        </w:tc>
        <w:tc>
          <w:tcPr>
            <w:tcW w:w="82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9.91</w:t>
            </w:r>
          </w:p>
        </w:tc>
        <w:tc>
          <w:tcPr>
            <w:tcW w:w="22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9.82</w:t>
            </w:r>
          </w:p>
        </w:tc>
        <w:tc>
          <w:tcPr>
            <w:tcW w:w="24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9.72</w:t>
            </w:r>
          </w:p>
        </w:tc>
        <w:tc>
          <w:tcPr>
            <w:tcW w:w="220" w:type="dxa"/>
            <w:vAlign w:val="bottom"/>
            <w:tcBorders>
              <w:top w:val="single" w:sz="8" w:color="F0FFFF"/>
            </w:tcBorders>
            <w:shd w:val="clear" w:color="auto" w:fill="F0FFFF"/>
          </w:tcPr>
          <w:p>
            <w:pPr>
              <w:spacing w:after="0"/>
              <w:rPr>
                <w:sz w:val="13"/>
                <w:szCs w:val="13"/>
                <w:color w:val="auto"/>
              </w:rPr>
            </w:pPr>
          </w:p>
        </w:tc>
        <w:tc>
          <w:tcPr>
            <w:tcW w:w="80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9.83</w:t>
            </w:r>
          </w:p>
        </w:tc>
        <w:tc>
          <w:tcPr>
            <w:tcW w:w="22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9.88</w:t>
            </w:r>
          </w:p>
        </w:tc>
        <w:tc>
          <w:tcPr>
            <w:tcW w:w="24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9.64</w:t>
            </w:r>
          </w:p>
        </w:tc>
        <w:tc>
          <w:tcPr>
            <w:tcW w:w="120" w:type="dxa"/>
            <w:vAlign w:val="bottom"/>
            <w:tcBorders>
              <w:top w:val="single" w:sz="8" w:color="F0FFFF"/>
            </w:tcBorders>
            <w:shd w:val="clear" w:color="auto" w:fill="F0FFFF"/>
          </w:tcPr>
          <w:p>
            <w:pPr>
              <w:spacing w:after="0"/>
              <w:rPr>
                <w:sz w:val="13"/>
                <w:szCs w:val="13"/>
                <w:color w:val="auto"/>
              </w:rPr>
            </w:pPr>
          </w:p>
        </w:tc>
      </w:tr>
      <w:tr>
        <w:trPr>
          <w:trHeight w:val="169"/>
        </w:trPr>
        <w:tc>
          <w:tcPr>
            <w:tcW w:w="4360" w:type="dxa"/>
            <w:vAlign w:val="bottom"/>
          </w:tcPr>
          <w:p>
            <w:pPr>
              <w:spacing w:after="0"/>
              <w:rPr>
                <w:sz w:val="20"/>
                <w:szCs w:val="20"/>
                <w:color w:val="auto"/>
              </w:rPr>
            </w:pPr>
            <w:r>
              <w:rPr>
                <w:rFonts w:ascii="Arial" w:cs="Arial" w:eastAsia="Arial" w:hAnsi="Arial"/>
                <w:sz w:val="14"/>
                <w:szCs w:val="14"/>
                <w:color w:val="auto"/>
              </w:rPr>
              <w:t>Effect of goodwill and other intangibles</w:t>
            </w:r>
          </w:p>
        </w:tc>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.51</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.04</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.04</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.23</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.02</w:t>
            </w:r>
          </w:p>
        </w:tc>
      </w:tr>
      <w:tr>
        <w:trPr>
          <w:trHeight w:val="187"/>
        </w:trPr>
        <w:tc>
          <w:tcPr>
            <w:tcW w:w="436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Arial" w:cs="Arial" w:eastAsia="Arial" w:hAnsi="Arial"/>
                <w:sz w:val="14"/>
                <w:szCs w:val="14"/>
                <w:color w:val="auto"/>
              </w:rPr>
              <w:t>Equity to assets (GAAP)</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10.39</w:t>
            </w:r>
          </w:p>
        </w:tc>
        <w:tc>
          <w:tcPr>
            <w:tcW w:w="260" w:type="dxa"/>
            <w:vAlign w:val="bottom"/>
            <w:tcBorders>
              <w:top w:val="single" w:sz="8" w:color="F0FFFF"/>
              <w:bottom w:val="single" w:sz="8" w:color="F0FFFF"/>
            </w:tcBorders>
            <w:shd w:val="clear" w:color="auto" w:fill="F0FFFF"/>
          </w:tcPr>
          <w:p>
            <w:pPr>
              <w:jc w:val="right"/>
              <w:ind w:right="68"/>
              <w:spacing w:after="0"/>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10.05</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9.86</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9.76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9.85</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10.11</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w w:val="79"/>
              </w:rPr>
              <w:t>%</w:t>
            </w:r>
          </w:p>
        </w:tc>
      </w:tr>
      <w:tr>
        <w:trPr>
          <w:trHeight w:val="20"/>
        </w:trPr>
        <w:tc>
          <w:tcPr>
            <w:tcW w:w="43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Tangible common equity to risk-weighted assets reconciliation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13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973" w:orient="portrait"/>
          <w:cols w:equalWidth="0" w:num="1">
            <w:col w:w="11420"/>
          </w:cols>
          <w:pgMar w:left="240" w:top="904" w:right="239" w:bottom="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4360" w:type="dxa"/>
            <w:vAlign w:val="bottom"/>
            <w:tcBorders>
              <w:top w:val="single" w:sz="8" w:color="F0FFFF"/>
            </w:tcBorders>
          </w:tcPr>
          <w:p>
            <w:pPr>
              <w:spacing w:after="0" w:line="149" w:lineRule="exact"/>
              <w:rPr>
                <w:sz w:val="20"/>
                <w:szCs w:val="20"/>
                <w:color w:val="auto"/>
              </w:rPr>
            </w:pPr>
            <w:r>
              <w:rPr>
                <w:rFonts w:ascii="Arial" w:cs="Arial" w:eastAsia="Arial" w:hAnsi="Arial"/>
                <w:sz w:val="14"/>
                <w:szCs w:val="14"/>
                <w:color w:val="auto"/>
              </w:rPr>
              <w:t>Tangible common equity to risk-weighted assets</w:t>
            </w:r>
          </w:p>
        </w:tc>
        <w:tc>
          <w:tcPr>
            <w:tcW w:w="1060" w:type="dxa"/>
            <w:vAlign w:val="bottom"/>
            <w:tcBorders>
              <w:top w:val="single" w:sz="8" w:color="F0FFFF"/>
            </w:tcBorders>
            <w:gridSpan w:val="2"/>
          </w:tcPr>
          <w:p>
            <w:pPr>
              <w:jc w:val="right"/>
              <w:ind w:right="68"/>
              <w:spacing w:after="0" w:line="149" w:lineRule="exact"/>
              <w:rPr>
                <w:sz w:val="20"/>
                <w:szCs w:val="20"/>
                <w:color w:val="auto"/>
              </w:rPr>
            </w:pPr>
            <w:r>
              <w:rPr>
                <w:rFonts w:ascii="Arial" w:cs="Arial" w:eastAsia="Arial" w:hAnsi="Arial"/>
                <w:sz w:val="14"/>
                <w:szCs w:val="14"/>
                <w:color w:val="auto"/>
              </w:rPr>
              <w:t>12.68%</w:t>
            </w:r>
          </w:p>
        </w:tc>
        <w:tc>
          <w:tcPr>
            <w:tcW w:w="1040" w:type="dxa"/>
            <w:vAlign w:val="bottom"/>
            <w:tcBorders>
              <w:top w:val="single" w:sz="8" w:color="F0FFFF"/>
            </w:tcBorders>
            <w:gridSpan w:val="2"/>
          </w:tcPr>
          <w:p>
            <w:pPr>
              <w:jc w:val="right"/>
              <w:ind w:right="28"/>
              <w:spacing w:after="0" w:line="149" w:lineRule="exact"/>
              <w:rPr>
                <w:sz w:val="20"/>
                <w:szCs w:val="20"/>
                <w:color w:val="auto"/>
              </w:rPr>
            </w:pPr>
            <w:r>
              <w:rPr>
                <w:rFonts w:ascii="Arial" w:cs="Arial" w:eastAsia="Arial" w:hAnsi="Arial"/>
                <w:sz w:val="14"/>
                <w:szCs w:val="14"/>
                <w:color w:val="auto"/>
              </w:rPr>
              <w:t>13.24%</w:t>
            </w:r>
          </w:p>
        </w:tc>
        <w:tc>
          <w:tcPr>
            <w:tcW w:w="1020" w:type="dxa"/>
            <w:vAlign w:val="bottom"/>
            <w:tcBorders>
              <w:top w:val="single" w:sz="8" w:color="F0FFFF"/>
            </w:tcBorders>
            <w:gridSpan w:val="2"/>
          </w:tcPr>
          <w:p>
            <w:pPr>
              <w:jc w:val="right"/>
              <w:ind w:right="48"/>
              <w:spacing w:after="0" w:line="149" w:lineRule="exact"/>
              <w:rPr>
                <w:sz w:val="20"/>
                <w:szCs w:val="20"/>
                <w:color w:val="auto"/>
              </w:rPr>
            </w:pPr>
            <w:r>
              <w:rPr>
                <w:rFonts w:ascii="Arial" w:cs="Arial" w:eastAsia="Arial" w:hAnsi="Arial"/>
                <w:sz w:val="14"/>
                <w:szCs w:val="14"/>
                <w:color w:val="auto"/>
              </w:rPr>
              <w:t>13.53%</w:t>
            </w:r>
          </w:p>
        </w:tc>
        <w:tc>
          <w:tcPr>
            <w:tcW w:w="1000" w:type="dxa"/>
            <w:vAlign w:val="bottom"/>
            <w:tcBorders>
              <w:top w:val="single" w:sz="8" w:color="F0FFFF"/>
            </w:tcBorders>
            <w:gridSpan w:val="2"/>
          </w:tcPr>
          <w:p>
            <w:pPr>
              <w:jc w:val="right"/>
              <w:ind w:right="28"/>
              <w:spacing w:after="0" w:line="149" w:lineRule="exact"/>
              <w:rPr>
                <w:sz w:val="20"/>
                <w:szCs w:val="20"/>
                <w:color w:val="auto"/>
              </w:rPr>
            </w:pPr>
            <w:r>
              <w:rPr>
                <w:rFonts w:ascii="Arial" w:cs="Arial" w:eastAsia="Arial" w:hAnsi="Arial"/>
                <w:sz w:val="14"/>
                <w:szCs w:val="14"/>
                <w:color w:val="auto"/>
              </w:rPr>
              <w:t>13.82%</w:t>
            </w:r>
          </w:p>
        </w:tc>
        <w:tc>
          <w:tcPr>
            <w:tcW w:w="1020" w:type="dxa"/>
            <w:vAlign w:val="bottom"/>
            <w:tcBorders>
              <w:top w:val="single" w:sz="8" w:color="F0FFFF"/>
            </w:tcBorders>
            <w:gridSpan w:val="2"/>
          </w:tcPr>
          <w:p>
            <w:pPr>
              <w:jc w:val="right"/>
              <w:ind w:right="28"/>
              <w:spacing w:after="0" w:line="149" w:lineRule="exact"/>
              <w:rPr>
                <w:sz w:val="20"/>
                <w:szCs w:val="20"/>
                <w:color w:val="auto"/>
              </w:rPr>
            </w:pPr>
            <w:r>
              <w:rPr>
                <w:rFonts w:ascii="Arial" w:cs="Arial" w:eastAsia="Arial" w:hAnsi="Arial"/>
                <w:sz w:val="14"/>
                <w:szCs w:val="14"/>
                <w:color w:val="auto"/>
              </w:rPr>
              <w:t>14.10%</w:t>
            </w:r>
          </w:p>
        </w:tc>
        <w:tc>
          <w:tcPr>
            <w:tcW w:w="1020" w:type="dxa"/>
            <w:vAlign w:val="bottom"/>
            <w:tcBorders>
              <w:top w:val="single" w:sz="8" w:color="F0FFFF"/>
            </w:tcBorders>
            <w:gridSpan w:val="2"/>
          </w:tcPr>
          <w:p>
            <w:pPr>
              <w:jc w:val="right"/>
              <w:ind w:right="48"/>
              <w:spacing w:after="0" w:line="149" w:lineRule="exact"/>
              <w:rPr>
                <w:sz w:val="20"/>
                <w:szCs w:val="20"/>
                <w:color w:val="auto"/>
              </w:rPr>
            </w:pPr>
            <w:r>
              <w:rPr>
                <w:rFonts w:ascii="Arial" w:cs="Arial" w:eastAsia="Arial" w:hAnsi="Arial"/>
                <w:sz w:val="14"/>
                <w:szCs w:val="14"/>
                <w:color w:val="auto"/>
              </w:rPr>
              <w:t>12.68%</w:t>
            </w:r>
          </w:p>
        </w:tc>
        <w:tc>
          <w:tcPr>
            <w:tcW w:w="900" w:type="dxa"/>
            <w:vAlign w:val="bottom"/>
            <w:tcBorders>
              <w:top w:val="single" w:sz="8" w:color="F0FFFF"/>
            </w:tcBorders>
            <w:gridSpan w:val="2"/>
          </w:tcPr>
          <w:p>
            <w:pPr>
              <w:jc w:val="right"/>
              <w:spacing w:after="0" w:line="149" w:lineRule="exact"/>
              <w:rPr>
                <w:sz w:val="20"/>
                <w:szCs w:val="20"/>
                <w:color w:val="auto"/>
              </w:rPr>
            </w:pPr>
            <w:r>
              <w:rPr>
                <w:rFonts w:ascii="Arial" w:cs="Arial" w:eastAsia="Arial" w:hAnsi="Arial"/>
                <w:sz w:val="14"/>
                <w:szCs w:val="14"/>
                <w:color w:val="auto"/>
              </w:rPr>
              <w:t>14.10%</w:t>
            </w:r>
          </w:p>
        </w:tc>
      </w:tr>
      <w:tr>
        <w:trPr>
          <w:trHeight w:val="149"/>
        </w:trPr>
        <w:tc>
          <w:tcPr>
            <w:tcW w:w="43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Effect of other comprehensive income</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.22</w:t>
            </w:r>
          </w:p>
        </w:tc>
        <w:tc>
          <w:tcPr>
            <w:tcW w:w="104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.19</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.35</w:t>
            </w:r>
          </w:p>
        </w:tc>
        <w:tc>
          <w:tcPr>
            <w:tcW w:w="102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.34</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.22</w:t>
            </w:r>
          </w:p>
        </w:tc>
        <w:tc>
          <w:tcPr>
            <w:tcW w:w="90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.34</w:t>
            </w: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Effect of deferred tax limitation</w:t>
            </w:r>
          </w:p>
        </w:tc>
        <w:tc>
          <w:tcPr>
            <w:tcW w:w="10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.08</w:t>
            </w:r>
          </w:p>
        </w:tc>
        <w:tc>
          <w:tcPr>
            <w:tcW w:w="10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(2.49)</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(2.86)</w:t>
            </w:r>
          </w:p>
        </w:tc>
        <w:tc>
          <w:tcPr>
            <w:tcW w:w="10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(3.11)</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(3.39)</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(3.39)</w:t>
            </w:r>
          </w:p>
        </w:tc>
      </w:tr>
      <w:tr>
        <w:trPr>
          <w:trHeight w:val="149"/>
        </w:trPr>
        <w:tc>
          <w:tcPr>
            <w:tcW w:w="43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Effect of trust preferred</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.63</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.67</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1.00</w:t>
            </w:r>
          </w:p>
        </w:tc>
        <w:tc>
          <w:tcPr>
            <w:tcW w:w="102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1.02</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.15</w:t>
            </w:r>
          </w:p>
        </w:tc>
        <w:tc>
          <w:tcPr>
            <w:tcW w:w="90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1.02</w:t>
            </w: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Effect of preferred equity</w:t>
            </w: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(2.20)</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(2.20)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43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Basel III intangibles transition adjustment</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.12</w:t>
            </w:r>
          </w:p>
        </w:tc>
        <w:tc>
          <w:tcPr>
            <w:tcW w:w="104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.04</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.12</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r>
      <w:tr>
        <w:trPr>
          <w:trHeight w:val="169"/>
        </w:trPr>
        <w:tc>
          <w:tcPr>
            <w:tcW w:w="4360" w:type="dxa"/>
            <w:vAlign w:val="bottom"/>
          </w:tcPr>
          <w:p>
            <w:pPr>
              <w:spacing w:after="0"/>
              <w:rPr>
                <w:sz w:val="20"/>
                <w:szCs w:val="20"/>
                <w:color w:val="auto"/>
              </w:rPr>
            </w:pPr>
            <w:r>
              <w:rPr>
                <w:rFonts w:ascii="Arial" w:cs="Arial" w:eastAsia="Arial" w:hAnsi="Arial"/>
                <w:sz w:val="14"/>
                <w:szCs w:val="14"/>
                <w:color w:val="auto"/>
              </w:rPr>
              <w:t>Basel III disallowed investments</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(.03)</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(.04)</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87"/>
        </w:trPr>
        <w:tc>
          <w:tcPr>
            <w:tcW w:w="436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Arial" w:cs="Arial" w:eastAsia="Arial" w:hAnsi="Arial"/>
                <w:sz w:val="14"/>
                <w:szCs w:val="14"/>
                <w:color w:val="auto"/>
              </w:rPr>
              <w:t>Tier I capital ratio (Regulatory)</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11.03</w:t>
            </w:r>
          </w:p>
        </w:tc>
        <w:tc>
          <w:tcPr>
            <w:tcW w:w="260" w:type="dxa"/>
            <w:vAlign w:val="bottom"/>
            <w:tcBorders>
              <w:top w:val="single" w:sz="8" w:color="F0FFFF"/>
              <w:bottom w:val="single" w:sz="8" w:color="F0FFFF"/>
            </w:tcBorders>
            <w:shd w:val="clear" w:color="auto" w:fill="F0FFFF"/>
          </w:tcPr>
          <w:p>
            <w:pPr>
              <w:jc w:val="right"/>
              <w:ind w:right="68"/>
              <w:spacing w:after="0"/>
              <w:rPr>
                <w:sz w:val="20"/>
                <w:szCs w:val="20"/>
                <w:color w:val="auto"/>
              </w:rPr>
            </w:pPr>
            <w:r>
              <w:rPr>
                <w:rFonts w:ascii="Arial" w:cs="Arial" w:eastAsia="Arial" w:hAnsi="Arial"/>
                <w:sz w:val="14"/>
                <w:szCs w:val="14"/>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11.86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11.53</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12.07</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11.03</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w w:val="79"/>
              </w:rPr>
              <w:t>%</w:t>
            </w:r>
          </w:p>
        </w:tc>
      </w:tr>
      <w:tr>
        <w:trPr>
          <w:trHeight w:val="20"/>
        </w:trPr>
        <w:tc>
          <w:tcPr>
            <w:tcW w:w="43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r>
    </w:tbl>
    <w:p>
      <w:pPr>
        <w:spacing w:after="0" w:line="242" w:lineRule="exact"/>
        <w:rPr>
          <w:sz w:val="20"/>
          <w:szCs w:val="20"/>
          <w:color w:val="auto"/>
        </w:rPr>
      </w:pPr>
    </w:p>
    <w:p>
      <w:pPr>
        <w:ind w:left="5640" w:right="2740" w:hanging="5632"/>
        <w:spacing w:after="0" w:line="683" w:lineRule="auto"/>
        <w:tabs>
          <w:tab w:leader="none" w:pos="237"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September 30, June 30 and March 31, 2015 calculated under Basel III rules, which became effective January 1, 2015.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United actively manages its balance sheet to provide optimal levels of revenue while balancing interest rate, credit and liquidity risks. Taxable equivalent net interest revenue for the third quarter of 2015 was $65.7 million, up $8.75 million from the third quarter of 2014. The combination of growth in the loan portfolio and lower interest costs on deposits and borrowed funds were responsible for the increase in net interest revenue. United continues to focus on loan and deposit pricing in an effort to maintain a steady level of net interest revenue. The acquisition of Palmetto on September 1, 2015 and MoneyTree on May 1, 2015 also contributed to the increase as the acquired entities’ results are included in consolidated results beginning on the acquisition date.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average loans increased $1.01 billion, or 23%, from the third quarter of last year, the yield on loans decreased 29 basis points, reflecting the continuing effect of the low interest rate environment and pricing competition for a limited number of quality lending opportunities. The lower loan yield also reflects a shift in new production toward more floating rate loans.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interest-earning assets for the third quarter of 2015 increased $1.19 billion, or 17%, from the third quarter of 2014, which was due primarily to the increase in loans, including the acquisition of Palmetto and MoneyTree loans. Average investment securities for the third quarter of 2015 increased $165 million from a year ago, partially due to the Palmetto acquisition. The average yield on the investment portfolio decreased 7 basis points from a year ago, partially due to lower yields on acquired securities.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Average interest-bearing liabilities of $5.67 billion for the third quarter of 2015 increased $645 million from the third quarter of 2014. Average noninterest bearing deposits increased $442 million from the third quarter of 2014 to $1.97 billion for the third quarter of 2015. The average cost of interest-bearing liabilities for the third quarter of 2015 was .38% compared to .50% for the same period of 2014, reflecting United’s concerted efforts to reduce its cost of funds. In the first nine months of 2015, United redeemed $49.2 million in higher-rate trust preferred securities, with rates ranging from 8.125% to 11.295%. In third quarter 2015, United issued $50 million of seven-year senior notes at 5% and $35 million of twelve-year senior notes at 5.5%. Also contributing to the overall lower rate on interest-bearing liabilities was a shift in the mix of deposits away from more expensive time deposits toward lower-rate transaction deposits.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third quarters of 2015 and 2014, the net interest spread was 3.15% and 3.19%, respectively, while the net interest margin was 3.26% and 3.32%, respectively. The decrease in both ratios reflects the impact of the continuing effect of the low interest rate environment and pricing competition for a limited number of quality lending opportunities.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first nine months of 2015, net interest revenue was $185 million, an increase of $18.6 million, or 11%, from the first nine months of 2014. Average earning assets increased $675 million, or 10%, during the first nine months of 2015, compared to the same period a year ago. The yield on earning assets decreased 7 basis points from 3.63% for the nine months ended September 30, 2014, to 3.56% for the nine months ended September 30, 2015, due to declining loan yields. The lower loan portfolio yield reflects competitive pricing pressure on new and renewed loans and a shift in loan mix to more floating rate loans. Investment yields increased 5 basis points for the first nine months of 2015 compared to the first nine months of 2014, which helped offset some of the decrease on loan yields. The rate on interest bearing liabilities over the same period decreased 13 basis points. The lower yield on interest earning assets was more than offset by the reduction in rates paid on interest bearing liabilities, resulting in the net interest margin increasing 4 basis points from the nine months ended September 30, 2014 to the nine months ended September 30, 2015.</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September 30,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Avg.</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Interest</w:t>
            </w:r>
          </w:p>
        </w:tc>
        <w:tc>
          <w:tcPr>
            <w:tcW w:w="12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Interest</w:t>
            </w:r>
          </w:p>
        </w:tc>
        <w:tc>
          <w:tcPr>
            <w:tcW w:w="11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39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F0FFFF"/>
          </w:tcPr>
          <w:p>
            <w:pPr>
              <w:ind w:left="180"/>
              <w:spacing w:after="0" w:line="25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9"/>
                <w:szCs w:val="29"/>
                <w:color w:val="auto"/>
                <w:vertAlign w:val="superscript"/>
              </w:rPr>
              <w:t>(1)(2)</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5,457,158</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57,258</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4,445,947</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49,853</w:t>
            </w:r>
          </w:p>
        </w:tc>
        <w:tc>
          <w:tcPr>
            <w:tcW w:w="1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2,367,417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12,624</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2,212,116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12,169</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7"/>
        </w:trPr>
        <w:tc>
          <w:tcPr>
            <w:tcW w:w="3900" w:type="dxa"/>
            <w:vAlign w:val="bottom"/>
            <w:shd w:val="clear" w:color="auto" w:fill="F0FFFF"/>
          </w:tcPr>
          <w:p>
            <w:pPr>
              <w:ind w:left="180"/>
              <w:spacing w:after="0" w:line="25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9"/>
                <w:szCs w:val="29"/>
                <w:color w:val="auto"/>
                <w:vertAlign w:val="superscript"/>
              </w:rPr>
              <w:t>(1)(3)</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28,889</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290</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4.02</w:t>
            </w:r>
          </w:p>
        </w:tc>
        <w:tc>
          <w:tcPr>
            <w:tcW w:w="6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18,794</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290</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88"/>
              </w:rPr>
              <w:t>Federal funds sold and other interest-earning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155,957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948</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143,169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6"/>
        </w:trPr>
        <w:tc>
          <w:tcPr>
            <w:tcW w:w="390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8,009,421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71,120</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20" w:type="dxa"/>
            <w:vAlign w:val="bottom"/>
            <w:tcBorders>
              <w:top w:val="single" w:sz="8" w:color="F0FFFF"/>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3.53</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6,820,026</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63,338</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180" w:type="dxa"/>
            <w:vAlign w:val="bottom"/>
            <w:tcBorders>
              <w:top w:val="single" w:sz="8" w:color="F0FFFF"/>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Arial" w:cs="Arial" w:eastAsia="Arial" w:hAnsi="Arial"/>
                <w:sz w:val="18"/>
                <w:szCs w:val="18"/>
                <w:color w:val="auto"/>
              </w:rPr>
              <w:t>Non-interest-earning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(71,090)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(74,146)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80,678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71,224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Premises and equipment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179,463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161,315</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900" w:type="dxa"/>
            <w:vAlign w:val="bottom"/>
          </w:tcPr>
          <w:p>
            <w:pPr>
              <w:ind w:left="180"/>
              <w:spacing w:after="0" w:line="269"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30"/>
                <w:szCs w:val="30"/>
                <w:color w:val="auto"/>
                <w:vertAlign w:val="superscript"/>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435,060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395,184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90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8,633,532</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7,373,603</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NOW</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1,491,801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337</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.09</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1,331,806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365</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1,737,740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1,387,042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386,254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.03</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282,746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rPr>
              <w:t>Time less than $100,000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793,755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791,289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Time greater than $100,000</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484,074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447</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.37</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542,216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827</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3900" w:type="dxa"/>
            <w:vAlign w:val="bottom"/>
          </w:tcPr>
          <w:p>
            <w:pPr>
              <w:ind w:left="340"/>
              <w:spacing w:after="0"/>
              <w:rPr>
                <w:sz w:val="20"/>
                <w:szCs w:val="20"/>
                <w:color w:val="auto"/>
              </w:rPr>
            </w:pPr>
            <w:r>
              <w:rPr>
                <w:rFonts w:ascii="Arial" w:cs="Arial" w:eastAsia="Arial" w:hAnsi="Arial"/>
                <w:sz w:val="18"/>
                <w:szCs w:val="18"/>
                <w:color w:val="auto"/>
              </w:rPr>
              <w:t>Brokered time deposits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268,716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278,330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6"/>
        </w:trPr>
        <w:tc>
          <w:tcPr>
            <w:tcW w:w="3900" w:type="dxa"/>
            <w:vAlign w:val="bottom"/>
            <w:tcBorders>
              <w:top w:val="single" w:sz="8" w:color="F0FFFF"/>
              <w:bottom w:val="single" w:sz="8" w:color="F0FFFF"/>
            </w:tcBorders>
            <w:shd w:val="clear" w:color="auto" w:fill="F0FFFF"/>
          </w:tcPr>
          <w:p>
            <w:pPr>
              <w:ind w:left="50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5,162,340</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20" w:type="dxa"/>
            <w:vAlign w:val="bottom"/>
            <w:tcBorders>
              <w:top w:val="single" w:sz="8" w:color="F0FFFF"/>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4,613,429</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180" w:type="dxa"/>
            <w:vAlign w:val="bottom"/>
            <w:tcBorders>
              <w:top w:val="single" w:sz="8" w:color="F0FFFF"/>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3900" w:type="dxa"/>
            <w:vAlign w:val="bottom"/>
          </w:tcPr>
          <w:p>
            <w:pPr>
              <w:ind w:left="180"/>
              <w:spacing w:after="0" w:line="203" w:lineRule="exact"/>
              <w:rPr>
                <w:sz w:val="20"/>
                <w:szCs w:val="20"/>
                <w:color w:val="auto"/>
              </w:rPr>
            </w:pPr>
            <w:r>
              <w:rPr>
                <w:rFonts w:ascii="Arial" w:cs="Arial" w:eastAsia="Arial" w:hAnsi="Arial"/>
                <w:sz w:val="18"/>
                <w:szCs w:val="18"/>
                <w:color w:val="auto"/>
                <w:w w:val="99"/>
              </w:rPr>
              <w:t>Federal funds purchased and other borrowings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72,909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99</w:t>
            </w:r>
          </w:p>
        </w:tc>
        <w:tc>
          <w:tcPr>
            <w:tcW w:w="220" w:type="dxa"/>
            <w:vAlign w:val="bottom"/>
          </w:tcPr>
          <w:p>
            <w:pPr>
              <w:spacing w:after="0"/>
              <w:rPr>
                <w:sz w:val="17"/>
                <w:szCs w:val="17"/>
                <w:color w:val="auto"/>
              </w:rPr>
            </w:pPr>
          </w:p>
        </w:tc>
        <w:tc>
          <w:tcPr>
            <w:tcW w:w="1220" w:type="dxa"/>
            <w:vAlign w:val="bottom"/>
            <w:gridSpan w:val="2"/>
          </w:tcPr>
          <w:p>
            <w:pPr>
              <w:jc w:val="right"/>
              <w:ind w:right="110"/>
              <w:spacing w:after="0" w:line="203"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53,713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316</w:t>
            </w:r>
          </w:p>
        </w:tc>
        <w:tc>
          <w:tcPr>
            <w:tcW w:w="220" w:type="dxa"/>
            <w:vAlign w:val="bottom"/>
          </w:tcPr>
          <w:p>
            <w:pPr>
              <w:spacing w:after="0"/>
              <w:rPr>
                <w:sz w:val="17"/>
                <w:szCs w:val="17"/>
                <w:color w:val="auto"/>
              </w:rPr>
            </w:pPr>
          </w:p>
        </w:tc>
        <w:tc>
          <w:tcPr>
            <w:tcW w:w="11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281,429</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461</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.65</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227,190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435</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152,105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2,669</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129,865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2,642</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6"/>
        </w:trPr>
        <w:tc>
          <w:tcPr>
            <w:tcW w:w="390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Arial" w:cs="Arial" w:eastAsia="Arial" w:hAnsi="Arial"/>
                <w:sz w:val="18"/>
                <w:szCs w:val="18"/>
                <w:color w:val="auto"/>
              </w:rPr>
              <w:t>Total borrowed funds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506,443</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20" w:type="dxa"/>
            <w:vAlign w:val="bottom"/>
            <w:tcBorders>
              <w:top w:val="single" w:sz="8" w:color="F0FFFF"/>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2.53</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410,768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3,393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180" w:type="dxa"/>
            <w:vAlign w:val="bottom"/>
            <w:tcBorders>
              <w:top w:val="single" w:sz="8" w:color="F0FFFF"/>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F0FFFF"/>
            </w:tcBorders>
          </w:tcPr>
          <w:p>
            <w:pPr>
              <w:ind w:left="34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90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5,668,783</w:t>
            </w:r>
          </w:p>
        </w:tc>
        <w:tc>
          <w:tcPr>
            <w:tcW w:w="14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220" w:type="dxa"/>
            <w:vAlign w:val="bottom"/>
            <w:tcBorders>
              <w:bottom w:val="single" w:sz="8" w:color="F0FFFF"/>
            </w:tcBorders>
          </w:tcPr>
          <w:p>
            <w:pPr>
              <w:spacing w:after="0"/>
              <w:rPr>
                <w:sz w:val="19"/>
                <w:szCs w:val="19"/>
                <w:color w:val="auto"/>
              </w:rPr>
            </w:pPr>
          </w:p>
        </w:tc>
        <w:tc>
          <w:tcPr>
            <w:tcW w:w="1220" w:type="dxa"/>
            <w:vAlign w:val="bottom"/>
            <w:tcBorders>
              <w:bottom w:val="single" w:sz="8" w:color="F0FFFF"/>
            </w:tcBorders>
            <w:gridSpan w:val="2"/>
          </w:tcPr>
          <w:p>
            <w:pPr>
              <w:jc w:val="right"/>
              <w:ind w:right="110"/>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88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5,024,197</w:t>
            </w:r>
          </w:p>
        </w:tc>
        <w:tc>
          <w:tcPr>
            <w:tcW w:w="14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220" w:type="dxa"/>
            <w:vAlign w:val="bottom"/>
            <w:tcBorders>
              <w:bottom w:val="single" w:sz="8" w:color="F0FFFF"/>
            </w:tcBorders>
          </w:tcPr>
          <w:p>
            <w:pPr>
              <w:spacing w:after="0"/>
              <w:rPr>
                <w:sz w:val="19"/>
                <w:szCs w:val="19"/>
                <w:color w:val="auto"/>
              </w:rPr>
            </w:pPr>
          </w:p>
        </w:tc>
        <w:tc>
          <w:tcPr>
            <w:tcW w:w="1180" w:type="dxa"/>
            <w:vAlign w:val="bottom"/>
            <w:tcBorders>
              <w:bottom w:val="single" w:sz="8" w:color="F0FFFF"/>
            </w:tcBorders>
            <w:gridSpan w:val="2"/>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Non-interest-bearing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1,972,291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1,530,011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95,342</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92,986</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F0FF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7,736,416</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6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6,647,194</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6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897,116</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726,409</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900" w:type="dxa"/>
            <w:vAlign w:val="bottom"/>
            <w:tcBorders>
              <w:top w:val="single" w:sz="8" w:color="F0FFFF"/>
            </w:tcBorders>
          </w:tcPr>
          <w:p>
            <w:pPr>
              <w:ind w:left="34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8,633,532</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7,373,603</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interest revenue</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65,718</w:t>
            </w:r>
          </w:p>
        </w:tc>
        <w:tc>
          <w:tcPr>
            <w:tcW w:w="10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56,967</w:t>
            </w:r>
          </w:p>
        </w:tc>
        <w:tc>
          <w:tcPr>
            <w:tcW w:w="10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Net interest-rate spread</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F0FFFF"/>
              <w:bottom w:val="single" w:sz="8" w:color="F0FFFF"/>
            </w:tcBorders>
            <w:gridSpan w:val="2"/>
            <w:vMerge w:val="restart"/>
          </w:tcPr>
          <w:p>
            <w:pPr>
              <w:jc w:val="right"/>
              <w:spacing w:after="0"/>
              <w:rPr>
                <w:sz w:val="20"/>
                <w:szCs w:val="20"/>
                <w:color w:val="auto"/>
              </w:rPr>
            </w:pPr>
            <w:r>
              <w:rPr>
                <w:rFonts w:ascii="Arial" w:cs="Arial" w:eastAsia="Arial" w:hAnsi="Arial"/>
                <w:sz w:val="18"/>
                <w:szCs w:val="18"/>
                <w:color w:val="auto"/>
              </w:rPr>
              <w:t>3.15%</w:t>
            </w: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bottom w:val="single" w:sz="8" w:color="F0FFFF"/>
            </w:tcBorders>
            <w:gridSpan w:val="2"/>
            <w:vMerge w:val="restart"/>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line="20" w:lineRule="exact"/>
              <w:rPr>
                <w:sz w:val="1"/>
                <w:szCs w:val="1"/>
                <w:color w:val="auto"/>
              </w:rPr>
            </w:pPr>
          </w:p>
        </w:tc>
      </w:tr>
      <w:tr>
        <w:trPr>
          <w:trHeight w:val="217"/>
        </w:trPr>
        <w:tc>
          <w:tcPr>
            <w:tcW w:w="3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9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F0FFFF"/>
          </w:tcPr>
          <w:p>
            <w:pPr>
              <w:spacing w:after="0" w:line="170"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19"/>
                <w:szCs w:val="19"/>
                <w:b w:val="1"/>
                <w:bCs w:val="1"/>
                <w:color w:val="auto"/>
                <w:vertAlign w:val="superscript"/>
              </w:rPr>
              <w:t>(4)</w:t>
            </w: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200" w:type="dxa"/>
            <w:vAlign w:val="bottom"/>
            <w:shd w:val="clear" w:color="auto" w:fill="F0FFFF"/>
          </w:tcPr>
          <w:p>
            <w:pPr>
              <w:jc w:val="right"/>
              <w:spacing w:after="0" w:line="170"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60" w:type="dxa"/>
            <w:vAlign w:val="bottom"/>
            <w:shd w:val="clear" w:color="auto" w:fill="F0FFFF"/>
          </w:tcPr>
          <w:p>
            <w:pPr>
              <w:jc w:val="right"/>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01"/>
        </w:trPr>
        <w:tc>
          <w:tcPr>
            <w:tcW w:w="3900" w:type="dxa"/>
            <w:vAlign w:val="bottom"/>
            <w:shd w:val="clear" w:color="auto" w:fill="F0FFFF"/>
          </w:tcPr>
          <w:p>
            <w:pPr>
              <w:spacing w:after="0"/>
              <w:rPr>
                <w:sz w:val="8"/>
                <w:szCs w:val="8"/>
                <w:color w:val="auto"/>
              </w:rPr>
            </w:pPr>
          </w:p>
        </w:tc>
        <w:tc>
          <w:tcPr>
            <w:tcW w:w="12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90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60" w:type="dxa"/>
            <w:vAlign w:val="bottom"/>
            <w:shd w:val="clear" w:color="auto" w:fill="F0FFFF"/>
          </w:tcPr>
          <w:p>
            <w:pPr>
              <w:spacing w:after="0"/>
              <w:rPr>
                <w:sz w:val="8"/>
                <w:szCs w:val="8"/>
                <w:color w:val="auto"/>
              </w:rPr>
            </w:pPr>
          </w:p>
        </w:tc>
        <w:tc>
          <w:tcPr>
            <w:tcW w:w="220" w:type="dxa"/>
            <w:vAlign w:val="bottom"/>
            <w:shd w:val="clear" w:color="auto" w:fill="F0FFFF"/>
          </w:tcPr>
          <w:p>
            <w:pPr>
              <w:spacing w:after="0"/>
              <w:rPr>
                <w:sz w:val="8"/>
                <w:szCs w:val="8"/>
                <w:color w:val="auto"/>
              </w:rPr>
            </w:pPr>
          </w:p>
        </w:tc>
        <w:tc>
          <w:tcPr>
            <w:tcW w:w="1220" w:type="dxa"/>
            <w:vAlign w:val="bottom"/>
            <w:gridSpan w:val="2"/>
            <w:shd w:val="clear" w:color="auto" w:fill="F0FFFF"/>
          </w:tcPr>
          <w:p>
            <w:pPr>
              <w:jc w:val="right"/>
              <w:ind w:right="110"/>
              <w:spacing w:after="0" w:line="81" w:lineRule="exact"/>
              <w:rPr>
                <w:sz w:val="20"/>
                <w:szCs w:val="20"/>
                <w:color w:val="auto"/>
              </w:rPr>
            </w:pPr>
            <w:r>
              <w:rPr>
                <w:rFonts w:ascii="Arial" w:cs="Arial" w:eastAsia="Arial" w:hAnsi="Arial"/>
                <w:sz w:val="9"/>
                <w:szCs w:val="9"/>
                <w:color w:val="auto"/>
              </w:rPr>
              <w:t>3.26</w:t>
            </w:r>
          </w:p>
        </w:tc>
        <w:tc>
          <w:tcPr>
            <w:tcW w:w="6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8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60" w:type="dxa"/>
            <w:vAlign w:val="bottom"/>
            <w:shd w:val="clear" w:color="auto" w:fill="F0FFFF"/>
          </w:tcPr>
          <w:p>
            <w:pPr>
              <w:spacing w:after="0"/>
              <w:rPr>
                <w:sz w:val="8"/>
                <w:szCs w:val="8"/>
                <w:color w:val="auto"/>
              </w:rPr>
            </w:pPr>
          </w:p>
        </w:tc>
        <w:tc>
          <w:tcPr>
            <w:tcW w:w="220" w:type="dxa"/>
            <w:vAlign w:val="bottom"/>
            <w:shd w:val="clear" w:color="auto" w:fill="F0FFFF"/>
          </w:tcPr>
          <w:p>
            <w:pPr>
              <w:spacing w:after="0"/>
              <w:rPr>
                <w:sz w:val="8"/>
                <w:szCs w:val="8"/>
                <w:color w:val="auto"/>
              </w:rPr>
            </w:pPr>
          </w:p>
        </w:tc>
        <w:tc>
          <w:tcPr>
            <w:tcW w:w="1180" w:type="dxa"/>
            <w:vAlign w:val="bottom"/>
            <w:gridSpan w:val="2"/>
            <w:shd w:val="clear" w:color="auto" w:fill="F0FFFF"/>
          </w:tcPr>
          <w:p>
            <w:pPr>
              <w:jc w:val="right"/>
              <w:ind w:right="70"/>
              <w:spacing w:after="0" w:line="81" w:lineRule="exact"/>
              <w:rPr>
                <w:sz w:val="20"/>
                <w:szCs w:val="20"/>
                <w:color w:val="auto"/>
              </w:rPr>
            </w:pPr>
            <w:r>
              <w:rPr>
                <w:rFonts w:ascii="Arial" w:cs="Arial" w:eastAsia="Arial" w:hAnsi="Arial"/>
                <w:sz w:val="9"/>
                <w:szCs w:val="9"/>
                <w:color w:val="auto"/>
              </w:rPr>
              <w:t>3.32</w:t>
            </w: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194"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40" w:hanging="332"/>
        <w:spacing w:after="0" w:line="180"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right="60" w:hanging="332"/>
        <w:spacing w:after="0" w:line="187"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$8.56 million in 2015 and pretax unrealized gains of $7.42 million in 2014 are included in other assets for purposes of this presentation.</w:t>
      </w:r>
    </w:p>
    <w:p>
      <w:pPr>
        <w:ind w:left="340" w:hanging="332"/>
        <w:spacing w:after="0" w:line="180"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right="380"/>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nine months ended September 30,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Avg.</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Interest</w:t>
            </w:r>
          </w:p>
        </w:tc>
        <w:tc>
          <w:tcPr>
            <w:tcW w:w="12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Interest</w:t>
            </w:r>
          </w:p>
        </w:tc>
        <w:tc>
          <w:tcPr>
            <w:tcW w:w="11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39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F0FFFF"/>
          </w:tcPr>
          <w:p>
            <w:pPr>
              <w:ind w:left="180"/>
              <w:spacing w:after="0" w:line="25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9"/>
                <w:szCs w:val="29"/>
                <w:color w:val="auto"/>
                <w:vertAlign w:val="superscript"/>
              </w:rPr>
              <w:t>(1)(2)</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5,069,270</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160,204</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4,392,895</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146,156</w:t>
            </w:r>
          </w:p>
        </w:tc>
        <w:tc>
          <w:tcPr>
            <w:tcW w:w="1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2,263,907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36,380</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2,272,639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35,560</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3900" w:type="dxa"/>
            <w:vAlign w:val="bottom"/>
            <w:shd w:val="clear" w:color="auto" w:fill="F0FFFF"/>
          </w:tcPr>
          <w:p>
            <w:pPr>
              <w:ind w:left="180"/>
              <w:spacing w:after="0" w:line="25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9"/>
                <w:szCs w:val="29"/>
                <w:color w:val="auto"/>
                <w:vertAlign w:val="superscript"/>
              </w:rPr>
              <w:t>(1)(3)</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23,649</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845</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4.76</w:t>
            </w:r>
          </w:p>
        </w:tc>
        <w:tc>
          <w:tcPr>
            <w:tcW w:w="6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19,515</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914</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88"/>
              </w:rPr>
              <w:t>Federal funds sold and other interest-earning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154,392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2,734</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150,782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2,986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6"/>
        </w:trPr>
        <w:tc>
          <w:tcPr>
            <w:tcW w:w="390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7,511,218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200,163</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20" w:type="dxa"/>
            <w:vAlign w:val="bottom"/>
            <w:tcBorders>
              <w:top w:val="single" w:sz="8" w:color="F0FFFF"/>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3.56</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6,835,831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185,616</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180" w:type="dxa"/>
            <w:vAlign w:val="bottom"/>
            <w:tcBorders>
              <w:top w:val="single" w:sz="8" w:color="F0FFFF"/>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Arial" w:cs="Arial" w:eastAsia="Arial" w:hAnsi="Arial"/>
                <w:sz w:val="18"/>
                <w:szCs w:val="18"/>
                <w:color w:val="auto"/>
              </w:rPr>
              <w:t>Non-interest-earning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(71,425)</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(76,148)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78,948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65,744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Premises and equipment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169,037</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161,843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900" w:type="dxa"/>
            <w:vAlign w:val="bottom"/>
          </w:tcPr>
          <w:p>
            <w:pPr>
              <w:ind w:left="180"/>
              <w:spacing w:after="0" w:line="269"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30"/>
                <w:szCs w:val="30"/>
                <w:color w:val="auto"/>
                <w:vertAlign w:val="superscript"/>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405,101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404,654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90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8,092,879</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7,391,924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NOW</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1,462,344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1,079</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1,367,713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1,216</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1,605,098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2,460</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1,375,064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2,192</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340,878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.03</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272,696</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rPr>
              <w:t>Time less than $100,000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768,608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2,223</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828,694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2,822</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Time greater than $100,000</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484,439</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1,593</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.44</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561,167</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2,610</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3900" w:type="dxa"/>
            <w:vAlign w:val="bottom"/>
          </w:tcPr>
          <w:p>
            <w:pPr>
              <w:ind w:left="340"/>
              <w:spacing w:after="0"/>
              <w:rPr>
                <w:sz w:val="20"/>
                <w:szCs w:val="20"/>
                <w:color w:val="auto"/>
              </w:rPr>
            </w:pPr>
            <w:r>
              <w:rPr>
                <w:rFonts w:ascii="Arial" w:cs="Arial" w:eastAsia="Arial" w:hAnsi="Arial"/>
                <w:sz w:val="18"/>
                <w:szCs w:val="18"/>
                <w:color w:val="auto"/>
              </w:rPr>
              <w:t>Brokered time deposits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272,688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300,374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6"/>
        </w:trPr>
        <w:tc>
          <w:tcPr>
            <w:tcW w:w="3900" w:type="dxa"/>
            <w:vAlign w:val="bottom"/>
            <w:tcBorders>
              <w:top w:val="single" w:sz="8" w:color="F0FFFF"/>
              <w:bottom w:val="single" w:sz="8" w:color="F0FFFF"/>
            </w:tcBorders>
            <w:shd w:val="clear" w:color="auto" w:fill="F0FFFF"/>
          </w:tcPr>
          <w:p>
            <w:pPr>
              <w:ind w:left="50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4,934,055</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20" w:type="dxa"/>
            <w:vAlign w:val="bottom"/>
            <w:tcBorders>
              <w:top w:val="single" w:sz="8" w:color="F0FFFF"/>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4,705,708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8,979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180" w:type="dxa"/>
            <w:vAlign w:val="bottom"/>
            <w:tcBorders>
              <w:top w:val="single" w:sz="8" w:color="F0FFFF"/>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3900" w:type="dxa"/>
            <w:vAlign w:val="bottom"/>
          </w:tcPr>
          <w:p>
            <w:pPr>
              <w:ind w:left="180"/>
              <w:spacing w:after="0" w:line="203" w:lineRule="exact"/>
              <w:rPr>
                <w:sz w:val="20"/>
                <w:szCs w:val="20"/>
                <w:color w:val="auto"/>
              </w:rPr>
            </w:pPr>
            <w:r>
              <w:rPr>
                <w:rFonts w:ascii="Arial" w:cs="Arial" w:eastAsia="Arial" w:hAnsi="Arial"/>
                <w:sz w:val="18"/>
                <w:szCs w:val="18"/>
                <w:color w:val="auto"/>
                <w:w w:val="99"/>
              </w:rPr>
              <w:t>Federal funds purchased and other borrowings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52,385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279</w:t>
            </w:r>
          </w:p>
        </w:tc>
        <w:tc>
          <w:tcPr>
            <w:tcW w:w="220" w:type="dxa"/>
            <w:vAlign w:val="bottom"/>
          </w:tcPr>
          <w:p>
            <w:pPr>
              <w:spacing w:after="0"/>
              <w:rPr>
                <w:sz w:val="17"/>
                <w:szCs w:val="17"/>
                <w:color w:val="auto"/>
              </w:rPr>
            </w:pPr>
          </w:p>
        </w:tc>
        <w:tc>
          <w:tcPr>
            <w:tcW w:w="1220" w:type="dxa"/>
            <w:vAlign w:val="bottom"/>
            <w:gridSpan w:val="2"/>
          </w:tcPr>
          <w:p>
            <w:pPr>
              <w:jc w:val="right"/>
              <w:ind w:right="110"/>
              <w:spacing w:after="0" w:line="203" w:lineRule="exact"/>
              <w:rPr>
                <w:sz w:val="20"/>
                <w:szCs w:val="20"/>
                <w:color w:val="auto"/>
              </w:rPr>
            </w:pPr>
            <w:r>
              <w:rPr>
                <w:rFonts w:ascii="Arial" w:cs="Arial" w:eastAsia="Arial" w:hAnsi="Arial"/>
                <w:sz w:val="18"/>
                <w:szCs w:val="18"/>
                <w:color w:val="auto"/>
              </w:rPr>
              <w:t>.71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91,320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2,064</w:t>
            </w:r>
          </w:p>
        </w:tc>
        <w:tc>
          <w:tcPr>
            <w:tcW w:w="220" w:type="dxa"/>
            <w:vAlign w:val="bottom"/>
          </w:tcPr>
          <w:p>
            <w:pPr>
              <w:spacing w:after="0"/>
              <w:rPr>
                <w:sz w:val="17"/>
                <w:szCs w:val="17"/>
                <w:color w:val="auto"/>
              </w:rPr>
            </w:pPr>
          </w:p>
        </w:tc>
        <w:tc>
          <w:tcPr>
            <w:tcW w:w="11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270,260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1,307</w:t>
            </w:r>
          </w:p>
        </w:tc>
        <w:tc>
          <w:tcPr>
            <w:tcW w:w="12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.65</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169,392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573</w:t>
            </w:r>
          </w:p>
        </w:tc>
        <w:tc>
          <w:tcPr>
            <w:tcW w:w="11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131,338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7,481</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129,865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7,914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6"/>
        </w:trPr>
        <w:tc>
          <w:tcPr>
            <w:tcW w:w="390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Arial" w:cs="Arial" w:eastAsia="Arial" w:hAnsi="Arial"/>
                <w:sz w:val="18"/>
                <w:szCs w:val="18"/>
                <w:color w:val="auto"/>
              </w:rPr>
              <w:t>Total borrowed funds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453,983</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9,067</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20" w:type="dxa"/>
            <w:vAlign w:val="bottom"/>
            <w:tcBorders>
              <w:top w:val="single" w:sz="8" w:color="F0FFFF"/>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2.67</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390,577</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10,551</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180" w:type="dxa"/>
            <w:vAlign w:val="bottom"/>
            <w:tcBorders>
              <w:top w:val="single" w:sz="8" w:color="F0FFFF"/>
              <w:bottom w:val="single" w:sz="8" w:color="F0FFFF"/>
            </w:tcBorders>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F0FFFF"/>
            </w:tcBorders>
          </w:tcPr>
          <w:p>
            <w:pPr>
              <w:ind w:left="34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90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5,388,038</w:t>
            </w:r>
          </w:p>
        </w:tc>
        <w:tc>
          <w:tcPr>
            <w:tcW w:w="14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w:t>
            </w:r>
          </w:p>
        </w:tc>
        <w:tc>
          <w:tcPr>
            <w:tcW w:w="220" w:type="dxa"/>
            <w:vAlign w:val="bottom"/>
            <w:tcBorders>
              <w:bottom w:val="single" w:sz="8" w:color="F0FFFF"/>
            </w:tcBorders>
          </w:tcPr>
          <w:p>
            <w:pPr>
              <w:spacing w:after="0"/>
              <w:rPr>
                <w:sz w:val="19"/>
                <w:szCs w:val="19"/>
                <w:color w:val="auto"/>
              </w:rPr>
            </w:pPr>
          </w:p>
        </w:tc>
        <w:tc>
          <w:tcPr>
            <w:tcW w:w="1220" w:type="dxa"/>
            <w:vAlign w:val="bottom"/>
            <w:tcBorders>
              <w:bottom w:val="single" w:sz="8" w:color="F0FFFF"/>
            </w:tcBorders>
            <w:gridSpan w:val="2"/>
          </w:tcPr>
          <w:p>
            <w:pPr>
              <w:jc w:val="right"/>
              <w:ind w:right="110"/>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88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5,096,285</w:t>
            </w:r>
          </w:p>
        </w:tc>
        <w:tc>
          <w:tcPr>
            <w:tcW w:w="14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220" w:type="dxa"/>
            <w:vAlign w:val="bottom"/>
            <w:tcBorders>
              <w:bottom w:val="single" w:sz="8" w:color="F0FFFF"/>
            </w:tcBorders>
          </w:tcPr>
          <w:p>
            <w:pPr>
              <w:spacing w:after="0"/>
              <w:rPr>
                <w:sz w:val="19"/>
                <w:szCs w:val="19"/>
                <w:color w:val="auto"/>
              </w:rPr>
            </w:pPr>
          </w:p>
        </w:tc>
        <w:tc>
          <w:tcPr>
            <w:tcW w:w="1180" w:type="dxa"/>
            <w:vAlign w:val="bottom"/>
            <w:tcBorders>
              <w:bottom w:val="single" w:sz="8" w:color="F0FFFF"/>
            </w:tcBorders>
            <w:gridSpan w:val="2"/>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Non-interest-bearing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1,793,181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1,469,967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93,218</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111,522</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F0FF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7,274,437</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6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6,677,774</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6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818,442</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714,150</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900" w:type="dxa"/>
            <w:vAlign w:val="bottom"/>
            <w:tcBorders>
              <w:top w:val="single" w:sz="8" w:color="F0FFFF"/>
            </w:tcBorders>
          </w:tcPr>
          <w:p>
            <w:pPr>
              <w:ind w:left="34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8,092,879</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7,391,924</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interest revenue</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184,652</w:t>
            </w:r>
          </w:p>
        </w:tc>
        <w:tc>
          <w:tcPr>
            <w:tcW w:w="10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166,086</w:t>
            </w:r>
          </w:p>
        </w:tc>
        <w:tc>
          <w:tcPr>
            <w:tcW w:w="10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Net interest-rate spread</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F0FFFF"/>
              <w:bottom w:val="single" w:sz="8" w:color="F0FFFF"/>
            </w:tcBorders>
            <w:gridSpan w:val="2"/>
            <w:vMerge w:val="restart"/>
          </w:tcPr>
          <w:p>
            <w:pPr>
              <w:jc w:val="right"/>
              <w:spacing w:after="0"/>
              <w:rPr>
                <w:sz w:val="20"/>
                <w:szCs w:val="20"/>
                <w:color w:val="auto"/>
              </w:rPr>
            </w:pPr>
            <w:r>
              <w:rPr>
                <w:rFonts w:ascii="Arial" w:cs="Arial" w:eastAsia="Arial" w:hAnsi="Arial"/>
                <w:sz w:val="18"/>
                <w:szCs w:val="18"/>
                <w:color w:val="auto"/>
              </w:rPr>
              <w:t>3.18%</w:t>
            </w: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80" w:type="dxa"/>
            <w:vAlign w:val="bottom"/>
            <w:tcBorders>
              <w:top w:val="single" w:sz="8" w:color="F0FFFF"/>
              <w:bottom w:val="single" w:sz="8" w:color="F0FFFF"/>
            </w:tcBorders>
            <w:gridSpan w:val="2"/>
            <w:vMerge w:val="restart"/>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line="20" w:lineRule="exact"/>
              <w:rPr>
                <w:sz w:val="1"/>
                <w:szCs w:val="1"/>
                <w:color w:val="auto"/>
              </w:rPr>
            </w:pPr>
          </w:p>
        </w:tc>
      </w:tr>
      <w:tr>
        <w:trPr>
          <w:trHeight w:val="217"/>
        </w:trPr>
        <w:tc>
          <w:tcPr>
            <w:tcW w:w="3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9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shd w:val="clear" w:color="auto" w:fill="F0FFFF"/>
          </w:tcPr>
          <w:p>
            <w:pPr>
              <w:spacing w:after="0" w:line="170"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19"/>
                <w:szCs w:val="19"/>
                <w:b w:val="1"/>
                <w:bCs w:val="1"/>
                <w:color w:val="auto"/>
                <w:vertAlign w:val="superscript"/>
              </w:rPr>
              <w:t>(4)</w:t>
            </w: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200" w:type="dxa"/>
            <w:vAlign w:val="bottom"/>
            <w:shd w:val="clear" w:color="auto" w:fill="F0FFFF"/>
          </w:tcPr>
          <w:p>
            <w:pPr>
              <w:jc w:val="right"/>
              <w:spacing w:after="0" w:line="170"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60" w:type="dxa"/>
            <w:vAlign w:val="bottom"/>
            <w:shd w:val="clear" w:color="auto" w:fill="F0FFFF"/>
          </w:tcPr>
          <w:p>
            <w:pPr>
              <w:jc w:val="right"/>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01"/>
        </w:trPr>
        <w:tc>
          <w:tcPr>
            <w:tcW w:w="3900" w:type="dxa"/>
            <w:vAlign w:val="bottom"/>
            <w:shd w:val="clear" w:color="auto" w:fill="F0FFFF"/>
          </w:tcPr>
          <w:p>
            <w:pPr>
              <w:spacing w:after="0"/>
              <w:rPr>
                <w:sz w:val="8"/>
                <w:szCs w:val="8"/>
                <w:color w:val="auto"/>
              </w:rPr>
            </w:pPr>
          </w:p>
        </w:tc>
        <w:tc>
          <w:tcPr>
            <w:tcW w:w="12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90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60" w:type="dxa"/>
            <w:vAlign w:val="bottom"/>
            <w:shd w:val="clear" w:color="auto" w:fill="F0FFFF"/>
          </w:tcPr>
          <w:p>
            <w:pPr>
              <w:spacing w:after="0"/>
              <w:rPr>
                <w:sz w:val="8"/>
                <w:szCs w:val="8"/>
                <w:color w:val="auto"/>
              </w:rPr>
            </w:pPr>
          </w:p>
        </w:tc>
        <w:tc>
          <w:tcPr>
            <w:tcW w:w="220" w:type="dxa"/>
            <w:vAlign w:val="bottom"/>
            <w:shd w:val="clear" w:color="auto" w:fill="F0FFFF"/>
          </w:tcPr>
          <w:p>
            <w:pPr>
              <w:spacing w:after="0"/>
              <w:rPr>
                <w:sz w:val="8"/>
                <w:szCs w:val="8"/>
                <w:color w:val="auto"/>
              </w:rPr>
            </w:pPr>
          </w:p>
        </w:tc>
        <w:tc>
          <w:tcPr>
            <w:tcW w:w="1220" w:type="dxa"/>
            <w:vAlign w:val="bottom"/>
            <w:gridSpan w:val="2"/>
            <w:shd w:val="clear" w:color="auto" w:fill="F0FFFF"/>
          </w:tcPr>
          <w:p>
            <w:pPr>
              <w:jc w:val="right"/>
              <w:ind w:right="110"/>
              <w:spacing w:after="0" w:line="81" w:lineRule="exact"/>
              <w:rPr>
                <w:sz w:val="20"/>
                <w:szCs w:val="20"/>
                <w:color w:val="auto"/>
              </w:rPr>
            </w:pPr>
            <w:r>
              <w:rPr>
                <w:rFonts w:ascii="Arial" w:cs="Arial" w:eastAsia="Arial" w:hAnsi="Arial"/>
                <w:sz w:val="9"/>
                <w:szCs w:val="9"/>
                <w:color w:val="auto"/>
              </w:rPr>
              <w:t>3.29</w:t>
            </w:r>
          </w:p>
        </w:tc>
        <w:tc>
          <w:tcPr>
            <w:tcW w:w="6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8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860" w:type="dxa"/>
            <w:vAlign w:val="bottom"/>
            <w:shd w:val="clear" w:color="auto" w:fill="F0FFFF"/>
          </w:tcPr>
          <w:p>
            <w:pPr>
              <w:spacing w:after="0"/>
              <w:rPr>
                <w:sz w:val="8"/>
                <w:szCs w:val="8"/>
                <w:color w:val="auto"/>
              </w:rPr>
            </w:pPr>
          </w:p>
        </w:tc>
        <w:tc>
          <w:tcPr>
            <w:tcW w:w="220" w:type="dxa"/>
            <w:vAlign w:val="bottom"/>
            <w:shd w:val="clear" w:color="auto" w:fill="F0FFFF"/>
          </w:tcPr>
          <w:p>
            <w:pPr>
              <w:spacing w:after="0"/>
              <w:rPr>
                <w:sz w:val="8"/>
                <w:szCs w:val="8"/>
                <w:color w:val="auto"/>
              </w:rPr>
            </w:pPr>
          </w:p>
        </w:tc>
        <w:tc>
          <w:tcPr>
            <w:tcW w:w="1180" w:type="dxa"/>
            <w:vAlign w:val="bottom"/>
            <w:gridSpan w:val="2"/>
            <w:shd w:val="clear" w:color="auto" w:fill="F0FFFF"/>
          </w:tcPr>
          <w:p>
            <w:pPr>
              <w:jc w:val="right"/>
              <w:ind w:right="70"/>
              <w:spacing w:after="0" w:line="81" w:lineRule="exact"/>
              <w:rPr>
                <w:sz w:val="20"/>
                <w:szCs w:val="20"/>
                <w:color w:val="auto"/>
              </w:rPr>
            </w:pPr>
            <w:r>
              <w:rPr>
                <w:rFonts w:ascii="Arial" w:cs="Arial" w:eastAsia="Arial" w:hAnsi="Arial"/>
                <w:sz w:val="9"/>
                <w:szCs w:val="9"/>
                <w:color w:val="auto"/>
              </w:rPr>
              <w:t>3.25</w:t>
            </w: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194"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right="60" w:hanging="332"/>
        <w:spacing w:after="0" w:line="187"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$12.7 million in 2015 and pretax unrealized gains of $1.59 million in 2014 are included in other assets for purposes of this presentation.</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right="5200"/>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91"/>
              </w:rPr>
              <w:t>Three Months Ended September 30, 2015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9"/>
          </w:tcPr>
          <w:p>
            <w:pPr>
              <w:jc w:val="center"/>
              <w:ind w:right="160"/>
              <w:spacing w:after="0"/>
              <w:rPr>
                <w:sz w:val="20"/>
                <w:szCs w:val="20"/>
                <w:color w:val="auto"/>
              </w:rPr>
            </w:pPr>
            <w:r>
              <w:rPr>
                <w:rFonts w:ascii="Arial" w:cs="Arial" w:eastAsia="Arial" w:hAnsi="Arial"/>
                <w:sz w:val="18"/>
                <w:szCs w:val="18"/>
                <w:b w:val="1"/>
                <w:bCs w:val="1"/>
                <w:color w:val="auto"/>
                <w:w w:val="90"/>
              </w:rPr>
              <w:t>Nine Months Ended September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2014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5"/>
          </w:tcPr>
          <w:p>
            <w:pPr>
              <w:spacing w:after="0"/>
              <w:rPr>
                <w:sz w:val="20"/>
                <w:szCs w:val="20"/>
                <w:color w:val="auto"/>
              </w:rPr>
            </w:pPr>
            <w:r>
              <w:rPr>
                <w:rFonts w:ascii="Arial" w:cs="Arial" w:eastAsia="Arial" w:hAnsi="Arial"/>
                <w:sz w:val="18"/>
                <w:szCs w:val="18"/>
                <w:b w:val="1"/>
                <w:bCs w:val="1"/>
                <w:color w:val="auto"/>
                <w:w w:val="90"/>
              </w:rPr>
              <w:t>Compared to 2014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7"/>
          </w:tcPr>
          <w:p>
            <w:pPr>
              <w:jc w:val="center"/>
              <w:ind w:left="590"/>
              <w:spacing w:after="0"/>
              <w:rPr>
                <w:sz w:val="20"/>
                <w:szCs w:val="20"/>
                <w:color w:val="auto"/>
              </w:rPr>
            </w:pPr>
            <w:r>
              <w:rPr>
                <w:rFonts w:ascii="Arial" w:cs="Arial" w:eastAsia="Arial" w:hAnsi="Arial"/>
                <w:sz w:val="18"/>
                <w:szCs w:val="18"/>
                <w:b w:val="1"/>
                <w:bCs w:val="1"/>
                <w:color w:val="auto"/>
                <w:w w:val="88"/>
              </w:rPr>
              <w:t>Increase (decrease)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Due to Changes in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8"/>
              </w:rPr>
              <w:t>Volume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Rate</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Interest-earning assets:</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Loans</w:t>
            </w:r>
          </w:p>
        </w:tc>
        <w:tc>
          <w:tcPr>
            <w:tcW w:w="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10,771</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(3,366)</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7,405</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21,653</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(7,605)</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Taxable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Tax-exempt securities</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1"/>
              </w:rPr>
              <w:t>Federal funds sold and other interest-earning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11,816</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(4,034</w:t>
            </w:r>
          </w:p>
        </w:tc>
        <w:tc>
          <w:tcPr>
            <w:tcW w:w="240" w:type="dxa"/>
            <w:vAlign w:val="bottom"/>
            <w:tcBorders>
              <w:top w:val="single" w:sz="8" w:color="F0FFFF"/>
              <w:bottom w:val="single" w:sz="8" w:color="F0FFFF"/>
            </w:tcBorders>
            <w:shd w:val="clear" w:color="auto" w:fill="F0FFFF"/>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7,782</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21,758</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200" w:type="dxa"/>
            <w:vAlign w:val="bottom"/>
            <w:tcBorders>
              <w:top w:val="single" w:sz="8" w:color="auto"/>
              <w:bottom w:val="single" w:sz="8" w:color="auto"/>
            </w:tcBorders>
            <w:shd w:val="clear" w:color="auto" w:fill="F0FFFF"/>
          </w:tcPr>
          <w:p>
            <w:pPr>
              <w:spacing w:after="0"/>
              <w:rPr>
                <w:sz w:val="19"/>
                <w:szCs w:val="19"/>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(7,211</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Interest-bearing liabilities:</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NOW accounts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Time deposits less than $100,000</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Brokered deposits</w:t>
            </w:r>
          </w:p>
        </w:tc>
        <w:tc>
          <w:tcPr>
            <w:tcW w:w="1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(1,053)</w:t>
            </w: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F0FFFF"/>
              <w:bottom w:val="single" w:sz="8" w:color="F0FFFF"/>
            </w:tcBorders>
          </w:tcPr>
          <w:p>
            <w:pPr>
              <w:ind w:left="180"/>
              <w:spacing w:after="0" w:line="203" w:lineRule="exact"/>
              <w:rPr>
                <w:sz w:val="20"/>
                <w:szCs w:val="20"/>
                <w:color w:val="auto"/>
              </w:rPr>
            </w:pPr>
            <w:r>
              <w:rPr>
                <w:rFonts w:ascii="Arial" w:cs="Arial" w:eastAsia="Arial" w:hAnsi="Arial"/>
                <w:sz w:val="18"/>
                <w:szCs w:val="18"/>
                <w:color w:val="auto"/>
              </w:rPr>
              <w:t>Total interest-bearing deposits</w:t>
            </w:r>
          </w:p>
        </w:tc>
        <w:tc>
          <w:tcPr>
            <w:tcW w:w="16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w:t>
            </w:r>
          </w:p>
        </w:tc>
        <w:tc>
          <w:tcPr>
            <w:tcW w:w="6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w:t>
            </w:r>
          </w:p>
        </w:tc>
        <w:tc>
          <w:tcPr>
            <w:tcW w:w="240" w:type="dxa"/>
            <w:vAlign w:val="bottom"/>
            <w:tcBorders>
              <w:top w:val="single" w:sz="8" w:color="F0FFFF"/>
              <w:bottom w:val="single" w:sz="8" w:color="F0FF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(805</w:t>
            </w:r>
          </w:p>
        </w:tc>
        <w:tc>
          <w:tcPr>
            <w:tcW w:w="14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w:t>
            </w:r>
          </w:p>
        </w:tc>
        <w:tc>
          <w:tcPr>
            <w:tcW w:w="1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(2,458</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(2,535</w:t>
            </w:r>
          </w:p>
        </w:tc>
        <w:tc>
          <w:tcPr>
            <w:tcW w:w="10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Federal funds purchased &amp; other borrowings</w:t>
            </w:r>
          </w:p>
        </w:tc>
        <w:tc>
          <w:tcPr>
            <w:tcW w:w="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89</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F0FFFF"/>
              <w:bottom w:val="single" w:sz="8" w:color="F0FFFF"/>
            </w:tcBorders>
          </w:tcPr>
          <w:p>
            <w:pPr>
              <w:ind w:left="160"/>
              <w:spacing w:after="0" w:line="203" w:lineRule="exact"/>
              <w:rPr>
                <w:sz w:val="20"/>
                <w:szCs w:val="20"/>
                <w:color w:val="auto"/>
              </w:rPr>
            </w:pPr>
            <w:r>
              <w:rPr>
                <w:rFonts w:ascii="Arial" w:cs="Arial" w:eastAsia="Arial" w:hAnsi="Arial"/>
                <w:sz w:val="18"/>
                <w:szCs w:val="18"/>
                <w:color w:val="auto"/>
              </w:rPr>
              <w:t>Total borrowed funds</w:t>
            </w:r>
          </w:p>
        </w:tc>
        <w:tc>
          <w:tcPr>
            <w:tcW w:w="16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598</w:t>
            </w:r>
          </w:p>
        </w:tc>
        <w:tc>
          <w:tcPr>
            <w:tcW w:w="6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(762</w:t>
            </w:r>
          </w:p>
        </w:tc>
        <w:tc>
          <w:tcPr>
            <w:tcW w:w="240" w:type="dxa"/>
            <w:vAlign w:val="bottom"/>
            <w:tcBorders>
              <w:top w:val="single" w:sz="8" w:color="F0FFFF"/>
              <w:bottom w:val="single" w:sz="8" w:color="F0FF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c>
          <w:tcPr>
            <w:tcW w:w="14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w:t>
            </w:r>
          </w:p>
        </w:tc>
        <w:tc>
          <w:tcPr>
            <w:tcW w:w="1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(1,360</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(1,484</w:t>
            </w:r>
          </w:p>
        </w:tc>
        <w:tc>
          <w:tcPr>
            <w:tcW w:w="10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771</w:t>
            </w:r>
          </w:p>
        </w:tc>
        <w:tc>
          <w:tcPr>
            <w:tcW w:w="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Borders>
              <w:bottom w:val="single" w:sz="8" w:color="F0FFFF"/>
            </w:tcBorders>
            <w:shd w:val="clear" w:color="auto" w:fill="F0FFFF"/>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(969</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(3,818</w:t>
            </w:r>
          </w:p>
        </w:tc>
        <w:tc>
          <w:tcPr>
            <w:tcW w:w="220" w:type="dxa"/>
            <w:vAlign w:val="bottom"/>
            <w:tcBorders>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F0FFFF"/>
          </w:tcPr>
          <w:p>
            <w:pPr>
              <w:ind w:left="480"/>
              <w:spacing w:after="0"/>
              <w:rPr>
                <w:sz w:val="20"/>
                <w:szCs w:val="20"/>
                <w:color w:val="auto"/>
              </w:rPr>
            </w:pPr>
            <w:r>
              <w:rPr>
                <w:rFonts w:ascii="Arial" w:cs="Arial" w:eastAsia="Arial" w:hAnsi="Arial"/>
                <w:sz w:val="18"/>
                <w:szCs w:val="18"/>
                <w:b w:val="1"/>
                <w:bCs w:val="1"/>
                <w:color w:val="auto"/>
              </w:rPr>
              <w:t>Increase in net interest revenue</w:t>
            </w:r>
          </w:p>
        </w:tc>
        <w:tc>
          <w:tcPr>
            <w:tcW w:w="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11,045</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(2,294)</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8,751</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21,959</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(3,393)</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900" w:type="dxa"/>
            <w:vAlign w:val="bottom"/>
            <w:tcBorders>
              <w:top w:val="single" w:sz="8" w:color="auto"/>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F0FFFF"/>
          </w:tcPr>
          <w:p>
            <w:pPr>
              <w:spacing w:after="0" w:line="20" w:lineRule="exact"/>
              <w:rPr>
                <w:sz w:val="1"/>
                <w:szCs w:val="1"/>
                <w:color w:val="auto"/>
              </w:rPr>
            </w:pPr>
          </w:p>
        </w:tc>
        <w:tc>
          <w:tcPr>
            <w:tcW w:w="88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F0FFFF"/>
          </w:tcPr>
          <w:p>
            <w:pPr>
              <w:spacing w:after="0" w:line="20" w:lineRule="exact"/>
              <w:rPr>
                <w:sz w:val="1"/>
                <w:szCs w:val="1"/>
                <w:color w:val="auto"/>
              </w:rPr>
            </w:pPr>
          </w:p>
        </w:tc>
        <w:tc>
          <w:tcPr>
            <w:tcW w:w="800" w:type="dxa"/>
            <w:vAlign w:val="bottom"/>
            <w:tcBorders>
              <w:top w:val="single" w:sz="8" w:color="auto"/>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Provision for Credit Losses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credit losses is based on management’s evaluation of probable incurred losses in the loan portfolio and corresponding analysis of the allowance for credit losses at quarter-end. The provision for credit losses was $700,000 and $3.40 million, respectively, for the third quarter and first nine months of 2015, compared to $2.00 million and $6.70 million, respectively, for the same periods in 2014. The amount of provision recorded in each period was the amount required such that the total allowance for loan losses reflected the appropriate balance, in the estimation of management, sufficient to cover incurred losses in the loan portfolio. The third quarter and first nine months of 2015 loan loss provisions were lower than those for the comparable periods in 2014 due to overall improvement in portfolio credit quality. For the three and nine months ended September 30, 2015, net loan charge-offs as an annualized percentage of average outstanding loans were .10% and .13%, respectively, compared to .28% and .35%, respectively, for the same periods in 2014.</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section of this report on page 56.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for the three and nine months ended September 30, 2015 was $18.3 million and $51.2 million, respectively, an increase of $3.89 million, or 27%, compared to the third quarter of 2014, and an increase of $10.5 million, or 26%, from the year-to-date period of 2014. The following table presents the components of fee revenue for the third quarters and first nine months of 2015 and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Nine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0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8"/>
                <w:szCs w:val="18"/>
                <w:color w:val="auto"/>
              </w:rPr>
              <w:t>Overdraft fees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3,303</w:t>
            </w:r>
          </w:p>
        </w:tc>
        <w:tc>
          <w:tcPr>
            <w:tcW w:w="14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3,071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232</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8,631</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8,935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(304)</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3,811</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12,222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8"/>
                <w:szCs w:val="18"/>
                <w:color w:val="auto"/>
                <w:w w:val="95"/>
              </w:rPr>
              <w:t>Other service charges and fees</w:t>
            </w: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1,668</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348</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4,472</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4,374</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98</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1,133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25,325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24,627</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8"/>
                <w:szCs w:val="18"/>
                <w:color w:val="auto"/>
                <w:w w:val="95"/>
              </w:rPr>
              <w:t>Mortgage loan and related fees</w:t>
            </w: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3,840</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1,662</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10,302</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5,409</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4,893</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Brokerage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3,983</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Gains on sales of government</w:t>
            </w:r>
          </w:p>
        </w:tc>
        <w:tc>
          <w:tcPr>
            <w:tcW w:w="1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F0FFFF"/>
          </w:tcPr>
          <w:p>
            <w:pPr>
              <w:ind w:left="120"/>
              <w:spacing w:after="0"/>
              <w:rPr>
                <w:sz w:val="20"/>
                <w:szCs w:val="20"/>
                <w:color w:val="auto"/>
              </w:rPr>
            </w:pPr>
            <w:r>
              <w:rPr>
                <w:rFonts w:ascii="Arial" w:cs="Arial" w:eastAsia="Arial" w:hAnsi="Arial"/>
                <w:sz w:val="18"/>
                <w:szCs w:val="18"/>
                <w:color w:val="auto"/>
              </w:rPr>
              <w:t>guaranteed loans</w:t>
            </w:r>
          </w:p>
        </w:tc>
        <w:tc>
          <w:tcPr>
            <w:tcW w:w="160" w:type="dxa"/>
            <w:vAlign w:val="bottom"/>
            <w:shd w:val="clear" w:color="auto" w:fill="F0FFFF"/>
          </w:tcPr>
          <w:p>
            <w:pPr>
              <w:spacing w:after="0"/>
              <w:rPr>
                <w:sz w:val="20"/>
                <w:szCs w:val="20"/>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1,646</w:t>
            </w: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701</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4,281</w:t>
            </w: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2,592</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Customer derivatives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8"/>
                <w:szCs w:val="18"/>
                <w:color w:val="auto"/>
              </w:rPr>
              <w:t>Securities gains, net</w:t>
            </w: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314</w:t>
            </w: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1,877</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(2,786)</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Losses from prepayment of</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3,152</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1,789</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1,688</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101</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5,457</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949</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Total fee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3,885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51,245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40,731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10,514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Overdraft fees of $3.3 million for the third quarter of 2015 were up $232,000, or 8%, from the third quarter of 2014. For the first nine months of 2015, overdraft fees of $8.63 million were down $304,000, or 3%, from the same period in 2014. Despite a slight increase in third quarter 2015 mostly due to the acquisitions, overdraft fees declined year over year as customer utilization of our courtesy overdraft services has decreased. ATM and debit card fees of $4.36 million in third quarter of 2015 and $12.2 million in the first nine months of 2015 increased from the comparable periods in 2014 due to growth in transaction volume.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Mortgage loans and related fees for the third quarter and first nine months of 2015 were up $1.66 million, or 76%, and $4.89 million, or 90%, respectively, from the same periods in 2014. The increase reflects United’s focus on growing the mortgage business by recruiting new mortgage lenders in key metropolitan markets and an increase in refinancing activity. In the third quarter of 2015, United closed 711 loans totaling $141 million compared with 492 loans totaling $84.2 million in the third quarter of 2014. Year-to-date mortgage production in 2015 amounted to 1,849 loans totaling $357 million, compared to 1,202 loans totaling $199 million for the same period in 2014. United had $80.1 million and $191 million, respectively, in home purchase mortgage originations in the third quarter and first nine months of 2015, compared with $53.0 million and $129 million, respectively, for the same periods a year ago. The volume of new purchase money mortgages in the third quarter was 62% compared with 63% in the third quarter of 2014.</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Brokerage fees were approximately equal to the third quarter of 2014 and increased $352,000, or 10%, compared to the first nine months of 2014. The year-to-date increase reflects United’s continuing efforts to grow this line of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third quarter and first nine months of 2015, United realized $1.65 million and $4.28 million, respectively, in gains from the sales of the guaranteed portion of SBA and USDA loans. United has been actively growing its government guaranteed lending business with the hiring of new leadership and lenders who specialize in government guaranteed loan programs such as SBA and USDA loans. United’s SBA/USDA lending strategy includes selling a portion of the loan production each quarter. United began selling the guaranteed portion of loans in the second quarter of 2014. United retains the servicing rights on the sold loans and earns a fee for servicing the loans. In the third quarter and first nine months of 2015, United sold the guaranteed portion of loans in the amount of $17.8 million and $45.6 million, respectively, at prices ranging from 105% to 119% of par.</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derivative fees were up $239,000 from the third quarter of 2014 and $664,000 from the first nine months of 2014 due to an increase in customer demand for this product as commercial customers sought to lock in low fixed rates on their loans.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realized net securities gains of $325,000 in the third quarter of 2015 compared with securities gains of $11,000 in the third quarter of 2014. For the first nine months of 2015 and 2014, net securities gains totaled $1.88 million and $4.66 million, respectively. In third quarter 2015, United incurred $256,000 in debt prepayment charges due to the redemption of $33.8 million in trust preferred securities. The securities had an average rate of approximately 8.5%. In the first nine months of 2015, United incurred $1.29 million in charges from the third quarter trust preferred redemption and the first quarter prepayment of $6 million in structured repurchase agreements that paid interest at a rate of 4% and $15 million in trust preferred securities that paid interest at an average rate in excess of 11%. The securities gains and prepayment charges in 2015 were mostly offsetting and were part of the same overall balance sheet management activities that were intended to lower the overall cost of wholesale borrowings going forward.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Other fee revenue of $1.79 million for the third quarter of 2015 was up $101,000, or 6%, from the third quarter of 2014, mostly due to gains from sales of closed branch facilities. For the first nine months of 2015, other fee revenue of $5.46 million was up $949,000, or 21%, from the same period in 2014, primarily due to volume driven increases in income from bank owned life insurance policies and an incentive payment from United’s merchant services vendor, combined with the same factors mentioned for the quarterly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and nine months ended September 30, 2015 and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0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w w:val="91"/>
              </w:rPr>
              <w:t>Salaries and employee benefits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29,342</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25,666</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3,676</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83,749</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74,349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9,400</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Communications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3,094</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10,538</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9,370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1,168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rPr>
              <w:t>Occupancy</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4,013</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3,425</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588</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10,706</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10,065</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641</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Advertising and public</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relations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2,689</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w w:val="95"/>
              </w:rPr>
              <w:t>Postage, printing and supplies</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173</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2,980</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524</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6,844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5,873</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8"/>
              </w:rPr>
              <w:t>FDIC assessments and other</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regulatory charges</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3,643</w:t>
            </w: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(266)</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rPr>
              <w:t>Merger-related changes</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5,744</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8,917</w:t>
            </w: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8,917</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14,281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3,077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54,269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41,364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12,905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40" w:type="dxa"/>
            <w:vAlign w:val="bottom"/>
            <w:tcBorders>
              <w:top w:val="single" w:sz="8" w:color="F0FFFF"/>
              <w:bottom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145,750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120,946</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24,804</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F0FFFF"/>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for the third quarter of 2015 totaled $54.3 million, up $12.9 million, or 31%, from the third quarter of 2014. The increase mostly reflects the inclusion of the operating expenses of the two acquired banks from their respective acquisition dates, higher salaries and employee benefits expense resulting from investing in specialized lending areas and other strategic hiring and merger-related charges related to the acquisition of Palmetto. For the nine months ended September 30, 2015, operating expenses totaled $146 million, an increase of $24.8 million, or 21%, from the same period in 2014, primarily due to the inclusion of the operating expenses of the two acquired banks from their respective acquisition dates, higher salaries and employee benefits expense resulting from investing in specialized lending areas and other strategic hiring, merger-related charges, charges to terminate and settle the loss sharing agreements with the FDIC related to United’s 2009 acquisition of Southern Community Bank and a loss on a fraudulent home equity line of credit transaction.</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Salaries and employee benefits for the third quarter of 2015 were $29.3 million, up $3.68 million, or 14%, from the third quarter of 2014. The increase was due to a number of factors including investments in additional staff and new teams to expand specialized lending and new talent in other key areas, additional staff resulting from the Palmetto and MoneyTree acquisitions, higher incentives due to increased loan production and obtaining higher earnings performance targets. For the first nine months of 2015, salaries and employee benefits of $83.7 million were up $9.4 million, or 13%, from the first nine months of 2014. Headcount totaled 1,927 at September 30, 2015, up 412 from 1,515 at September 30, 2014, with 336 coming from the Palmetto and MoneyTree acquisitions.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Professional fees for the third quarter of 2015 of $2.67 million were up $394,000, or 17%, from the third quarter of 2014. For the nine months ended September 30, 2015, professional fees of $6.84 million were up $971,000, or 17%. The increase was due primarily to higher legal and consulting fees relating to projects that are in process.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Merger-related charges in third quarter 2015 of $5.74 million mostly related to the Palmetto acquisition and consisted primarily of severance, conversion costs, and legal and professional fees. Merger-related charges for the first nine months of 2015 also included costs related to the MoneyTree acquisition.</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expense of $4.83 million for the third quarter of 2015 increased $1.14 million, or 31%, from the third quarter of 2014. Year-to-date, other expense of $14.3 million increased $3.08 million, or 27%, from the first nine months of 2014. The increase from the third quarter of 2014 is due to higher lending support costs due to increased lending activity, higher ATM and internet banking costs due to higher volume, and higher servicing costs on United’s indirect auto loan portfolio due to growth in that portfolio. The increase from the first nine months of 2014 is mostly due to a $690,000 charge to terminate and settle the loss sharing agreements with the FDIC related to United’s 2009 acquisition of Southern Community Bank and a $420,000 loss on a fraudulent home equity line of credit transaction in addition to the reasons given for the third quarter increase. Other expense in the first nine months of 2015 was also elevated due to higher travel and entertainment costs associated with the increase in lending activity.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income tax provision for the third quarter and first nine months of 2015 was $10.9 million and $32.4 million, respectively, as compared with $9.99 million and $28.7 million, respectively, for the same periods in 2014. The income tax provision represents an effective tax rate of 37.8% for each period of 2015 and 36.2% and 36.7%, respectively, for each period of 2014. At September 30, 2015, December 31, 2014 and September 30, 2014, United maintained a valuation allowance on its net deferred tax asset of $4.58 million, $4.12 million and $4.45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September 30, 2015. Based on the assessment of all the positive and negative evidence, management concluded that it is more likely than not that nearly all of its net deferred tax asset will be realized based upon future taxable income. The remaining valuation allowance of $4.58 million is related to specific state income tax credits that have short carryforward periods and are expected to expire unused.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allowance could fluctuate in future periods based on the assessment of the positive and negative evidence. Management's conclusion at September 30, 2015 that it was more likely than not that United’s net deferred tax asset of $197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2012. Although United is unable to determine the ultimate outcome of future examinations, United believes that the liability recorded for uncertain tax positions is appropriate.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September 30, 2015, December 31, 2014 and September 30, 2014 were $9.41 billion, $7.57 billion and $7.53 billion, respectively. Average total assets for the third quarter of 2015 were $8.63 billion, up from $7.37 billion in the third quarter of 2014.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32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7 - Loans Outstanding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740" w:type="dxa"/>
            <w:vAlign w:val="bottom"/>
            <w:tcBorders>
              <w:bottom w:val="single" w:sz="8" w:color="F0FFFF"/>
            </w:tcBorders>
          </w:tcPr>
          <w:p>
            <w:pPr>
              <w:spacing w:after="0"/>
              <w:rPr>
                <w:sz w:val="20"/>
                <w:szCs w:val="20"/>
                <w:color w:val="auto"/>
              </w:rPr>
            </w:pPr>
          </w:p>
        </w:tc>
        <w:tc>
          <w:tcPr>
            <w:tcW w:w="8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Loan Type</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1,479,246</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1,163,480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1,153,933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817,833</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598,537</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604,727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890,233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710,256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649,853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8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318,345</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196,030</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180,794</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ind w:left="320"/>
              <w:spacing w:after="0" w:line="203" w:lineRule="exact"/>
              <w:rPr>
                <w:sz w:val="20"/>
                <w:szCs w:val="20"/>
                <w:color w:val="auto"/>
              </w:rPr>
            </w:pPr>
            <w:r>
              <w:rPr>
                <w:rFonts w:ascii="Arial" w:cs="Arial" w:eastAsia="Arial" w:hAnsi="Arial"/>
                <w:sz w:val="18"/>
                <w:szCs w:val="18"/>
                <w:color w:val="auto"/>
              </w:rPr>
              <w:t>Total commercial</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3,505,657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2,668,303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2,589,307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1,061,610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865,789</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865,568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584,934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465,872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334,084</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298,627</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307,178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Consumer installment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116,603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Indirect auto</w:t>
            </w:r>
          </w:p>
        </w:tc>
        <w:tc>
          <w:tcPr>
            <w:tcW w:w="8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420,697</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268,629</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242,669</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8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6,023,585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4,672,119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4,568,886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7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4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Commercial construction</w:t>
            </w:r>
          </w:p>
        </w:tc>
        <w:tc>
          <w:tcPr>
            <w:tcW w:w="8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4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Indirect auto</w:t>
            </w:r>
          </w:p>
        </w:tc>
        <w:tc>
          <w:tcPr>
            <w:tcW w:w="8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474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4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Geographic Location</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North Georgia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1,129,474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1,163,479</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1,168,307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1,266,224</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1,243,535</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1,246,240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North Carolina</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545,895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552,527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553,028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506,394</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455,709</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443,803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Gainesville MSA</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252,089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257,449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253,878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510,511</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280,312</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280,534</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South Carolina</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783,552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29,786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8"/>
                <w:szCs w:val="18"/>
                <w:color w:val="auto"/>
              </w:rPr>
              <w:t>Specialized Lending</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608,749</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420,693</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359,662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Other (Indirect Auto)</w:t>
            </w:r>
          </w:p>
        </w:tc>
        <w:tc>
          <w:tcPr>
            <w:tcW w:w="8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420,697</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268,629</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242,669</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47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8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6,023,585</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4,568,886</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More than 76% of the loans are secured by real estate. In 2014, loan growth began to return to pre-crisis levels reflecting United’s specialized lending initiatives which resulted in increases in commercial lending. Consumer installment loans also increased due to purchases of indirect auto loans. Total loans averaged $5.46 billion in the third quarter of 2015, compared with $4.45 billion in the third quarter of 2014, an increase of 23%. At September 30, 2015, total loans were $6.02 billion, an increase of $1.45 billion, or 32%, from September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7"/>
          <w:szCs w:val="17"/>
          <w:i w:val="1"/>
          <w:iCs w:val="1"/>
          <w:color w:val="auto"/>
        </w:rPr>
        <w:t>Loan Review and Nonperforming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w:t>
      </w:r>
      <w:r>
        <w:rPr>
          <w:rFonts w:ascii="Arial" w:cs="Arial" w:eastAsia="Arial" w:hAnsi="Arial"/>
          <w:sz w:val="17"/>
          <w:szCs w:val="17"/>
          <w:color w:val="auto"/>
        </w:rPr>
        <w:t>in United’s Annual Report on Form 10-K for the year ended December 31, 2014.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home equity lines generally require the payment of interest only for a set period after origination. After this initial period, the outstanding balance begins amortizing and requires the payment of both principal and interest. At September 30, 2015, December 31, 2014 and September 30, 2014, the funded portion of home equity lines totaled $585 million, $466 million and $459 million, respectively. Approximately 3% of the home equity lines at September 30, 2015 were amortizing. Of the $585 million in balances outstanding at September 30, 2015, $402 million, or 69%, were secured by first liens. At September 30, 2015, 58% of the total available home equity lines were drawn upon.</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Borders>
              <w:bottom w:val="single" w:sz="8" w:color="F0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42,409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39,618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43,887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46,401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29,856</w:t>
            </w:r>
          </w:p>
        </w:tc>
        <w:tc>
          <w:tcPr>
            <w:tcW w:w="2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18,775</w:t>
            </w: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19,881</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20,560</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22,215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7,863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2,877</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3,255</w:t>
            </w:r>
          </w:p>
        </w:tc>
        <w:tc>
          <w:tcPr>
            <w:tcW w:w="2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3,566</w:t>
            </w:r>
          </w:p>
        </w:tc>
        <w:tc>
          <w:tcPr>
            <w:tcW w:w="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3,847</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F0FFFF"/>
            </w:tcBorders>
          </w:tcPr>
          <w:p>
            <w:pPr>
              <w:ind w:left="340"/>
              <w:spacing w:after="0" w:line="203" w:lineRule="exact"/>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81,342</w:t>
            </w:r>
          </w:p>
        </w:tc>
        <w:tc>
          <w:tcPr>
            <w:tcW w:w="24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68,042</w:t>
            </w:r>
          </w:p>
        </w:tc>
        <w:tc>
          <w:tcPr>
            <w:tcW w:w="2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74,000</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78,390</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83,417</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35,849</w:t>
            </w:r>
          </w:p>
        </w:tc>
        <w:tc>
          <w:tcPr>
            <w:tcW w:w="2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30,579</w:t>
            </w: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30,382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31,831</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42,981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Home equity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10,180</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9,686</w:t>
            </w: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10,920</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11,755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Consumer installment</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574</w:t>
            </w:r>
          </w:p>
        </w:tc>
        <w:tc>
          <w:tcPr>
            <w:tcW w:w="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136,038</w:t>
            </w:r>
          </w:p>
        </w:tc>
        <w:tc>
          <w:tcPr>
            <w:tcW w:w="24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115,701</w:t>
            </w:r>
          </w:p>
        </w:tc>
        <w:tc>
          <w:tcPr>
            <w:tcW w:w="26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121,717</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128,393</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148,972</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North Georgia</w:t>
            </w: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50,695</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51,938</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52,652</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55,821</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66,780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Atlanta MSA</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28,390</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31,681</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31,884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31,201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North Carolina</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13,914</w:t>
            </w:r>
          </w:p>
        </w:tc>
        <w:tc>
          <w:tcPr>
            <w:tcW w:w="2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15,514</w:t>
            </w: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13,871</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16,479</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18,465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Coastal Georgia</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15,642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Gainesville MSA</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1,109</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East Tennessee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5,933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South Carolina</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25,873</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Specialized lending</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574</w:t>
            </w:r>
          </w:p>
        </w:tc>
        <w:tc>
          <w:tcPr>
            <w:tcW w:w="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136,038</w:t>
            </w:r>
          </w:p>
        </w:tc>
        <w:tc>
          <w:tcPr>
            <w:tcW w:w="24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115,701</w:t>
            </w:r>
          </w:p>
        </w:tc>
        <w:tc>
          <w:tcPr>
            <w:tcW w:w="26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121,717</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128,393</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148,972</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performing substandard loans totaled $136 million and increased $20.3 million from the prior quarter-end, and decreased $12.9 million from a year ago. Performing substandard loans have been on a downward trend as credit conditions continue to improve and problem credits are resolved. The increase in the third quarter of 2015 was due to the acquisition of Palmetto.</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Reviews of substandard performing and non-performing loans, troubled debt restructurings (“TDRs”), past due loans and larger credits are conducted on a regular basis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United’s internal loan review, United also uses external loan review to ensure the independence of the loan review process.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The following table presents a summary of the changes in the allowance for credit losses for the three and nine months ended September 30, 2015 and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3040" w:type="dxa"/>
            <w:vAlign w:val="bottom"/>
            <w:gridSpan w:val="7"/>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294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37"/>
        </w:trPr>
        <w:tc>
          <w:tcPr>
            <w:tcW w:w="5440" w:type="dxa"/>
            <w:vAlign w:val="bottom"/>
            <w:tcBorders>
              <w:bottom w:val="single" w:sz="8" w:color="F0FF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F0FFFF"/>
            </w:tcBorders>
          </w:tcPr>
          <w:p>
            <w:pPr>
              <w:spacing w:after="0"/>
              <w:rPr>
                <w:sz w:val="20"/>
                <w:szCs w:val="20"/>
                <w:color w:val="auto"/>
              </w:rPr>
            </w:pPr>
          </w:p>
        </w:tc>
        <w:tc>
          <w:tcPr>
            <w:tcW w:w="60" w:type="dxa"/>
            <w:vAlign w:val="bottom"/>
            <w:tcBorders>
              <w:top w:val="single" w:sz="8" w:color="auto"/>
              <w:bottom w:val="single" w:sz="8" w:color="F0FF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F0FF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bottom w:val="single" w:sz="8" w:color="F0FF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F0FFFF"/>
            </w:tcBorders>
          </w:tcPr>
          <w:p>
            <w:pPr>
              <w:spacing w:after="0"/>
              <w:rPr>
                <w:sz w:val="20"/>
                <w:szCs w:val="20"/>
                <w:color w:val="auto"/>
              </w:rPr>
            </w:pPr>
          </w:p>
        </w:tc>
      </w:tr>
      <w:tr>
        <w:trPr>
          <w:trHeight w:val="216"/>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Allowance for loan losses at beginning of period</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70,129</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73,248</w:t>
            </w: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71,619</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180" w:type="dxa"/>
            <w:vAlign w:val="bottom"/>
            <w:shd w:val="clear" w:color="auto" w:fill="F0FF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Charge-offs: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463</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1,194</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2,116</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Income producing commercial real estate</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1,435</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508</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1,139</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2,005</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Residential mortgage</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848</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1,357</w:t>
            </w: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2,535</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5,738</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Home equity lines of credit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834</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2,032</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Residential construction</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1,689</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3,004</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1,580</w:t>
            </w:r>
          </w:p>
        </w:tc>
      </w:tr>
      <w:tr>
        <w:trPr>
          <w:trHeight w:val="250"/>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Indirect auto</w:t>
            </w: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344</w:t>
            </w:r>
          </w:p>
        </w:tc>
      </w:tr>
      <w:tr>
        <w:trPr>
          <w:trHeight w:val="210"/>
        </w:trPr>
        <w:tc>
          <w:tcPr>
            <w:tcW w:w="5440" w:type="dxa"/>
            <w:vAlign w:val="bottom"/>
            <w:tcBorders>
              <w:top w:val="single" w:sz="8" w:color="F0FFFF"/>
              <w:bottom w:val="single" w:sz="8" w:color="F0FFFF"/>
            </w:tcBorders>
          </w:tcPr>
          <w:p>
            <w:pPr>
              <w:ind w:left="340"/>
              <w:spacing w:after="0" w:line="203" w:lineRule="exact"/>
              <w:rPr>
                <w:sz w:val="20"/>
                <w:szCs w:val="20"/>
                <w:color w:val="auto"/>
              </w:rPr>
            </w:pPr>
            <w:r>
              <w:rPr>
                <w:rFonts w:ascii="Arial" w:cs="Arial" w:eastAsia="Arial" w:hAnsi="Arial"/>
                <w:sz w:val="18"/>
                <w:szCs w:val="18"/>
                <w:color w:val="auto"/>
              </w:rPr>
              <w:t>Total loans charged-off</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3,159</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4,706</w:t>
            </w:r>
          </w:p>
        </w:tc>
        <w:tc>
          <w:tcPr>
            <w:tcW w:w="26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9,692</w:t>
            </w:r>
          </w:p>
        </w:tc>
        <w:tc>
          <w:tcPr>
            <w:tcW w:w="26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18,490</w:t>
            </w:r>
          </w:p>
        </w:tc>
        <w:tc>
          <w:tcPr>
            <w:tcW w:w="180" w:type="dxa"/>
            <w:vAlign w:val="bottom"/>
            <w:tcBorders>
              <w:top w:val="single" w:sz="8" w:color="F0FFFF"/>
              <w:bottom w:val="single" w:sz="8" w:color="F0FFFF"/>
            </w:tcBorders>
          </w:tcPr>
          <w:p>
            <w:pPr>
              <w:spacing w:after="0"/>
              <w:rPr>
                <w:sz w:val="18"/>
                <w:szCs w:val="18"/>
                <w:color w:val="auto"/>
              </w:rPr>
            </w:pPr>
          </w:p>
        </w:tc>
      </w:tr>
      <w:tr>
        <w:trPr>
          <w:trHeight w:val="216"/>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Recoveries: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2,929</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Income producing commercial real estate</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494</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691</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1,263</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Commercial construction</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899</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597</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Home equity lines of credit</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218</w:t>
            </w: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645</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Consumer installment</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974</w:t>
            </w: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r>
      <w:tr>
        <w:trPr>
          <w:trHeight w:val="236"/>
        </w:trPr>
        <w:tc>
          <w:tcPr>
            <w:tcW w:w="5440" w:type="dxa"/>
            <w:vAlign w:val="bottom"/>
            <w:tcBorders>
              <w:top w:val="single" w:sz="8" w:color="F0FFFF"/>
              <w:bottom w:val="single" w:sz="8" w:color="F0FFFF"/>
            </w:tcBorders>
            <w:shd w:val="clear" w:color="auto" w:fill="F0FFFF"/>
          </w:tcPr>
          <w:p>
            <w:pPr>
              <w:ind w:left="340"/>
              <w:spacing w:after="0"/>
              <w:rPr>
                <w:sz w:val="20"/>
                <w:szCs w:val="20"/>
                <w:color w:val="auto"/>
              </w:rPr>
            </w:pPr>
            <w:r>
              <w:rPr>
                <w:rFonts w:ascii="Arial" w:cs="Arial" w:eastAsia="Arial" w:hAnsi="Arial"/>
                <w:sz w:val="18"/>
                <w:szCs w:val="18"/>
                <w:color w:val="auto"/>
              </w:rPr>
              <w:t>Total recoveries</w:t>
            </w: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1,551</w:t>
            </w:r>
          </w:p>
        </w:tc>
        <w:tc>
          <w:tcPr>
            <w:tcW w:w="26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4,735</w:t>
            </w:r>
          </w:p>
        </w:tc>
        <w:tc>
          <w:tcPr>
            <w:tcW w:w="2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10"/>
        </w:trPr>
        <w:tc>
          <w:tcPr>
            <w:tcW w:w="5440" w:type="dxa"/>
            <w:vAlign w:val="bottom"/>
            <w:tcBorders>
              <w:bottom w:val="single" w:sz="8" w:color="F0FFFF"/>
            </w:tcBorders>
          </w:tcPr>
          <w:p>
            <w:pPr>
              <w:ind w:left="340"/>
              <w:spacing w:after="0" w:line="203" w:lineRule="exact"/>
              <w:rPr>
                <w:sz w:val="20"/>
                <w:szCs w:val="20"/>
                <w:color w:val="auto"/>
              </w:rPr>
            </w:pPr>
            <w:r>
              <w:rPr>
                <w:rFonts w:ascii="Arial" w:cs="Arial" w:eastAsia="Arial" w:hAnsi="Arial"/>
                <w:sz w:val="18"/>
                <w:szCs w:val="18"/>
                <w:color w:val="auto"/>
              </w:rPr>
              <w:t>Net charge-offs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1,417</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3,155</w:t>
            </w:r>
          </w:p>
        </w:tc>
        <w:tc>
          <w:tcPr>
            <w:tcW w:w="26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4,957</w:t>
            </w:r>
          </w:p>
        </w:tc>
        <w:tc>
          <w:tcPr>
            <w:tcW w:w="260" w:type="dxa"/>
            <w:vAlign w:val="bottom"/>
            <w:tcBorders>
              <w:bottom w:val="single" w:sz="8" w:color="F0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11,369</w:t>
            </w:r>
          </w:p>
        </w:tc>
        <w:tc>
          <w:tcPr>
            <w:tcW w:w="180" w:type="dxa"/>
            <w:vAlign w:val="bottom"/>
            <w:tcBorders>
              <w:bottom w:val="single" w:sz="8" w:color="F0FFFF"/>
            </w:tcBorders>
          </w:tcPr>
          <w:p>
            <w:pPr>
              <w:spacing w:after="0"/>
              <w:rPr>
                <w:sz w:val="18"/>
                <w:szCs w:val="18"/>
                <w:color w:val="auto"/>
              </w:rPr>
            </w:pPr>
          </w:p>
        </w:tc>
      </w:tr>
      <w:tr>
        <w:trPr>
          <w:trHeight w:val="236"/>
        </w:trPr>
        <w:tc>
          <w:tcPr>
            <w:tcW w:w="54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Provision for loan losses</w:t>
            </w:r>
          </w:p>
        </w:tc>
        <w:tc>
          <w:tcPr>
            <w:tcW w:w="260" w:type="dxa"/>
            <w:vAlign w:val="bottom"/>
            <w:tcBorders>
              <w:bottom w:val="single" w:sz="8" w:color="auto"/>
            </w:tcBorders>
            <w:shd w:val="clear" w:color="auto" w:fill="F0FFFF"/>
          </w:tcPr>
          <w:p>
            <w:pPr>
              <w:spacing w:after="0"/>
              <w:rPr>
                <w:sz w:val="20"/>
                <w:szCs w:val="20"/>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1,835</w:t>
            </w:r>
          </w:p>
        </w:tc>
        <w:tc>
          <w:tcPr>
            <w:tcW w:w="26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6,535</w:t>
            </w:r>
          </w:p>
        </w:tc>
        <w:tc>
          <w:tcPr>
            <w:tcW w:w="180" w:type="dxa"/>
            <w:vAlign w:val="bottom"/>
            <w:tcBorders>
              <w:bottom w:val="single" w:sz="8" w:color="F0FFFF"/>
            </w:tcBorders>
            <w:shd w:val="clear" w:color="auto" w:fill="F0FFFF"/>
          </w:tcPr>
          <w:p>
            <w:pPr>
              <w:spacing w:after="0"/>
              <w:rPr>
                <w:sz w:val="20"/>
                <w:szCs w:val="20"/>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71,928</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69,062</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71,928</w:t>
            </w:r>
          </w:p>
        </w:tc>
        <w:tc>
          <w:tcPr>
            <w:tcW w:w="180" w:type="dxa"/>
            <w:vAlign w:val="bottom"/>
          </w:tcPr>
          <w:p>
            <w:pPr>
              <w:spacing w:after="0"/>
              <w:rPr>
                <w:sz w:val="18"/>
                <w:szCs w:val="18"/>
                <w:color w:val="auto"/>
              </w:rPr>
            </w:pPr>
          </w:p>
        </w:tc>
      </w:tr>
      <w:tr>
        <w:trPr>
          <w:trHeight w:val="20"/>
        </w:trPr>
        <w:tc>
          <w:tcPr>
            <w:tcW w:w="544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r>
      <w:tr>
        <w:trPr>
          <w:trHeight w:val="210"/>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2,580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2,165</w:t>
            </w: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1,930</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F0FFFF"/>
          </w:tcPr>
          <w:p>
            <w:pPr>
              <w:spacing w:after="0"/>
              <w:rPr>
                <w:sz w:val="18"/>
                <w:szCs w:val="18"/>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Provision for losses on unfunded commitments</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r>
      <w:tr>
        <w:trPr>
          <w:trHeight w:val="236"/>
        </w:trPr>
        <w:tc>
          <w:tcPr>
            <w:tcW w:w="5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Allowance for unfunded commitments at end of period</w:t>
            </w: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2,930</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2,330</w:t>
            </w:r>
          </w:p>
        </w:tc>
        <w:tc>
          <w:tcPr>
            <w:tcW w:w="26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2,930</w:t>
            </w:r>
          </w:p>
        </w:tc>
        <w:tc>
          <w:tcPr>
            <w:tcW w:w="2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74,258</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71,992</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74,258</w:t>
            </w:r>
          </w:p>
        </w:tc>
        <w:tc>
          <w:tcPr>
            <w:tcW w:w="180" w:type="dxa"/>
            <w:vAlign w:val="bottom"/>
          </w:tcPr>
          <w:p>
            <w:pPr>
              <w:spacing w:after="0"/>
              <w:rPr>
                <w:sz w:val="18"/>
                <w:szCs w:val="18"/>
                <w:color w:val="auto"/>
              </w:rPr>
            </w:pPr>
          </w:p>
        </w:tc>
      </w:tr>
      <w:tr>
        <w:trPr>
          <w:trHeight w:val="20"/>
        </w:trPr>
        <w:tc>
          <w:tcPr>
            <w:tcW w:w="544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r>
      <w:tr>
        <w:trPr>
          <w:trHeight w:val="210"/>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Total loans: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At period-end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6,023,585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4,568,886</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6,022,394</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4,568,886</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Average</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5,457,158</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4,445,947</w:t>
            </w: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5,069,270</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4,380,327</w:t>
            </w:r>
            <w:r>
              <w:rPr>
                <w:rFonts w:ascii="Arial" w:cs="Arial" w:eastAsia="Arial" w:hAnsi="Arial"/>
                <w:sz w:val="15"/>
                <w:szCs w:val="15"/>
                <w:color w:val="auto"/>
              </w:rPr>
              <w:t>(1)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Allowance for loan losses as a percentage of period-end loans</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5440" w:type="dxa"/>
            <w:vAlign w:val="bottom"/>
            <w:shd w:val="clear" w:color="auto" w:fill="F0FFFF"/>
          </w:tcPr>
          <w:p>
            <w:pPr>
              <w:spacing w:after="0"/>
              <w:rPr>
                <w:sz w:val="20"/>
                <w:szCs w:val="20"/>
                <w:color w:val="auto"/>
              </w:rPr>
            </w:pPr>
            <w:r>
              <w:rPr>
                <w:rFonts w:ascii="Arial" w:cs="Arial" w:eastAsia="Arial" w:hAnsi="Arial"/>
                <w:sz w:val="18"/>
                <w:szCs w:val="18"/>
                <w:color w:val="auto"/>
              </w:rPr>
              <w:t>As a percentage of average loans (annualized):</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Net charge-offs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r>
      <w:tr>
        <w:trPr>
          <w:trHeight w:val="216"/>
        </w:trPr>
        <w:tc>
          <w:tcPr>
            <w:tcW w:w="54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.03</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.20</w:t>
            </w:r>
          </w:p>
        </w:tc>
      </w:tr>
    </w:tbl>
    <w:p>
      <w:pPr>
        <w:spacing w:after="0" w:line="17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Excludes loans covered by loss sharing agreements with the FDIC</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credit quality of the loan portfolio. A general improvement in economic conditions in United’s market also contributed to the lower level of provision and allowance for loan losses.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credit losses, which includes a portion related to unfunded commitments, totaled $72.0 million at September 30, 2015, compared with $73.5 million at December 31, 2014, and $74.3 million at September 30, 2014. At September 30, 2015, the allowance for loan losses was $69.1 million, or 1.15% of loans, compared with $71.6 million, or 1.53% of total loans, at December 31, 2014 and $71.9 million, or 1.57% of loans, at September 30, 2014. Excluding acquired loans, the allowance for loan losses as a percentage of loans at September 30, 2015 was 1.37%.</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t>In accordance with the accounting guidance for business combinations, there was no allowance for loan losses brought forward on loans acquired from Palmetto or MoneyTree, as credit deterioration was included in the determination of fair value at acquisition date. At September 30, 2015, United recorded no allowance for loan losses on loans acquired from Palmetto or FNB as there was no evidence of credit deterioration beyond that which was incorporated into the determination of fair value at acquisition date. At September 30, 2015, for acquired loans that had no evidence of credit deterioration at the time of acquisition, the remaining unaccreted fair value discount was $7.71 million.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believes that the allowance for credit losses at September 30, 2015 reflects the probable incurred losses in the loan portfolio and unfunded loan commitments. This assessment involves uncertainty and judgment; therefore, the adequacy of the allowance for credit losses cannot be determined with certainty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The table below summarizes nonperforming assets.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Table 10 - Nonperforming Assets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December 31,</w:t>
            </w:r>
          </w:p>
        </w:tc>
        <w:tc>
          <w:tcPr>
            <w:tcW w:w="6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Borders>
              <w:bottom w:val="single" w:sz="8" w:color="F0FFFF"/>
            </w:tcBorders>
          </w:tcPr>
          <w:p>
            <w:pPr>
              <w:spacing w:after="0"/>
              <w:rPr>
                <w:sz w:val="20"/>
                <w:szCs w:val="20"/>
                <w:color w:val="auto"/>
              </w:rPr>
            </w:pPr>
          </w:p>
        </w:tc>
        <w:tc>
          <w:tcPr>
            <w:tcW w:w="12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F0FFFF"/>
          </w:tcPr>
          <w:p>
            <w:pPr>
              <w:spacing w:after="0"/>
              <w:rPr>
                <w:sz w:val="20"/>
                <w:szCs w:val="20"/>
                <w:color w:val="auto"/>
              </w:rPr>
            </w:pPr>
            <w:r>
              <w:rPr>
                <w:rFonts w:ascii="Arial" w:cs="Arial" w:eastAsia="Arial" w:hAnsi="Arial"/>
                <w:sz w:val="18"/>
                <w:szCs w:val="18"/>
                <w:color w:val="auto"/>
              </w:rPr>
              <w:t>Nonperforming loans</w:t>
            </w:r>
          </w:p>
        </w:tc>
        <w:tc>
          <w:tcPr>
            <w:tcW w:w="12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20,064</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18,745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7,669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top w:val="single" w:sz="8" w:color="F0FFFF"/>
            </w:tcBorders>
            <w:shd w:val="clear" w:color="auto" w:fill="F0FFFF"/>
          </w:tcPr>
          <w:p>
            <w:pPr>
              <w:spacing w:after="0"/>
              <w:rPr>
                <w:sz w:val="18"/>
                <w:szCs w:val="18"/>
                <w:color w:val="auto"/>
              </w:rPr>
            </w:pPr>
          </w:p>
        </w:tc>
        <w:tc>
          <w:tcPr>
            <w:tcW w:w="12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Total nonperforming assets</w:t>
            </w:r>
          </w:p>
        </w:tc>
        <w:tc>
          <w:tcPr>
            <w:tcW w:w="148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27,733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19,607</w:t>
            </w:r>
          </w:p>
        </w:tc>
        <w:tc>
          <w:tcPr>
            <w:tcW w:w="32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F0FFFF"/>
            </w:tcBorders>
          </w:tcPr>
          <w:p>
            <w:pPr>
              <w:spacing w:after="0" w:line="20" w:lineRule="exact"/>
              <w:rPr>
                <w:sz w:val="1"/>
                <w:szCs w:val="1"/>
                <w:color w:val="auto"/>
              </w:rPr>
            </w:pPr>
          </w:p>
        </w:tc>
        <w:tc>
          <w:tcPr>
            <w:tcW w:w="122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F0FF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.46</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2015, nonperforming loans were $20.1 million compared to $17.9 million at December 31, 2014 and $18.7 million at September 30, 2014. Nonperforming assets, which include nonperforming loans and foreclosed real estate, totaled $27.7 million at September 30, 2015 compared with $19.6 million at December 31, 2014 and $21.9 million at September 30, 2014. United sold $1.92 million of foreclosed properties and added $1.90 million in new foreclosures during the third quarter of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summarizes nonperforming assets by category and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Nonperforming Assets by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1"/>
              </w:rPr>
              <w:t>September 30, 2015</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2014</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gridSpan w:val="3"/>
          </w:tcPr>
          <w:p>
            <w:pPr>
              <w:jc w:val="right"/>
              <w:ind w:right="168"/>
              <w:spacing w:after="0" w:line="139" w:lineRule="exact"/>
              <w:rPr>
                <w:sz w:val="20"/>
                <w:szCs w:val="20"/>
                <w:color w:val="auto"/>
              </w:rPr>
            </w:pPr>
            <w:r>
              <w:rPr>
                <w:rFonts w:ascii="Arial" w:cs="Arial" w:eastAsia="Arial" w:hAnsi="Arial"/>
                <w:sz w:val="14"/>
                <w:szCs w:val="14"/>
                <w:b w:val="1"/>
                <w:bCs w:val="1"/>
                <w:color w:val="auto"/>
                <w:w w:val="96"/>
              </w:rPr>
              <w:t>Nonaccrual</w:t>
            </w:r>
          </w:p>
        </w:tc>
        <w:tc>
          <w:tcPr>
            <w:tcW w:w="80" w:type="dxa"/>
            <w:vAlign w:val="bottom"/>
          </w:tcPr>
          <w:p>
            <w:pPr>
              <w:spacing w:after="0"/>
              <w:rPr>
                <w:sz w:val="12"/>
                <w:szCs w:val="12"/>
                <w:color w:val="auto"/>
              </w:rPr>
            </w:pPr>
          </w:p>
        </w:tc>
        <w:tc>
          <w:tcPr>
            <w:tcW w:w="1040" w:type="dxa"/>
            <w:vAlign w:val="bottom"/>
            <w:tcBorders>
              <w:right w:val="single" w:sz="8" w:color="auto"/>
            </w:tcBorders>
            <w:gridSpan w:val="3"/>
          </w:tcPr>
          <w:p>
            <w:pPr>
              <w:jc w:val="right"/>
              <w:ind w:right="320"/>
              <w:spacing w:after="0" w:line="139" w:lineRule="exact"/>
              <w:rPr>
                <w:sz w:val="20"/>
                <w:szCs w:val="20"/>
                <w:color w:val="auto"/>
              </w:rPr>
            </w:pPr>
            <w:r>
              <w:rPr>
                <w:rFonts w:ascii="Arial" w:cs="Arial" w:eastAsia="Arial" w:hAnsi="Arial"/>
                <w:sz w:val="14"/>
                <w:szCs w:val="14"/>
                <w:b w:val="1"/>
                <w:bCs w:val="1"/>
                <w:color w:val="auto"/>
                <w:w w:val="93"/>
              </w:rPr>
              <w:t>Foreclosed</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288"/>
              <w:spacing w:after="0" w:line="13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20" w:type="dxa"/>
            <w:vAlign w:val="bottom"/>
            <w:gridSpan w:val="3"/>
          </w:tcPr>
          <w:p>
            <w:pPr>
              <w:jc w:val="right"/>
              <w:ind w:right="188"/>
              <w:spacing w:after="0" w:line="139" w:lineRule="exact"/>
              <w:rPr>
                <w:sz w:val="20"/>
                <w:szCs w:val="20"/>
                <w:color w:val="auto"/>
              </w:rPr>
            </w:pPr>
            <w:r>
              <w:rPr>
                <w:rFonts w:ascii="Arial" w:cs="Arial" w:eastAsia="Arial" w:hAnsi="Arial"/>
                <w:sz w:val="14"/>
                <w:szCs w:val="14"/>
                <w:b w:val="1"/>
                <w:bCs w:val="1"/>
                <w:color w:val="auto"/>
                <w:w w:val="96"/>
              </w:rPr>
              <w:t>Nonaccrual</w:t>
            </w:r>
          </w:p>
        </w:tc>
        <w:tc>
          <w:tcPr>
            <w:tcW w:w="1020" w:type="dxa"/>
            <w:vAlign w:val="bottom"/>
            <w:tcBorders>
              <w:right w:val="single" w:sz="8" w:color="auto"/>
            </w:tcBorders>
            <w:gridSpan w:val="3"/>
          </w:tcPr>
          <w:p>
            <w:pPr>
              <w:jc w:val="center"/>
              <w:ind w:right="240"/>
              <w:spacing w:after="0" w:line="139" w:lineRule="exact"/>
              <w:rPr>
                <w:sz w:val="20"/>
                <w:szCs w:val="20"/>
                <w:color w:val="auto"/>
              </w:rPr>
            </w:pPr>
            <w:r>
              <w:rPr>
                <w:rFonts w:ascii="Arial" w:cs="Arial" w:eastAsia="Arial" w:hAnsi="Arial"/>
                <w:sz w:val="14"/>
                <w:szCs w:val="14"/>
                <w:b w:val="1"/>
                <w:bCs w:val="1"/>
                <w:color w:val="auto"/>
                <w:w w:val="88"/>
              </w:rPr>
              <w:t>Foreclosed</w:t>
            </w: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308"/>
              <w:spacing w:after="0" w:line="13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00" w:type="dxa"/>
            <w:vAlign w:val="bottom"/>
            <w:gridSpan w:val="3"/>
          </w:tcPr>
          <w:p>
            <w:pPr>
              <w:jc w:val="right"/>
              <w:ind w:right="188"/>
              <w:spacing w:after="0" w:line="139" w:lineRule="exact"/>
              <w:rPr>
                <w:sz w:val="20"/>
                <w:szCs w:val="20"/>
                <w:color w:val="auto"/>
              </w:rPr>
            </w:pPr>
            <w:r>
              <w:rPr>
                <w:rFonts w:ascii="Arial" w:cs="Arial" w:eastAsia="Arial" w:hAnsi="Arial"/>
                <w:sz w:val="14"/>
                <w:szCs w:val="14"/>
                <w:b w:val="1"/>
                <w:bCs w:val="1"/>
                <w:color w:val="auto"/>
                <w:w w:val="94"/>
              </w:rPr>
              <w:t>Nonaccrual</w:t>
            </w:r>
          </w:p>
        </w:tc>
        <w:tc>
          <w:tcPr>
            <w:tcW w:w="1040" w:type="dxa"/>
            <w:vAlign w:val="bottom"/>
            <w:tcBorders>
              <w:right w:val="single" w:sz="8" w:color="auto"/>
            </w:tcBorders>
            <w:gridSpan w:val="3"/>
          </w:tcPr>
          <w:p>
            <w:pPr>
              <w:jc w:val="center"/>
              <w:ind w:right="220"/>
              <w:spacing w:after="0" w:line="139" w:lineRule="exact"/>
              <w:rPr>
                <w:sz w:val="20"/>
                <w:szCs w:val="20"/>
                <w:color w:val="auto"/>
              </w:rPr>
            </w:pPr>
            <w:r>
              <w:rPr>
                <w:rFonts w:ascii="Arial" w:cs="Arial" w:eastAsia="Arial" w:hAnsi="Arial"/>
                <w:sz w:val="14"/>
                <w:szCs w:val="14"/>
                <w:b w:val="1"/>
                <w:bCs w:val="1"/>
                <w:color w:val="auto"/>
                <w:w w:val="88"/>
              </w:rPr>
              <w:t>Foreclosed</w:t>
            </w: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30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9"/>
              </w:rPr>
              <w:t>Properties</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5"/>
                <w:szCs w:val="15"/>
                <w:color w:val="auto"/>
              </w:rPr>
            </w:pPr>
          </w:p>
        </w:tc>
        <w:tc>
          <w:tcPr>
            <w:tcW w:w="9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Properties</w:t>
            </w:r>
          </w:p>
        </w:tc>
        <w:tc>
          <w:tcPr>
            <w:tcW w:w="140" w:type="dxa"/>
            <w:vAlign w:val="bottom"/>
          </w:tcPr>
          <w:p>
            <w:pPr>
              <w:spacing w:after="0"/>
              <w:rPr>
                <w:sz w:val="15"/>
                <w:szCs w:val="15"/>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5"/>
                <w:szCs w:val="15"/>
                <w:color w:val="auto"/>
              </w:rPr>
            </w:pPr>
          </w:p>
        </w:tc>
        <w:tc>
          <w:tcPr>
            <w:tcW w:w="9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Properties</w:t>
            </w:r>
          </w:p>
        </w:tc>
        <w:tc>
          <w:tcPr>
            <w:tcW w:w="140" w:type="dxa"/>
            <w:vAlign w:val="bottom"/>
          </w:tcPr>
          <w:p>
            <w:pPr>
              <w:spacing w:after="0"/>
              <w:rPr>
                <w:sz w:val="15"/>
                <w:szCs w:val="15"/>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BY CATEGORY</w:t>
            </w:r>
          </w:p>
        </w:tc>
        <w:tc>
          <w:tcPr>
            <w:tcW w:w="14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F0FFFF"/>
              <w:right w:val="single" w:sz="8" w:color="auto"/>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760" w:type="dxa"/>
            <w:vAlign w:val="bottom"/>
            <w:tcBorders>
              <w:top w:val="single" w:sz="8" w:color="auto"/>
              <w:right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right w:val="single" w:sz="8" w:color="auto"/>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right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right w:val="single" w:sz="8" w:color="auto"/>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estate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5,918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882</w:t>
            </w:r>
          </w:p>
        </w:tc>
        <w:tc>
          <w:tcPr>
            <w:tcW w:w="260" w:type="dxa"/>
            <w:vAlign w:val="bottom"/>
            <w:tcBorders>
              <w:right w:val="single" w:sz="8" w:color="auto"/>
            </w:tcBorders>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6,800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4,133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355</w:t>
            </w:r>
          </w:p>
        </w:tc>
        <w:tc>
          <w:tcPr>
            <w:tcW w:w="240" w:type="dxa"/>
            <w:vAlign w:val="bottom"/>
            <w:tcBorders>
              <w:right w:val="single" w:sz="8" w:color="auto"/>
            </w:tcBorders>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4,488</w:t>
            </w:r>
          </w:p>
        </w:tc>
        <w:tc>
          <w:tcPr>
            <w:tcW w:w="240" w:type="dxa"/>
            <w:vAlign w:val="bottom"/>
            <w:gridSpan w:val="2"/>
          </w:tcPr>
          <w:p>
            <w:pPr>
              <w:jc w:val="right"/>
              <w:ind w:right="22"/>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2,156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1,024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Income producing commercial real</w:t>
            </w: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6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8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tcBorders>
              <w:right w:val="single" w:sz="8" w:color="auto"/>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80" w:type="dxa"/>
            <w:vAlign w:val="bottom"/>
            <w:tcBorders>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4"/>
                <w:szCs w:val="14"/>
                <w:color w:val="auto"/>
              </w:rPr>
              <w:t>estate</w:t>
            </w:r>
          </w:p>
        </w:tc>
        <w:tc>
          <w:tcPr>
            <w:tcW w:w="14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108"/>
              <w:spacing w:after="0"/>
              <w:rPr>
                <w:sz w:val="20"/>
                <w:szCs w:val="20"/>
                <w:color w:val="auto"/>
              </w:rPr>
            </w:pPr>
            <w:r>
              <w:rPr>
                <w:rFonts w:ascii="Arial" w:cs="Arial" w:eastAsia="Arial" w:hAnsi="Arial"/>
                <w:sz w:val="14"/>
                <w:szCs w:val="14"/>
                <w:color w:val="auto"/>
              </w:rPr>
              <w:t>1,238</w:t>
            </w: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98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4,084</w:t>
            </w:r>
          </w:p>
        </w:tc>
        <w:tc>
          <w:tcPr>
            <w:tcW w:w="140" w:type="dxa"/>
            <w:vAlign w:val="bottom"/>
            <w:shd w:val="clear" w:color="auto" w:fill="F0FFFF"/>
          </w:tcPr>
          <w:p>
            <w:pPr>
              <w:spacing w:after="0"/>
              <w:rPr>
                <w:sz w:val="14"/>
                <w:szCs w:val="14"/>
                <w:color w:val="auto"/>
              </w:rPr>
            </w:pPr>
          </w:p>
        </w:tc>
        <w:tc>
          <w:tcPr>
            <w:tcW w:w="760" w:type="dxa"/>
            <w:vAlign w:val="bottom"/>
            <w:tcBorders>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5,322</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68"/>
              <w:spacing w:after="0"/>
              <w:rPr>
                <w:sz w:val="20"/>
                <w:szCs w:val="20"/>
                <w:color w:val="auto"/>
              </w:rPr>
            </w:pPr>
            <w:r>
              <w:rPr>
                <w:rFonts w:ascii="Arial" w:cs="Arial" w:eastAsia="Arial" w:hAnsi="Arial"/>
                <w:sz w:val="14"/>
                <w:szCs w:val="14"/>
                <w:color w:val="auto"/>
              </w:rPr>
              <w:t>717</w:t>
            </w:r>
          </w:p>
        </w:tc>
        <w:tc>
          <w:tcPr>
            <w:tcW w:w="6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80" w:type="dxa"/>
            <w:vAlign w:val="bottom"/>
            <w:tcBorders>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148"/>
              <w:spacing w:after="0"/>
              <w:rPr>
                <w:sz w:val="20"/>
                <w:szCs w:val="20"/>
                <w:color w:val="auto"/>
              </w:rPr>
            </w:pPr>
            <w:r>
              <w:rPr>
                <w:rFonts w:ascii="Arial" w:cs="Arial" w:eastAsia="Arial" w:hAnsi="Arial"/>
                <w:sz w:val="14"/>
                <w:szCs w:val="14"/>
                <w:color w:val="auto"/>
              </w:rPr>
              <w:t>1,742</w:t>
            </w: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right w:val="single" w:sz="8" w:color="auto"/>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780" w:type="dxa"/>
            <w:vAlign w:val="bottom"/>
            <w:tcBorders>
              <w:right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rPr>
              <w:t>1,784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Commercial &amp; industrial</w:t>
            </w:r>
          </w:p>
        </w:tc>
        <w:tc>
          <w:tcPr>
            <w:tcW w:w="140" w:type="dxa"/>
            <w:vAlign w:val="bottom"/>
          </w:tcPr>
          <w:p>
            <w:pPr>
              <w:spacing w:after="0"/>
              <w:rPr>
                <w:sz w:val="12"/>
                <w:szCs w:val="12"/>
                <w:color w:val="auto"/>
              </w:rPr>
            </w:pP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1,068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1,068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1,571</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1,571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1,593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4"/>
                <w:szCs w:val="14"/>
                <w:color w:val="auto"/>
              </w:rPr>
              <w:t>Commercial construction</w:t>
            </w:r>
          </w:p>
        </w:tc>
        <w:tc>
          <w:tcPr>
            <w:tcW w:w="140" w:type="dxa"/>
            <w:vAlign w:val="bottom"/>
            <w:shd w:val="clear" w:color="auto" w:fill="F0FFFF"/>
          </w:tcPr>
          <w:p>
            <w:pPr>
              <w:spacing w:after="0"/>
              <w:rPr>
                <w:sz w:val="15"/>
                <w:szCs w:val="15"/>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256</w:t>
            </w:r>
          </w:p>
        </w:tc>
        <w:tc>
          <w:tcPr>
            <w:tcW w:w="1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657</w:t>
            </w:r>
          </w:p>
        </w:tc>
        <w:tc>
          <w:tcPr>
            <w:tcW w:w="260" w:type="dxa"/>
            <w:vAlign w:val="bottom"/>
            <w:tcBorders>
              <w:right w:val="single" w:sz="8" w:color="auto"/>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60" w:type="dxa"/>
            <w:vAlign w:val="bottom"/>
            <w:tcBorders>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68"/>
              <w:spacing w:after="0"/>
              <w:rPr>
                <w:sz w:val="20"/>
                <w:szCs w:val="20"/>
                <w:color w:val="auto"/>
              </w:rPr>
            </w:pPr>
            <w:r>
              <w:rPr>
                <w:rFonts w:ascii="Arial" w:cs="Arial" w:eastAsia="Arial" w:hAnsi="Arial"/>
                <w:sz w:val="14"/>
                <w:szCs w:val="14"/>
                <w:color w:val="auto"/>
              </w:rPr>
              <w:t>83</w:t>
            </w:r>
          </w:p>
        </w:tc>
        <w:tc>
          <w:tcPr>
            <w:tcW w:w="6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w:t>
            </w:r>
          </w:p>
        </w:tc>
        <w:tc>
          <w:tcPr>
            <w:tcW w:w="240" w:type="dxa"/>
            <w:vAlign w:val="bottom"/>
            <w:tcBorders>
              <w:right w:val="single" w:sz="8" w:color="auto"/>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80" w:type="dxa"/>
            <w:vAlign w:val="bottom"/>
            <w:tcBorders>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48"/>
              <w:spacing w:after="0"/>
              <w:rPr>
                <w:sz w:val="20"/>
                <w:szCs w:val="20"/>
                <w:color w:val="auto"/>
              </w:rPr>
            </w:pPr>
            <w:r>
              <w:rPr>
                <w:rFonts w:ascii="Arial" w:cs="Arial" w:eastAsia="Arial" w:hAnsi="Arial"/>
                <w:sz w:val="14"/>
                <w:szCs w:val="14"/>
                <w:color w:val="auto"/>
              </w:rPr>
              <w:t>148</w:t>
            </w: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80" w:type="dxa"/>
            <w:vAlign w:val="bottom"/>
            <w:tcBorders>
              <w:right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Borders>
              <w:top w:val="single" w:sz="8" w:color="F0FFFF"/>
            </w:tcBorders>
          </w:tcPr>
          <w:p>
            <w:pPr>
              <w:ind w:left="160"/>
              <w:spacing w:after="0" w:line="136" w:lineRule="exact"/>
              <w:rPr>
                <w:sz w:val="20"/>
                <w:szCs w:val="20"/>
                <w:color w:val="auto"/>
              </w:rPr>
            </w:pPr>
            <w:r>
              <w:rPr>
                <w:rFonts w:ascii="Arial" w:cs="Arial" w:eastAsia="Arial" w:hAnsi="Arial"/>
                <w:sz w:val="14"/>
                <w:szCs w:val="14"/>
                <w:color w:val="auto"/>
              </w:rPr>
              <w:t>Total commercial</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8,480</w:t>
            </w:r>
          </w:p>
        </w:tc>
        <w:tc>
          <w:tcPr>
            <w:tcW w:w="18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5,623</w:t>
            </w:r>
          </w:p>
        </w:tc>
        <w:tc>
          <w:tcPr>
            <w:tcW w:w="260" w:type="dxa"/>
            <w:vAlign w:val="bottom"/>
            <w:tcBorders>
              <w:top w:val="single" w:sz="8" w:color="F0FFFF"/>
              <w:right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jc w:val="right"/>
              <w:ind w:right="68"/>
              <w:spacing w:after="0" w:line="136" w:lineRule="exact"/>
              <w:rPr>
                <w:sz w:val="20"/>
                <w:szCs w:val="20"/>
                <w:color w:val="auto"/>
              </w:rPr>
            </w:pPr>
            <w:r>
              <w:rPr>
                <w:rFonts w:ascii="Arial" w:cs="Arial" w:eastAsia="Arial" w:hAnsi="Arial"/>
                <w:sz w:val="14"/>
                <w:szCs w:val="14"/>
                <w:color w:val="auto"/>
              </w:rPr>
              <w:t>14,103</w:t>
            </w:r>
          </w:p>
        </w:tc>
        <w:tc>
          <w:tcPr>
            <w:tcW w:w="10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6,504</w:t>
            </w:r>
          </w:p>
        </w:tc>
        <w:tc>
          <w:tcPr>
            <w:tcW w:w="24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370</w:t>
            </w:r>
          </w:p>
        </w:tc>
        <w:tc>
          <w:tcPr>
            <w:tcW w:w="240" w:type="dxa"/>
            <w:vAlign w:val="bottom"/>
            <w:tcBorders>
              <w:top w:val="single" w:sz="8" w:color="F0FFFF"/>
              <w:right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jc w:val="right"/>
              <w:ind w:right="68"/>
              <w:spacing w:after="0" w:line="136" w:lineRule="exact"/>
              <w:rPr>
                <w:sz w:val="20"/>
                <w:szCs w:val="20"/>
                <w:color w:val="auto"/>
              </w:rPr>
            </w:pPr>
            <w:r>
              <w:rPr>
                <w:rFonts w:ascii="Arial" w:cs="Arial" w:eastAsia="Arial" w:hAnsi="Arial"/>
                <w:sz w:val="14"/>
                <w:szCs w:val="14"/>
                <w:color w:val="auto"/>
              </w:rPr>
              <w:t>6,874</w:t>
            </w:r>
          </w:p>
        </w:tc>
        <w:tc>
          <w:tcPr>
            <w:tcW w:w="10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5,639</w:t>
            </w:r>
          </w:p>
        </w:tc>
        <w:tc>
          <w:tcPr>
            <w:tcW w:w="2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1,066</w:t>
            </w:r>
          </w:p>
        </w:tc>
        <w:tc>
          <w:tcPr>
            <w:tcW w:w="240" w:type="dxa"/>
            <w:vAlign w:val="bottom"/>
            <w:tcBorders>
              <w:top w:val="single" w:sz="8" w:color="F0FFFF"/>
              <w:right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jc w:val="right"/>
              <w:ind w:right="88"/>
              <w:spacing w:after="0" w:line="136" w:lineRule="exact"/>
              <w:rPr>
                <w:sz w:val="20"/>
                <w:szCs w:val="20"/>
                <w:color w:val="auto"/>
              </w:rPr>
            </w:pPr>
            <w:r>
              <w:rPr>
                <w:rFonts w:ascii="Arial" w:cs="Arial" w:eastAsia="Arial" w:hAnsi="Arial"/>
                <w:sz w:val="14"/>
                <w:szCs w:val="14"/>
                <w:color w:val="auto"/>
              </w:rPr>
              <w:t>6,705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8,847</w:t>
            </w: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980" w:type="dxa"/>
            <w:vAlign w:val="bottom"/>
            <w:tcBorders>
              <w:right w:val="single" w:sz="8" w:color="auto"/>
            </w:tcBorders>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1,454</w:t>
            </w:r>
          </w:p>
        </w:tc>
        <w:tc>
          <w:tcPr>
            <w:tcW w:w="140" w:type="dxa"/>
            <w:vAlign w:val="bottom"/>
            <w:shd w:val="clear" w:color="auto" w:fill="F0FFFF"/>
          </w:tcPr>
          <w:p>
            <w:pPr>
              <w:spacing w:after="0"/>
              <w:rPr>
                <w:sz w:val="12"/>
                <w:szCs w:val="12"/>
                <w:color w:val="auto"/>
              </w:rPr>
            </w:pPr>
          </w:p>
        </w:tc>
        <w:tc>
          <w:tcPr>
            <w:tcW w:w="76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10,301</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8,196</w:t>
            </w:r>
          </w:p>
        </w:tc>
        <w:tc>
          <w:tcPr>
            <w:tcW w:w="60" w:type="dxa"/>
            <w:vAlign w:val="bottom"/>
            <w:shd w:val="clear" w:color="auto" w:fill="F0FFFF"/>
          </w:tcPr>
          <w:p>
            <w:pPr>
              <w:spacing w:after="0"/>
              <w:rPr>
                <w:sz w:val="12"/>
                <w:szCs w:val="12"/>
                <w:color w:val="auto"/>
              </w:rPr>
            </w:pPr>
          </w:p>
        </w:tc>
        <w:tc>
          <w:tcPr>
            <w:tcW w:w="960" w:type="dxa"/>
            <w:vAlign w:val="bottom"/>
            <w:tcBorders>
              <w:right w:val="single" w:sz="8" w:color="auto"/>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1,183</w:t>
            </w: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9,379</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8,350</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auto"/>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1,769</w:t>
            </w: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10,119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Home equity</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977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695</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735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720</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Residential construction</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929</w:t>
            </w: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505</w:t>
            </w:r>
          </w:p>
        </w:tc>
        <w:tc>
          <w:tcPr>
            <w:tcW w:w="2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1,434</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2,006</w:t>
            </w: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133</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2,139</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3,543</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221</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139</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4"/>
                <w:szCs w:val="14"/>
                <w:color w:val="auto"/>
              </w:rPr>
              <w:t>Indirect auto</w:t>
            </w:r>
          </w:p>
        </w:tc>
        <w:tc>
          <w:tcPr>
            <w:tcW w:w="140" w:type="dxa"/>
            <w:vAlign w:val="bottom"/>
            <w:shd w:val="clear" w:color="auto" w:fill="F0FFFF"/>
          </w:tcPr>
          <w:p>
            <w:pPr>
              <w:spacing w:after="0"/>
              <w:rPr>
                <w:sz w:val="15"/>
                <w:szCs w:val="15"/>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722</w:t>
            </w:r>
          </w:p>
        </w:tc>
        <w:tc>
          <w:tcPr>
            <w:tcW w:w="1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60" w:type="dxa"/>
            <w:vAlign w:val="bottom"/>
            <w:tcBorders>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68"/>
              <w:spacing w:after="0"/>
              <w:rPr>
                <w:sz w:val="20"/>
                <w:szCs w:val="20"/>
                <w:color w:val="auto"/>
              </w:rPr>
            </w:pPr>
            <w:r>
              <w:rPr>
                <w:rFonts w:ascii="Arial" w:cs="Arial" w:eastAsia="Arial" w:hAnsi="Arial"/>
                <w:sz w:val="14"/>
                <w:szCs w:val="14"/>
                <w:color w:val="auto"/>
              </w:rPr>
              <w:t>346</w:t>
            </w:r>
          </w:p>
        </w:tc>
        <w:tc>
          <w:tcPr>
            <w:tcW w:w="6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80" w:type="dxa"/>
            <w:vAlign w:val="bottom"/>
            <w:tcBorders>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48"/>
              <w:spacing w:after="0"/>
              <w:rPr>
                <w:sz w:val="20"/>
                <w:szCs w:val="20"/>
                <w:color w:val="auto"/>
              </w:rPr>
            </w:pPr>
            <w:r>
              <w:rPr>
                <w:rFonts w:ascii="Arial" w:cs="Arial" w:eastAsia="Arial" w:hAnsi="Arial"/>
                <w:sz w:val="14"/>
                <w:szCs w:val="14"/>
                <w:color w:val="auto"/>
              </w:rPr>
              <w:t>354</w:t>
            </w: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780" w:type="dxa"/>
            <w:vAlign w:val="bottom"/>
            <w:tcBorders>
              <w:right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F0FFFF"/>
            </w:tcBorders>
          </w:tcPr>
          <w:p>
            <w:pPr>
              <w:ind w:left="160"/>
              <w:spacing w:after="0" w:line="149" w:lineRule="exact"/>
              <w:rPr>
                <w:sz w:val="20"/>
                <w:szCs w:val="20"/>
                <w:color w:val="auto"/>
              </w:rPr>
            </w:pPr>
            <w:r>
              <w:rPr>
                <w:rFonts w:ascii="Arial" w:cs="Arial" w:eastAsia="Arial" w:hAnsi="Arial"/>
                <w:sz w:val="14"/>
                <w:szCs w:val="14"/>
                <w:b w:val="1"/>
                <w:bCs w:val="1"/>
                <w:color w:val="auto"/>
              </w:rPr>
              <w:t>Total NPAs</w:t>
            </w: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20,064</w:t>
            </w:r>
          </w:p>
        </w:tc>
        <w:tc>
          <w:tcPr>
            <w:tcW w:w="18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7,669</w:t>
            </w:r>
          </w:p>
        </w:tc>
        <w:tc>
          <w:tcPr>
            <w:tcW w:w="260" w:type="dxa"/>
            <w:vAlign w:val="bottom"/>
            <w:tcBorders>
              <w:top w:val="single" w:sz="8" w:color="F0FFFF"/>
              <w:right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27,733</w:t>
            </w:r>
          </w:p>
        </w:tc>
        <w:tc>
          <w:tcPr>
            <w:tcW w:w="10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17,881</w:t>
            </w:r>
          </w:p>
        </w:tc>
        <w:tc>
          <w:tcPr>
            <w:tcW w:w="240" w:type="dxa"/>
            <w:vAlign w:val="bottom"/>
            <w:tcBorders>
              <w:top w:val="single" w:sz="8" w:color="F0FF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1,726</w:t>
            </w:r>
          </w:p>
        </w:tc>
        <w:tc>
          <w:tcPr>
            <w:tcW w:w="240" w:type="dxa"/>
            <w:vAlign w:val="bottom"/>
            <w:tcBorders>
              <w:top w:val="single" w:sz="8" w:color="F0FFFF"/>
              <w:right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19,607</w:t>
            </w:r>
          </w:p>
        </w:tc>
        <w:tc>
          <w:tcPr>
            <w:tcW w:w="100" w:type="dxa"/>
            <w:vAlign w:val="bottom"/>
            <w:tcBorders>
              <w:top w:val="single" w:sz="8" w:color="F0FF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18,745</w:t>
            </w: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3,146</w:t>
            </w:r>
          </w:p>
        </w:tc>
        <w:tc>
          <w:tcPr>
            <w:tcW w:w="240" w:type="dxa"/>
            <w:vAlign w:val="bottom"/>
            <w:tcBorders>
              <w:top w:val="single" w:sz="8" w:color="F0FFFF"/>
              <w:right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21,891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2280" w:type="dxa"/>
            <w:vAlign w:val="bottom"/>
            <w:shd w:val="clear" w:color="auto" w:fill="F0FFFF"/>
          </w:tcPr>
          <w:p>
            <w:pPr>
              <w:ind w:left="160"/>
              <w:spacing w:after="0" w:line="93" w:lineRule="exact"/>
              <w:rPr>
                <w:sz w:val="20"/>
                <w:szCs w:val="20"/>
                <w:color w:val="auto"/>
              </w:rPr>
            </w:pPr>
            <w:r>
              <w:rPr>
                <w:rFonts w:ascii="Arial" w:cs="Arial" w:eastAsia="Arial" w:hAnsi="Arial"/>
                <w:sz w:val="10"/>
                <w:szCs w:val="10"/>
                <w:b w:val="1"/>
                <w:bCs w:val="1"/>
                <w:color w:val="auto"/>
              </w:rPr>
              <w:t>Balance as a % of Unpaid</w:t>
            </w:r>
          </w:p>
        </w:tc>
        <w:tc>
          <w:tcPr>
            <w:tcW w:w="140" w:type="dxa"/>
            <w:vAlign w:val="bottom"/>
            <w:shd w:val="clear" w:color="auto" w:fill="F0FFFF"/>
          </w:tcPr>
          <w:p>
            <w:pPr>
              <w:spacing w:after="0"/>
              <w:rPr>
                <w:sz w:val="8"/>
                <w:szCs w:val="8"/>
                <w:color w:val="auto"/>
              </w:rPr>
            </w:pPr>
          </w:p>
        </w:tc>
        <w:tc>
          <w:tcPr>
            <w:tcW w:w="680" w:type="dxa"/>
            <w:vAlign w:val="bottom"/>
            <w:shd w:val="clear" w:color="auto" w:fill="F0FFFF"/>
          </w:tcPr>
          <w:p>
            <w:pPr>
              <w:spacing w:after="0"/>
              <w:rPr>
                <w:sz w:val="8"/>
                <w:szCs w:val="8"/>
                <w:color w:val="auto"/>
              </w:rPr>
            </w:pPr>
          </w:p>
        </w:tc>
        <w:tc>
          <w:tcPr>
            <w:tcW w:w="180" w:type="dxa"/>
            <w:vAlign w:val="bottom"/>
            <w:shd w:val="clear" w:color="auto" w:fill="F0FFFF"/>
          </w:tcPr>
          <w:p>
            <w:pPr>
              <w:spacing w:after="0"/>
              <w:rPr>
                <w:sz w:val="8"/>
                <w:szCs w:val="8"/>
                <w:color w:val="auto"/>
              </w:rPr>
            </w:pPr>
          </w:p>
        </w:tc>
        <w:tc>
          <w:tcPr>
            <w:tcW w:w="80" w:type="dxa"/>
            <w:vAlign w:val="bottom"/>
            <w:shd w:val="clear" w:color="auto" w:fill="F0FFFF"/>
          </w:tcPr>
          <w:p>
            <w:pPr>
              <w:spacing w:after="0"/>
              <w:rPr>
                <w:sz w:val="8"/>
                <w:szCs w:val="8"/>
                <w:color w:val="auto"/>
              </w:rPr>
            </w:pPr>
          </w:p>
        </w:tc>
        <w:tc>
          <w:tcPr>
            <w:tcW w:w="60" w:type="dxa"/>
            <w:vAlign w:val="bottom"/>
            <w:shd w:val="clear" w:color="auto" w:fill="F0FFFF"/>
          </w:tcPr>
          <w:p>
            <w:pPr>
              <w:spacing w:after="0"/>
              <w:rPr>
                <w:sz w:val="8"/>
                <w:szCs w:val="8"/>
                <w:color w:val="auto"/>
              </w:rPr>
            </w:pPr>
          </w:p>
        </w:tc>
        <w:tc>
          <w:tcPr>
            <w:tcW w:w="720" w:type="dxa"/>
            <w:vAlign w:val="bottom"/>
            <w:shd w:val="clear" w:color="auto" w:fill="F0FFFF"/>
          </w:tcPr>
          <w:p>
            <w:pPr>
              <w:spacing w:after="0"/>
              <w:rPr>
                <w:sz w:val="8"/>
                <w:szCs w:val="8"/>
                <w:color w:val="auto"/>
              </w:rPr>
            </w:pPr>
          </w:p>
        </w:tc>
        <w:tc>
          <w:tcPr>
            <w:tcW w:w="260" w:type="dxa"/>
            <w:vAlign w:val="bottom"/>
            <w:tcBorders>
              <w:right w:val="single" w:sz="8" w:color="auto"/>
            </w:tcBorders>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760" w:type="dxa"/>
            <w:vAlign w:val="bottom"/>
            <w:tcBorders>
              <w:right w:val="single" w:sz="8" w:color="auto"/>
            </w:tcBorders>
            <w:shd w:val="clear" w:color="auto" w:fill="F0FFFF"/>
          </w:tcPr>
          <w:p>
            <w:pPr>
              <w:spacing w:after="0"/>
              <w:rPr>
                <w:sz w:val="8"/>
                <w:szCs w:val="8"/>
                <w:color w:val="auto"/>
              </w:rPr>
            </w:pPr>
          </w:p>
        </w:tc>
        <w:tc>
          <w:tcPr>
            <w:tcW w:w="10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640" w:type="dxa"/>
            <w:vAlign w:val="bottom"/>
            <w:shd w:val="clear" w:color="auto" w:fill="F0FFFF"/>
          </w:tcPr>
          <w:p>
            <w:pPr>
              <w:spacing w:after="0"/>
              <w:rPr>
                <w:sz w:val="8"/>
                <w:szCs w:val="8"/>
                <w:color w:val="auto"/>
              </w:rPr>
            </w:pPr>
          </w:p>
        </w:tc>
        <w:tc>
          <w:tcPr>
            <w:tcW w:w="240" w:type="dxa"/>
            <w:vAlign w:val="bottom"/>
            <w:shd w:val="clear" w:color="auto" w:fill="F0FFFF"/>
          </w:tcPr>
          <w:p>
            <w:pPr>
              <w:spacing w:after="0"/>
              <w:rPr>
                <w:sz w:val="8"/>
                <w:szCs w:val="8"/>
                <w:color w:val="auto"/>
              </w:rPr>
            </w:pPr>
          </w:p>
        </w:tc>
        <w:tc>
          <w:tcPr>
            <w:tcW w:w="60" w:type="dxa"/>
            <w:vAlign w:val="bottom"/>
            <w:shd w:val="clear" w:color="auto" w:fill="F0FFFF"/>
          </w:tcPr>
          <w:p>
            <w:pPr>
              <w:spacing w:after="0"/>
              <w:rPr>
                <w:sz w:val="8"/>
                <w:szCs w:val="8"/>
                <w:color w:val="auto"/>
              </w:rPr>
            </w:pPr>
          </w:p>
        </w:tc>
        <w:tc>
          <w:tcPr>
            <w:tcW w:w="720" w:type="dxa"/>
            <w:vAlign w:val="bottom"/>
            <w:shd w:val="clear" w:color="auto" w:fill="F0FFFF"/>
          </w:tcPr>
          <w:p>
            <w:pPr>
              <w:spacing w:after="0"/>
              <w:rPr>
                <w:sz w:val="8"/>
                <w:szCs w:val="8"/>
                <w:color w:val="auto"/>
              </w:rPr>
            </w:pPr>
          </w:p>
        </w:tc>
        <w:tc>
          <w:tcPr>
            <w:tcW w:w="240" w:type="dxa"/>
            <w:vAlign w:val="bottom"/>
            <w:tcBorders>
              <w:right w:val="single" w:sz="8" w:color="auto"/>
            </w:tcBorders>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780" w:type="dxa"/>
            <w:vAlign w:val="bottom"/>
            <w:tcBorders>
              <w:right w:val="single" w:sz="8" w:color="auto"/>
            </w:tcBorders>
            <w:shd w:val="clear" w:color="auto" w:fill="F0FFFF"/>
          </w:tcPr>
          <w:p>
            <w:pPr>
              <w:spacing w:after="0"/>
              <w:rPr>
                <w:sz w:val="8"/>
                <w:szCs w:val="8"/>
                <w:color w:val="auto"/>
              </w:rPr>
            </w:pPr>
          </w:p>
        </w:tc>
        <w:tc>
          <w:tcPr>
            <w:tcW w:w="100" w:type="dxa"/>
            <w:vAlign w:val="bottom"/>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640" w:type="dxa"/>
            <w:vAlign w:val="bottom"/>
            <w:shd w:val="clear" w:color="auto" w:fill="F0FFFF"/>
          </w:tcPr>
          <w:p>
            <w:pPr>
              <w:spacing w:after="0"/>
              <w:rPr>
                <w:sz w:val="8"/>
                <w:szCs w:val="8"/>
                <w:color w:val="auto"/>
              </w:rPr>
            </w:pPr>
          </w:p>
        </w:tc>
        <w:tc>
          <w:tcPr>
            <w:tcW w:w="220" w:type="dxa"/>
            <w:vAlign w:val="bottom"/>
            <w:shd w:val="clear" w:color="auto" w:fill="F0FFFF"/>
          </w:tcPr>
          <w:p>
            <w:pPr>
              <w:spacing w:after="0"/>
              <w:rPr>
                <w:sz w:val="8"/>
                <w:szCs w:val="8"/>
                <w:color w:val="auto"/>
              </w:rPr>
            </w:pPr>
          </w:p>
        </w:tc>
        <w:tc>
          <w:tcPr>
            <w:tcW w:w="80" w:type="dxa"/>
            <w:vAlign w:val="bottom"/>
            <w:shd w:val="clear" w:color="auto" w:fill="F0FFFF"/>
          </w:tcPr>
          <w:p>
            <w:pPr>
              <w:spacing w:after="0"/>
              <w:rPr>
                <w:sz w:val="8"/>
                <w:szCs w:val="8"/>
                <w:color w:val="auto"/>
              </w:rPr>
            </w:pPr>
          </w:p>
        </w:tc>
        <w:tc>
          <w:tcPr>
            <w:tcW w:w="720" w:type="dxa"/>
            <w:vAlign w:val="bottom"/>
            <w:shd w:val="clear" w:color="auto" w:fill="F0FFFF"/>
          </w:tcPr>
          <w:p>
            <w:pPr>
              <w:spacing w:after="0"/>
              <w:rPr>
                <w:sz w:val="8"/>
                <w:szCs w:val="8"/>
                <w:color w:val="auto"/>
              </w:rPr>
            </w:pPr>
          </w:p>
        </w:tc>
        <w:tc>
          <w:tcPr>
            <w:tcW w:w="240" w:type="dxa"/>
            <w:vAlign w:val="bottom"/>
            <w:tcBorders>
              <w:right w:val="single" w:sz="8" w:color="auto"/>
            </w:tcBorders>
            <w:shd w:val="clear" w:color="auto" w:fill="F0FFFF"/>
          </w:tcPr>
          <w:p>
            <w:pPr>
              <w:spacing w:after="0"/>
              <w:rPr>
                <w:sz w:val="8"/>
                <w:szCs w:val="8"/>
                <w:color w:val="auto"/>
              </w:rPr>
            </w:pPr>
          </w:p>
        </w:tc>
        <w:tc>
          <w:tcPr>
            <w:tcW w:w="140" w:type="dxa"/>
            <w:vAlign w:val="bottom"/>
            <w:shd w:val="clear" w:color="auto" w:fill="F0FFFF"/>
          </w:tcPr>
          <w:p>
            <w:pPr>
              <w:spacing w:after="0"/>
              <w:rPr>
                <w:sz w:val="8"/>
                <w:szCs w:val="8"/>
                <w:color w:val="auto"/>
              </w:rPr>
            </w:pPr>
          </w:p>
        </w:tc>
        <w:tc>
          <w:tcPr>
            <w:tcW w:w="780" w:type="dxa"/>
            <w:vAlign w:val="bottom"/>
            <w:tcBorders>
              <w:right w:val="single" w:sz="8" w:color="auto"/>
            </w:tcBorders>
            <w:shd w:val="clear" w:color="auto" w:fill="F0FF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shd w:val="clear" w:color="auto" w:fill="F0FFFF"/>
          </w:tcPr>
          <w:p>
            <w:pPr>
              <w:ind w:left="320"/>
              <w:spacing w:after="0"/>
              <w:rPr>
                <w:sz w:val="20"/>
                <w:szCs w:val="20"/>
                <w:color w:val="auto"/>
              </w:rPr>
            </w:pPr>
            <w:r>
              <w:rPr>
                <w:rFonts w:ascii="Arial" w:cs="Arial" w:eastAsia="Arial" w:hAnsi="Arial"/>
                <w:sz w:val="14"/>
                <w:szCs w:val="14"/>
                <w:b w:val="1"/>
                <w:bCs w:val="1"/>
                <w:color w:val="auto"/>
              </w:rPr>
              <w:t>Principal</w:t>
            </w:r>
          </w:p>
        </w:tc>
        <w:tc>
          <w:tcPr>
            <w:tcW w:w="14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70.3%</w:t>
            </w: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9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45.8%</w:t>
            </w:r>
          </w:p>
        </w:tc>
        <w:tc>
          <w:tcPr>
            <w:tcW w:w="140" w:type="dxa"/>
            <w:vAlign w:val="bottom"/>
            <w:shd w:val="clear" w:color="auto" w:fill="F0FFFF"/>
          </w:tcPr>
          <w:p>
            <w:pPr>
              <w:spacing w:after="0"/>
              <w:rPr>
                <w:sz w:val="14"/>
                <w:szCs w:val="14"/>
                <w:color w:val="auto"/>
              </w:rPr>
            </w:pPr>
          </w:p>
        </w:tc>
        <w:tc>
          <w:tcPr>
            <w:tcW w:w="76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48"/>
              <w:spacing w:after="0"/>
              <w:rPr>
                <w:sz w:val="20"/>
                <w:szCs w:val="20"/>
                <w:color w:val="auto"/>
              </w:rPr>
            </w:pPr>
            <w:r>
              <w:rPr>
                <w:rFonts w:ascii="Arial" w:cs="Arial" w:eastAsia="Arial" w:hAnsi="Arial"/>
                <w:sz w:val="14"/>
                <w:szCs w:val="14"/>
                <w:color w:val="auto"/>
              </w:rPr>
              <w:t>69.9%</w:t>
            </w:r>
          </w:p>
        </w:tc>
        <w:tc>
          <w:tcPr>
            <w:tcW w:w="60" w:type="dxa"/>
            <w:vAlign w:val="bottom"/>
            <w:shd w:val="clear" w:color="auto" w:fill="F0FFFF"/>
          </w:tcPr>
          <w:p>
            <w:pPr>
              <w:spacing w:after="0"/>
              <w:rPr>
                <w:sz w:val="14"/>
                <w:szCs w:val="14"/>
                <w:color w:val="auto"/>
              </w:rPr>
            </w:pPr>
          </w:p>
        </w:tc>
        <w:tc>
          <w:tcPr>
            <w:tcW w:w="96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54.1%</w:t>
            </w:r>
          </w:p>
        </w:tc>
        <w:tc>
          <w:tcPr>
            <w:tcW w:w="140" w:type="dxa"/>
            <w:vAlign w:val="bottom"/>
            <w:shd w:val="clear" w:color="auto" w:fill="F0FFFF"/>
          </w:tcPr>
          <w:p>
            <w:pPr>
              <w:spacing w:after="0"/>
              <w:rPr>
                <w:sz w:val="14"/>
                <w:szCs w:val="14"/>
                <w:color w:val="auto"/>
              </w:rPr>
            </w:pPr>
          </w:p>
        </w:tc>
        <w:tc>
          <w:tcPr>
            <w:tcW w:w="7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28"/>
              <w:spacing w:after="0"/>
              <w:rPr>
                <w:sz w:val="20"/>
                <w:szCs w:val="20"/>
                <w:color w:val="auto"/>
              </w:rPr>
            </w:pPr>
            <w:r>
              <w:rPr>
                <w:rFonts w:ascii="Arial" w:cs="Arial" w:eastAsia="Arial" w:hAnsi="Arial"/>
                <w:sz w:val="14"/>
                <w:szCs w:val="14"/>
                <w:color w:val="auto"/>
              </w:rPr>
              <w:t>68.6%</w:t>
            </w:r>
          </w:p>
        </w:tc>
        <w:tc>
          <w:tcPr>
            <w:tcW w:w="80" w:type="dxa"/>
            <w:vAlign w:val="bottom"/>
            <w:shd w:val="clear" w:color="auto" w:fill="F0FFFF"/>
          </w:tcPr>
          <w:p>
            <w:pPr>
              <w:spacing w:after="0"/>
              <w:rPr>
                <w:sz w:val="14"/>
                <w:szCs w:val="14"/>
                <w:color w:val="auto"/>
              </w:rPr>
            </w:pPr>
          </w:p>
        </w:tc>
        <w:tc>
          <w:tcPr>
            <w:tcW w:w="96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54.5%</w:t>
            </w:r>
          </w:p>
        </w:tc>
        <w:tc>
          <w:tcPr>
            <w:tcW w:w="140" w:type="dxa"/>
            <w:vAlign w:val="bottom"/>
            <w:shd w:val="clear" w:color="auto" w:fill="F0FFFF"/>
          </w:tcPr>
          <w:p>
            <w:pPr>
              <w:spacing w:after="0"/>
              <w:rPr>
                <w:sz w:val="14"/>
                <w:szCs w:val="14"/>
                <w:color w:val="auto"/>
              </w:rPr>
            </w:pPr>
          </w:p>
        </w:tc>
        <w:tc>
          <w:tcPr>
            <w:tcW w:w="7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6,403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color w:val="auto"/>
              </w:rPr>
              <w:t>1,263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7,666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5,669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711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6,380</w:t>
            </w:r>
          </w:p>
        </w:tc>
        <w:tc>
          <w:tcPr>
            <w:tcW w:w="240" w:type="dxa"/>
            <w:vAlign w:val="bottom"/>
            <w:gridSpan w:val="2"/>
          </w:tcPr>
          <w:p>
            <w:pPr>
              <w:jc w:val="right"/>
              <w:ind w:right="2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7,392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1,717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9,109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Atlanta MSA</w:t>
            </w: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1,750</w:t>
            </w: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980" w:type="dxa"/>
            <w:vAlign w:val="bottom"/>
            <w:tcBorders>
              <w:right w:val="single" w:sz="8" w:color="auto"/>
            </w:tcBorders>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1,122</w:t>
            </w:r>
          </w:p>
        </w:tc>
        <w:tc>
          <w:tcPr>
            <w:tcW w:w="140" w:type="dxa"/>
            <w:vAlign w:val="bottom"/>
            <w:shd w:val="clear" w:color="auto" w:fill="F0FFFF"/>
          </w:tcPr>
          <w:p>
            <w:pPr>
              <w:spacing w:after="0"/>
              <w:rPr>
                <w:sz w:val="12"/>
                <w:szCs w:val="12"/>
                <w:color w:val="auto"/>
              </w:rPr>
            </w:pPr>
          </w:p>
        </w:tc>
        <w:tc>
          <w:tcPr>
            <w:tcW w:w="76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2,872</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1,837</w:t>
            </w: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372</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2,209</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1,724</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364</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North Carolina</w:t>
            </w:r>
          </w:p>
        </w:tc>
        <w:tc>
          <w:tcPr>
            <w:tcW w:w="140" w:type="dxa"/>
            <w:vAlign w:val="bottom"/>
          </w:tcPr>
          <w:p>
            <w:pPr>
              <w:spacing w:after="0"/>
              <w:rPr>
                <w:sz w:val="12"/>
                <w:szCs w:val="12"/>
                <w:color w:val="auto"/>
              </w:rPr>
            </w:pPr>
          </w:p>
        </w:tc>
        <w:tc>
          <w:tcPr>
            <w:tcW w:w="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4,564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4,573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5,221</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5,455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4,919</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5,317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Coastal Georgia</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338</w:t>
            </w: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66</w:t>
            </w:r>
          </w:p>
        </w:tc>
        <w:tc>
          <w:tcPr>
            <w:tcW w:w="2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404</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799</w:t>
            </w: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904</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781</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160</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328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1,310</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1,391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1,403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East Tennessee</w:t>
            </w: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2,886</w:t>
            </w: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231</w:t>
            </w:r>
          </w:p>
        </w:tc>
        <w:tc>
          <w:tcPr>
            <w:tcW w:w="2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3,117</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1,414</w:t>
            </w: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201</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1,615</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1,227</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245</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South Carolina</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color w:val="auto"/>
              </w:rPr>
              <w:t>4,975</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5,242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Specialized Lending</w:t>
            </w: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2,809</w:t>
            </w: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2,809</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1,285</w:t>
            </w: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rPr>
              <w:t>1,307</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945</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177</w:t>
            </w:r>
          </w:p>
        </w:tc>
        <w:tc>
          <w:tcPr>
            <w:tcW w:w="240" w:type="dxa"/>
            <w:vAlign w:val="bottom"/>
            <w:tcBorders>
              <w:right w:val="single" w:sz="8" w:color="auto"/>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tcBorders>
              <w:right w:val="single" w:sz="8" w:color="auto"/>
            </w:tcBorders>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Indirect auto</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346</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2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b w:val="1"/>
                <w:bCs w:val="1"/>
                <w:color w:val="auto"/>
              </w:rPr>
              <w:t>Total NPAs</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20,064</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7,669</w:t>
            </w:r>
          </w:p>
        </w:tc>
        <w:tc>
          <w:tcPr>
            <w:tcW w:w="260" w:type="dxa"/>
            <w:vAlign w:val="bottom"/>
            <w:tcBorders>
              <w:top w:val="single" w:sz="8" w:color="F0FFFF"/>
              <w:bottom w:val="single" w:sz="8" w:color="F0FFFF"/>
              <w:right w:val="single" w:sz="8" w:color="auto"/>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27,733</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17,881</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1,726</w:t>
            </w:r>
          </w:p>
        </w:tc>
        <w:tc>
          <w:tcPr>
            <w:tcW w:w="240" w:type="dxa"/>
            <w:vAlign w:val="bottom"/>
            <w:tcBorders>
              <w:top w:val="single" w:sz="8" w:color="F0FFFF"/>
              <w:bottom w:val="single" w:sz="8" w:color="F0FFFF"/>
              <w:right w:val="single" w:sz="8" w:color="auto"/>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right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19,607</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18,745</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3,146</w:t>
            </w:r>
          </w:p>
        </w:tc>
        <w:tc>
          <w:tcPr>
            <w:tcW w:w="240" w:type="dxa"/>
            <w:vAlign w:val="bottom"/>
            <w:tcBorders>
              <w:top w:val="single" w:sz="8" w:color="F0FFFF"/>
              <w:bottom w:val="single" w:sz="8" w:color="F0FFFF"/>
              <w:right w:val="single" w:sz="8" w:color="auto"/>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right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rPr>
              <w:t>21,891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At September 30, 2015, December 31, 2014, and September 30, 2014, United had $88.7 million, $85.1 million and $88.6 million, respectively, in loans with terms that have been modified in TDRs. Included therein were $4.15 million, $3.78 million and $6.4 million, respectively, of TDRs that were not performing in accordance with their modified terms and were included in nonperforming loans. The remaining TDRs with an aggregate balance of $84.5 million, $81.3 million and $82.2 million, respectively, were performing according to their modified terms and are therefore not considered to be nonperforming assets.</w:t>
      </w:r>
    </w:p>
    <w:p>
      <w:pPr>
        <w:spacing w:after="0" w:line="15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At September 30, 2015, December 31, 2014 and September 30, 2014, there were $108 million, $106 million and $109 million, respectively, of loans classified as impaired under the definition outlined in the Accounting Standards Codification, including TDRs which are by definition considered impaired. Included in impaired loans at September 30, 2015, December 31, 2014 and September 30, 2014 was $30.7 million, $25.5 million and $26.9 million, respectively, that did not require specific reserves or had previously been charged down to net realizable value. The balance of impaired loans at September 30, 2015, December 31, 2014 and September 30, 2014 of $76.9 million, $81.0 million and $82.1 million, respectively, had specific reserves that totaled $6.18 million, $9.88 million and $10.3 million, respectively. The average recorded investment in impaired loans for the third quarters of 2015 and 2014 was $108 million and $110 million, respectively. For the nine months ended September 30, 2015 and 2014, the average recorded investment in impaired loans was $108 million and $109 million, respectively. For the three and nine months ended September 30, 2015, United recognized $1.28 million and $3.76 million, respectively, in interest revenue on impaired loans compared to $1.27 million and $3.77 million, respectively, for the same periods of the prior year.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9"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table below summarizes activity in nonperforming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12 - Activity in Nonperforming Assets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4"/>
              </w:rPr>
              <w:t>Third Quarter 2015</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6"/>
              </w:rPr>
              <w:t>Third Quarter 2014</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Nonaccrual</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7"/>
              </w:rPr>
              <w:t>Foreclosed</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Nonaccrual</w:t>
            </w: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Foreclosed</w:t>
            </w: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Properties</w:t>
            </w:r>
          </w:p>
        </w:tc>
        <w:tc>
          <w:tcPr>
            <w:tcW w:w="200" w:type="dxa"/>
            <w:vAlign w:val="bottom"/>
          </w:tcPr>
          <w:p>
            <w:pPr>
              <w:spacing w:after="0"/>
              <w:rPr>
                <w:sz w:val="20"/>
                <w:szCs w:val="20"/>
                <w:color w:val="auto"/>
              </w:rPr>
            </w:pPr>
          </w:p>
        </w:tc>
        <w:tc>
          <w:tcPr>
            <w:tcW w:w="9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NPAs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Properties</w:t>
            </w:r>
          </w:p>
        </w:tc>
        <w:tc>
          <w:tcPr>
            <w:tcW w:w="180" w:type="dxa"/>
            <w:vAlign w:val="bottom"/>
          </w:tcPr>
          <w:p>
            <w:pPr>
              <w:spacing w:after="0"/>
              <w:rPr>
                <w:sz w:val="20"/>
                <w:szCs w:val="20"/>
                <w:color w:val="auto"/>
              </w:rPr>
            </w:pPr>
          </w:p>
        </w:tc>
        <w:tc>
          <w:tcPr>
            <w:tcW w:w="94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18,805</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21,161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20,724</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2,969</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4,848</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Loans placed on non-accrual</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8,923</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8,923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7,665</w:t>
            </w: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Payments received</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(3,129)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Loan charge-offs</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(4,353)</w:t>
            </w: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Foreclosures</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(2,162)</w:t>
            </w: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2,162</w:t>
            </w: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Capitalized costs</w:t>
            </w: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1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F0FFFF"/>
          </w:tcPr>
          <w:p>
            <w:pPr>
              <w:spacing w:after="0"/>
              <w:rPr>
                <w:sz w:val="18"/>
                <w:szCs w:val="18"/>
                <w:color w:val="auto"/>
              </w:rPr>
            </w:pPr>
          </w:p>
        </w:tc>
        <w:tc>
          <w:tcPr>
            <w:tcW w:w="94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Property sales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(1,916)</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(2,350)</w:t>
            </w: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Write downs</w:t>
            </w: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14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F0FFFF"/>
          </w:tcPr>
          <w:p>
            <w:pPr>
              <w:spacing w:after="0"/>
              <w:rPr>
                <w:sz w:val="18"/>
                <w:szCs w:val="18"/>
                <w:color w:val="auto"/>
              </w:rPr>
            </w:pPr>
          </w:p>
        </w:tc>
        <w:tc>
          <w:tcPr>
            <w:tcW w:w="9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gains on sales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20"/>
                <w:szCs w:val="20"/>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0"/>
                <w:szCs w:val="20"/>
                <w:color w:val="auto"/>
              </w:rPr>
            </w:pP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9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20,064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7,669</w:t>
            </w:r>
          </w:p>
        </w:tc>
        <w:tc>
          <w:tcPr>
            <w:tcW w:w="2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27,733</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18,745</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3,146</w:t>
            </w:r>
          </w:p>
        </w:tc>
        <w:tc>
          <w:tcPr>
            <w:tcW w:w="2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21,891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2"/>
              </w:rPr>
              <w:t>First Nine Months 2015</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2"/>
              </w:rPr>
              <w:t>First Nine Months 2014</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Nonaccrual</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7"/>
              </w:rPr>
              <w:t>Foreclosed</w:t>
            </w:r>
          </w:p>
        </w:tc>
        <w:tc>
          <w:tcPr>
            <w:tcW w:w="240" w:type="dxa"/>
            <w:vAlign w:val="bottom"/>
          </w:tcPr>
          <w:p>
            <w:pPr>
              <w:spacing w:after="0"/>
              <w:rPr>
                <w:sz w:val="18"/>
                <w:szCs w:val="18"/>
                <w:color w:val="auto"/>
              </w:rPr>
            </w:pPr>
          </w:p>
        </w:tc>
        <w:tc>
          <w:tcPr>
            <w:tcW w:w="92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Nonaccrual</w:t>
            </w: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Foreclosed</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Properties</w:t>
            </w:r>
          </w:p>
        </w:tc>
        <w:tc>
          <w:tcPr>
            <w:tcW w:w="240" w:type="dxa"/>
            <w:vAlign w:val="bottom"/>
          </w:tcPr>
          <w:p>
            <w:pPr>
              <w:spacing w:after="0"/>
              <w:rPr>
                <w:sz w:val="20"/>
                <w:szCs w:val="20"/>
                <w:color w:val="auto"/>
              </w:rPr>
            </w:pPr>
          </w:p>
        </w:tc>
        <w:tc>
          <w:tcPr>
            <w:tcW w:w="92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NPAs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Properties</w:t>
            </w:r>
          </w:p>
        </w:tc>
        <w:tc>
          <w:tcPr>
            <w:tcW w:w="240" w:type="dxa"/>
            <w:vAlign w:val="bottom"/>
          </w:tcPr>
          <w:p>
            <w:pPr>
              <w:spacing w:after="0"/>
              <w:rPr>
                <w:sz w:val="20"/>
                <w:szCs w:val="20"/>
                <w:color w:val="auto"/>
              </w:rPr>
            </w:pPr>
          </w:p>
        </w:tc>
        <w:tc>
          <w:tcPr>
            <w:tcW w:w="8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5"/>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17,881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1,726</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19,607</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26,819</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4,221</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31,040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5,810</w:t>
            </w:r>
          </w:p>
        </w:tc>
        <w:tc>
          <w:tcPr>
            <w:tcW w:w="24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Loans placed on non-accrual</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21,419</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21,419</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26,497</w:t>
            </w: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26,497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Payments received</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(8,822)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Loan charge-offs</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(17,533)</w:t>
            </w: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Foreclosures</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3,428</w:t>
            </w:r>
          </w:p>
        </w:tc>
        <w:tc>
          <w:tcPr>
            <w:tcW w:w="240" w:type="dxa"/>
            <w:vAlign w:val="bottom"/>
          </w:tcPr>
          <w:p>
            <w:pPr>
              <w:spacing w:after="0"/>
              <w:rPr>
                <w:sz w:val="18"/>
                <w:szCs w:val="18"/>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(8,216)</w:t>
            </w: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8,216</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Capitalized costs</w:t>
            </w: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F0FFFF"/>
          </w:tcPr>
          <w:p>
            <w:pPr>
              <w:spacing w:after="0"/>
              <w:rPr>
                <w:sz w:val="18"/>
                <w:szCs w:val="18"/>
                <w:color w:val="auto"/>
              </w:rPr>
            </w:pPr>
          </w:p>
        </w:tc>
        <w:tc>
          <w:tcPr>
            <w:tcW w:w="92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1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F0FFFF"/>
          </w:tcPr>
          <w:p>
            <w:pPr>
              <w:spacing w:after="0"/>
              <w:rPr>
                <w:sz w:val="18"/>
                <w:szCs w:val="18"/>
                <w:color w:val="auto"/>
              </w:rPr>
            </w:pPr>
          </w:p>
        </w:tc>
        <w:tc>
          <w:tcPr>
            <w:tcW w:w="88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Note / property sales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(3,919)</w:t>
            </w:r>
          </w:p>
        </w:tc>
        <w:tc>
          <w:tcPr>
            <w:tcW w:w="24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(10,018)</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Write downs</w:t>
            </w: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F0FFFF"/>
          </w:tcPr>
          <w:p>
            <w:pPr>
              <w:spacing w:after="0"/>
              <w:rPr>
                <w:sz w:val="18"/>
                <w:szCs w:val="18"/>
                <w:color w:val="auto"/>
              </w:rPr>
            </w:pPr>
          </w:p>
        </w:tc>
        <w:tc>
          <w:tcPr>
            <w:tcW w:w="9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14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(690)</w:t>
            </w:r>
          </w:p>
        </w:tc>
        <w:tc>
          <w:tcPr>
            <w:tcW w:w="240" w:type="dxa"/>
            <w:vAlign w:val="bottom"/>
            <w:shd w:val="clear" w:color="auto" w:fill="F0FFFF"/>
          </w:tcPr>
          <w:p>
            <w:pPr>
              <w:spacing w:after="0"/>
              <w:rPr>
                <w:sz w:val="18"/>
                <w:szCs w:val="18"/>
                <w:color w:val="auto"/>
              </w:rPr>
            </w:pPr>
          </w:p>
        </w:tc>
        <w:tc>
          <w:tcPr>
            <w:tcW w:w="88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Net gains on sales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20"/>
                <w:szCs w:val="20"/>
                <w:color w:val="auto"/>
              </w:rPr>
            </w:pPr>
          </w:p>
        </w:tc>
        <w:tc>
          <w:tcPr>
            <w:tcW w:w="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1,208</w:t>
            </w:r>
          </w:p>
        </w:tc>
        <w:tc>
          <w:tcPr>
            <w:tcW w:w="240" w:type="dxa"/>
            <w:vAlign w:val="bottom"/>
          </w:tcPr>
          <w:p>
            <w:pPr>
              <w:spacing w:after="0"/>
              <w:rPr>
                <w:sz w:val="20"/>
                <w:szCs w:val="20"/>
                <w:color w:val="auto"/>
              </w:rPr>
            </w:pPr>
          </w:p>
        </w:tc>
        <w:tc>
          <w:tcPr>
            <w:tcW w:w="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9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20,064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7,669</w:t>
            </w:r>
          </w:p>
        </w:tc>
        <w:tc>
          <w:tcPr>
            <w:tcW w:w="22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27,733</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18,745</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3,146</w:t>
            </w:r>
          </w:p>
        </w:tc>
        <w:tc>
          <w:tcPr>
            <w:tcW w:w="200" w:type="dxa"/>
            <w:vAlign w:val="bottom"/>
            <w:tcBorders>
              <w:top w:val="single" w:sz="8" w:color="F0FFFF"/>
              <w:bottom w:val="single" w:sz="8" w:color="F0FFFF"/>
              <w:right w:val="single" w:sz="8" w:color="auto"/>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21,891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third quarter of 2015, United transferred $1.90 million of loans into foreclosed property through foreclosures. During the same period, proceeds from sales of foreclosed property were $1.92 million, which includes $166,000 in sales that were financed by United.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September 30, 2015 increased $235 million from a year ago.</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2015, December 31, 2014 and September 30, 2014, United had securities held-to-maturity with a carrying amount of $358 million, $415 million, and $432 million, respectively, and securities available-for-sale totaling $2.10 billion, $1.78 billion, and $1.79 billion, respectively. At September 30, 2015, December 31, 2014 and September 30, 2014, the securities portfolio represented approximately 26%, 29% and 30%, respectively, of total assets.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spacing w:after="0" w:line="253" w:lineRule="auto"/>
        <w:rPr>
          <w:sz w:val="20"/>
          <w:szCs w:val="20"/>
          <w:color w:val="auto"/>
        </w:rPr>
      </w:pPr>
      <w:r>
        <w:rPr>
          <w:rFonts w:ascii="Arial" w:cs="Arial" w:eastAsia="Arial" w:hAnsi="Arial"/>
          <w:sz w:val="18"/>
          <w:szCs w:val="18"/>
          <w:color w:val="auto"/>
        </w:rPr>
        <w:t>The investment securities portfolio primarily consists of U.S.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September 30, 2015 primarily reflect the effect of changes in interest rates. United did not recognize any other than temporary impairment losses on its investment securities during the third quarter or first nine months of 2015 or 2014.</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September 30, 2015, December 31, 2014 and September 30, 2014, 27%, 31% and 31%, respectively, of the securities portfolio was invested in floating-rate securities or fixed-rate securities that were swapped to floating rates in order to manage exposure to rising interest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core deposit intangibles, representing the value of United’s acquired deposit relationships, are amortizing intangible assets that are required to be tested for impairment only when events or circumstances indicate that impairment may exist. There were no events or circumstances that led management to believe that any impairment exists in United’s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has initiated several programs to improve core earnings by growing customer transaction deposit accounts and lowering overall pricing on deposit accounts. The programs were successful in increasing core transaction deposit accounts and allowing for the reduction of more costly time deposit balances. United’s high level of service, as evidenced by its strong customer satisfaction scores, has been instrumental in attracting and retaining deposits.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customer deposits, excluding brokered deposits, as of September 30, 2015 were $7.39 billion, an increase of $1.55 billion from September 30, 2014, of which $1.34 billion was attributable to the Palmetto and MoneyTree acquisitions. Total core deposits (demand, NOW, money market and savings deposits, excluding public funds deposits) of $5.25 billion at September 30, 2015 increased $1.53 billion, or 41%, from a year ago, due to the acquisition of Palmetto and MoneyTree, as well as the success of core deposit programs and general industry trends.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Total time deposits, excluding brokered deposits, as of September 30, 2015 were $1.35 billion, up $42.3 million from September 30, 2014. Time deposits less than $100,000 totaled $865 million at September 30, 2015, an increase of $91.2 million, or 12%, from a year ago. Time deposits of $100,000 and greater totaled $483 million as of September 30, 2015, a decrease of $48.9 million, or 9%, from September 30, 2014. The overall increase in time deposits, excluding brokered deposits, was primarily due the Palmetto acquisition, offset by United’s continued efforts to offer low rates on certificates of deposit, allowing balances to decline as United’s funding needs were met by growth in lower cost transaction account deposits and other sources.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Brokered deposits totaled $517 million as of September 30, 2015, an increase of $111 million from a year ago. United has actively added long-term deposits to diversify our funding base. These are typically swapped to LIBOR minus a spread, which achieves low cost funding within our interest rate risk parameters.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$200 million, $270 million and $330 million, respectively, as of September 30, 2015, December 31, 2014 and September 30, 2014. United anticipates continued use of this short and long-term source of funds. Additional information regarding FHLB advances is provided in Note 12 to the consolidated financial statements included in United’s Annual Report on Form 10-K for the year ended December 31, 2014.</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2014 and September 30, 2014, United had $6.0 million in structured repurchase agreements outstanding. United repaid the remaining $6.0 million outstanding balance in the first quarter of 2015, incurring a charge of $540,000. United takes advantage of these additional sources of liquidity when rates are favorable compared to other forms of short-term borrowings, such as FHLB advances and brokered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15 to the consolidated financial statements for additional information on 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400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September 30, 2015 and 2014 made use of the down scenarios irrelevant. The following table presents United’s interest sensitivity position at September 30, 2015 and 2014.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tbl>
      <w:tblPr>
        <w:tblLayout w:type="fixed"/>
        <w:tblInd w:w="66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Table 13 - Interest Sensitivity</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89"/>
              </w:rPr>
              <w:t>Increase (Decrease) in Net Interest Revenue from Base Scenario at</w:t>
            </w:r>
          </w:p>
        </w:tc>
      </w:tr>
      <w:tr>
        <w:trPr>
          <w:trHeight w:val="241"/>
        </w:trPr>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82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Change in Rates</w:t>
            </w:r>
          </w:p>
        </w:tc>
        <w:tc>
          <w:tcPr>
            <w:tcW w:w="100" w:type="dxa"/>
            <w:vAlign w:val="bottom"/>
            <w:tcBorders>
              <w:bottom w:val="single" w:sz="8" w:color="F0FFFF"/>
            </w:tcBorders>
          </w:tcPr>
          <w:p>
            <w:pPr>
              <w:spacing w:after="0"/>
              <w:rPr>
                <w:sz w:val="20"/>
                <w:szCs w:val="20"/>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Shock</w:t>
            </w:r>
          </w:p>
        </w:tc>
        <w:tc>
          <w:tcPr>
            <w:tcW w:w="28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Ramp</w:t>
            </w:r>
          </w:p>
        </w:tc>
        <w:tc>
          <w:tcPr>
            <w:tcW w:w="260" w:type="dxa"/>
            <w:vAlign w:val="bottom"/>
            <w:tcBorders>
              <w:bottom w:val="single" w:sz="8" w:color="F0FFFF"/>
            </w:tcBorders>
          </w:tcPr>
          <w:p>
            <w:pPr>
              <w:spacing w:after="0"/>
              <w:rPr>
                <w:sz w:val="20"/>
                <w:szCs w:val="20"/>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Shock</w:t>
            </w:r>
          </w:p>
        </w:tc>
        <w:tc>
          <w:tcPr>
            <w:tcW w:w="26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Ramp</w:t>
            </w:r>
          </w:p>
        </w:tc>
        <w:tc>
          <w:tcPr>
            <w:tcW w:w="160" w:type="dxa"/>
            <w:vAlign w:val="bottom"/>
            <w:tcBorders>
              <w:bottom w:val="single" w:sz="8" w:color="F0FFFF"/>
            </w:tcBorders>
          </w:tcPr>
          <w:p>
            <w:pPr>
              <w:spacing w:after="0"/>
              <w:rPr>
                <w:sz w:val="20"/>
                <w:szCs w:val="20"/>
                <w:color w:val="auto"/>
              </w:rPr>
            </w:pPr>
          </w:p>
        </w:tc>
      </w:tr>
      <w:tr>
        <w:trPr>
          <w:trHeight w:val="216"/>
        </w:trPr>
        <w:tc>
          <w:tcPr>
            <w:tcW w:w="4820" w:type="dxa"/>
            <w:vAlign w:val="bottom"/>
            <w:shd w:val="clear" w:color="auto" w:fill="F0FFFF"/>
          </w:tcPr>
          <w:p>
            <w:pPr>
              <w:spacing w:after="0"/>
              <w:rPr>
                <w:sz w:val="20"/>
                <w:szCs w:val="20"/>
                <w:color w:val="auto"/>
              </w:rPr>
            </w:pPr>
            <w:r>
              <w:rPr>
                <w:rFonts w:ascii="Arial" w:cs="Arial" w:eastAsia="Arial" w:hAnsi="Arial"/>
                <w:sz w:val="18"/>
                <w:szCs w:val="18"/>
                <w:color w:val="auto"/>
              </w:rPr>
              <w:t>200 basis point increase</w:t>
            </w: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adverse effect of interest rate changes on net interest revenue.</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recorded at fair value, with subsequent changes in value recorded through earnings.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derivative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$1.93 million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ensure its ability to meet its obligations. The size of the reserve is determined through severe liquidity stress testing and covers a 30 day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$23.1 million at September 30, 2015, and typically turn over every 45 days as the closed loans are sold to investors in the secondary market.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2015, United had cash and cash equivalent balances of $207 million and had sufficient qualifying collateral to increase FHLB advances by $1.20 billion and Federal Reserve discount window borrowing capacity of $866 million. United also has the ability to raise substantial funds through brokered deposits. In addition to these wholesale sources, United has the ability to attract retail deposits by competing more aggressively on pricing.</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$103 million for the nine months ended September 30, 2015. The net income of $53.4 million for the nine month period included the deferred income tax expense of $28.5 million, and non-cash expenses for the following: provision for credit losses of $3.40 million, depreciation, amortization and accretion of $16.8 million and stock-based compensation expense of $3.34 million. Additional sources of cash included a decrease in other assets and accrued interest receivable of $4.23 million and an increase in accrued expenses and other liabilities of $4.19 million. These sources of cash from operating activities were offset by an increase in mortgage loans held for sale of $5.56 million. Net cash used in investing activities of $225 million consisted primarily of a $325 million net increase in loans and purchases of investment securities totaling $477 million. These uses of cash were partially offset by $57.7 million in proceeds from maturities and calls of investment securities held-to-maturity, $275 million in proceeds from the sale of investment securities available-for-sale, $212 million in proceeds from maturities and calls of investment securities available-for-sale and $35.5 million in net cash received in the acquisitions. Net cash provided by financing activities of $136 million consisted primarily of a net increase in deposits of $219 million and proceeds from issuance of senior debt of $84.1 million partially offset by a net decrease in FHLB advances of $92.1 million, $48.5 million in payments to redeem trust preferred securities and $10.5 million in dividends to common shareholders. In the opinion of management, United’s liquidity position at September 30, 2015, was sufficient to meet its expected cash flow requirements.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United’s holding company is a separate entity and apart from the Bank, it must provide for its own liquidity. United’s holding company is responsible for the payment of dividends declared for its common and preferred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September 30, 2015 was $1.01 billion, an increase of $274 million from December 31, 2014 due to the issuance of stock for the acquisitions of Palmetto and MoneyTree, year-to-date earnings less dividends declared, and an increase in the value of available-for-sale securities.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of Governors of the Federal Reserve System and the FDIC have approved final rules implementing the Basel III Capital Rules establishing a new comprehensive capital framework applicable to all depository institutions, bank holding companies with total consolidated assets of $500 million of more and all savings and loan holding companies except for those that are substantially engaged in insurance underwriting or commercial activities. Under the Basel III Capital Rules, minimum requirements have increased for both the quantity and quality of capital held by United. The Basel III Capital Rules include a new common equity Tier 1 capital to risk-weighted assets minimum ratio of 4.5% and, for prompt corrective action purposes, a “well capitalized” ratio of 6.5%, raise the minimum ratio of Tier 1 capital to risk-weighted assets from 4.0% to 6.0%, require a minimum ratio of Total Capital to risk-weighted assets of 8.0%, and require a minimum Tier 1 leverage ratio of 4.0%. A new capital conservation buffer, comprised of common equity Tier 1 capital, is also established above the regulatory minimum capital requirements. This capital conservation buffer will be phased in beginning January 1, 2016 at 0.625% of risk-weighted assets and increase each subsequent year by an additional 0.625% until reaching its final level of 2.5% on January 1, 2019. Strict eligibility criteria for regulatory capital instruments were also implemented under the Basel III Capital Rules. The Basel III Capital Rules also revise the definition and calculation of Tier 1 capital, Total Capital, and risk-weighted assets.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7"/>
          <w:szCs w:val="17"/>
          <w:color w:val="auto"/>
        </w:rPr>
        <w:t>The Basel III Capital Rules became effective for United on January 1, 2015 subject to a phase in period. The following table shows United’s capital ratios, as calculated under applicable regulatory guidelines, at September 30, 2015, December 31, 2014 and September 30, 2014. As of September 30, 2015, United’s capital levels remained characterized as “well-capitalized” under the Basel III Capital Rules based on the rules in effect at the time.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8"/>
                <w:szCs w:val="18"/>
                <w:b w:val="1"/>
                <w:bCs w:val="1"/>
                <w:color w:val="auto"/>
                <w:w w:val="92"/>
              </w:rPr>
              <w:t>September 30, 2015</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10"/>
          </w:tcPr>
          <w:p>
            <w:pPr>
              <w:jc w:val="right"/>
              <w:ind w:right="620"/>
              <w:spacing w:after="0"/>
              <w:rPr>
                <w:sz w:val="20"/>
                <w:szCs w:val="20"/>
                <w:color w:val="auto"/>
              </w:rPr>
            </w:pPr>
            <w:r>
              <w:rPr>
                <w:rFonts w:ascii="Arial" w:cs="Arial" w:eastAsia="Arial" w:hAnsi="Arial"/>
                <w:sz w:val="18"/>
                <w:szCs w:val="18"/>
                <w:b w:val="1"/>
                <w:bCs w:val="1"/>
                <w:color w:val="auto"/>
              </w:rPr>
              <w:t>Basel III Guidelines</w:t>
            </w:r>
          </w:p>
        </w:tc>
        <w:tc>
          <w:tcPr>
            <w:tcW w:w="160" w:type="dxa"/>
            <w:vAlign w:val="bottom"/>
          </w:tcPr>
          <w:p>
            <w:pPr>
              <w:spacing w:after="0"/>
              <w:rPr>
                <w:sz w:val="20"/>
                <w:szCs w:val="20"/>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United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2"/>
              </w:rPr>
              <w:t>United</w:t>
            </w:r>
          </w:p>
        </w:tc>
        <w:tc>
          <w:tcPr>
            <w:tcW w:w="46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1"/>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Well</w:t>
            </w: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Community</w:t>
            </w:r>
          </w:p>
        </w:tc>
        <w:tc>
          <w:tcPr>
            <w:tcW w:w="200" w:type="dxa"/>
            <w:vAlign w:val="bottom"/>
          </w:tcPr>
          <w:p>
            <w:pPr>
              <w:spacing w:after="0"/>
              <w:rPr>
                <w:sz w:val="18"/>
                <w:szCs w:val="18"/>
                <w:color w:val="auto"/>
              </w:rPr>
            </w:pPr>
          </w:p>
        </w:tc>
        <w:tc>
          <w:tcPr>
            <w:tcW w:w="1720" w:type="dxa"/>
            <w:vAlign w:val="bottom"/>
            <w:gridSpan w:val="8"/>
          </w:tcPr>
          <w:p>
            <w:pPr>
              <w:jc w:val="center"/>
              <w:ind w:right="720"/>
              <w:spacing w:after="0"/>
              <w:rPr>
                <w:sz w:val="20"/>
                <w:szCs w:val="20"/>
                <w:color w:val="auto"/>
              </w:rPr>
            </w:pPr>
            <w:r>
              <w:rPr>
                <w:rFonts w:ascii="Arial" w:cs="Arial" w:eastAsia="Arial" w:hAnsi="Arial"/>
                <w:sz w:val="18"/>
                <w:szCs w:val="18"/>
                <w:b w:val="1"/>
                <w:bCs w:val="1"/>
                <w:color w:val="auto"/>
                <w:w w:val="92"/>
              </w:rPr>
              <w:t>Community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8"/>
              </w:rPr>
              <w:t>Minimum</w:t>
            </w:r>
          </w:p>
        </w:tc>
        <w:tc>
          <w:tcPr>
            <w:tcW w:w="128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6"/>
              </w:rPr>
              <w:t>Capitalized</w:t>
            </w:r>
          </w:p>
        </w:tc>
        <w:tc>
          <w:tcPr>
            <w:tcW w:w="10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Banks, Inc.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6"/>
          </w:tcPr>
          <w:p>
            <w:pPr>
              <w:jc w:val="center"/>
              <w:ind w:right="920"/>
              <w:spacing w:after="0"/>
              <w:rPr>
                <w:sz w:val="20"/>
                <w:szCs w:val="20"/>
                <w:color w:val="auto"/>
              </w:rPr>
            </w:pPr>
            <w:r>
              <w:rPr>
                <w:rFonts w:ascii="Arial" w:cs="Arial" w:eastAsia="Arial" w:hAnsi="Arial"/>
                <w:sz w:val="18"/>
                <w:szCs w:val="18"/>
                <w:b w:val="1"/>
                <w:bCs w:val="1"/>
                <w:color w:val="auto"/>
                <w:w w:val="90"/>
              </w:rPr>
              <w:t>Bank</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tcPr>
          <w:p>
            <w:pPr>
              <w:ind w:left="160"/>
              <w:spacing w:after="0"/>
              <w:rPr>
                <w:sz w:val="20"/>
                <w:szCs w:val="20"/>
                <w:color w:val="auto"/>
              </w:rPr>
            </w:pPr>
            <w:r>
              <w:rPr>
                <w:rFonts w:ascii="Arial" w:cs="Arial" w:eastAsia="Arial" w:hAnsi="Arial"/>
                <w:sz w:val="18"/>
                <w:szCs w:val="18"/>
                <w:color w:val="auto"/>
              </w:rPr>
              <w:t>Common equity tier 1 capital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I capital</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60" w:type="dxa"/>
            <w:vAlign w:val="bottom"/>
            <w:gridSpan w:val="3"/>
            <w:shd w:val="clear" w:color="auto" w:fill="F0FFFF"/>
          </w:tcPr>
          <w:p>
            <w:pPr>
              <w:ind w:left="6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8.0</w:t>
            </w:r>
          </w:p>
        </w:tc>
        <w:tc>
          <w:tcPr>
            <w:tcW w:w="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93"/>
              </w:rPr>
              <w:t>12.63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Tier 1 leverage ratio</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60" w:type="dxa"/>
            <w:vAlign w:val="bottom"/>
            <w:gridSpan w:val="3"/>
            <w:shd w:val="clear" w:color="auto" w:fill="F0FFFF"/>
          </w:tcPr>
          <w:p>
            <w:pPr>
              <w:ind w:left="6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5.0</w:t>
            </w:r>
          </w:p>
        </w:tc>
        <w:tc>
          <w:tcPr>
            <w:tcW w:w="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93"/>
              </w:rPr>
              <w:t>10.31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Common equity tier 1 capital</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5"/>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89"/>
              </w:rPr>
              <w:t>744,462</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960" w:type="dxa"/>
            <w:vAlign w:val="bottom"/>
            <w:gridSpan w:val="4"/>
            <w:shd w:val="clear" w:color="auto" w:fill="F0FFFF"/>
          </w:tcPr>
          <w:p>
            <w:pPr>
              <w:jc w:val="right"/>
              <w:ind w:right="160"/>
              <w:spacing w:after="0"/>
              <w:rPr>
                <w:sz w:val="20"/>
                <w:szCs w:val="20"/>
                <w:color w:val="auto"/>
              </w:rPr>
            </w:pPr>
            <w:r>
              <w:rPr>
                <w:rFonts w:ascii="Arial" w:cs="Arial" w:eastAsia="Arial" w:hAnsi="Arial"/>
                <w:sz w:val="18"/>
                <w:szCs w:val="18"/>
                <w:color w:val="auto"/>
              </w:rPr>
              <w:t>851,513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I capital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744,462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851,513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Total capital</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89"/>
              </w:rPr>
              <w:t>816,454</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gridSpan w:val="4"/>
            <w:shd w:val="clear" w:color="auto" w:fill="F0FFFF"/>
          </w:tcPr>
          <w:p>
            <w:pPr>
              <w:jc w:val="right"/>
              <w:ind w:right="160"/>
              <w:spacing w:after="0"/>
              <w:rPr>
                <w:sz w:val="20"/>
                <w:szCs w:val="20"/>
                <w:color w:val="auto"/>
              </w:rPr>
            </w:pPr>
            <w:r>
              <w:rPr>
                <w:rFonts w:ascii="Arial" w:cs="Arial" w:eastAsia="Arial" w:hAnsi="Arial"/>
                <w:sz w:val="18"/>
                <w:szCs w:val="18"/>
                <w:color w:val="auto"/>
              </w:rPr>
              <w:t>923,505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Risk-weighted assets</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gridSpan w:val="4"/>
            <w:shd w:val="clear" w:color="auto" w:fill="F0FFFF"/>
          </w:tcPr>
          <w:p>
            <w:pPr>
              <w:jc w:val="right"/>
              <w:ind w:right="40"/>
              <w:spacing w:after="0"/>
              <w:rPr>
                <w:sz w:val="20"/>
                <w:szCs w:val="20"/>
                <w:color w:val="auto"/>
              </w:rPr>
            </w:pPr>
            <w:r>
              <w:rPr>
                <w:rFonts w:ascii="Arial" w:cs="Arial" w:eastAsia="Arial" w:hAnsi="Arial"/>
                <w:sz w:val="18"/>
                <w:szCs w:val="18"/>
                <w:color w:val="auto"/>
                <w:w w:val="97"/>
              </w:rPr>
              <w:t>6,752,253</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8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w w:val="97"/>
              </w:rPr>
              <w:t>6,741,340</w:t>
            </w:r>
          </w:p>
        </w:tc>
        <w:tc>
          <w:tcPr>
            <w:tcW w:w="160" w:type="dxa"/>
            <w:vAlign w:val="bottom"/>
            <w:shd w:val="clear" w:color="auto" w:fill="F0FFFF"/>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Average total assets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w w:val="97"/>
              </w:rPr>
              <w:t>8,270,703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8,255,553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0"/>
        </w:trPr>
        <w:tc>
          <w:tcPr>
            <w:tcW w:w="3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gridSpan w:val="13"/>
          </w:tcPr>
          <w:p>
            <w:pPr>
              <w:ind w:left="20"/>
              <w:spacing w:after="0"/>
              <w:rPr>
                <w:sz w:val="20"/>
                <w:szCs w:val="20"/>
                <w:color w:val="auto"/>
              </w:rPr>
            </w:pPr>
            <w:r>
              <w:rPr>
                <w:rFonts w:ascii="Arial" w:cs="Arial" w:eastAsia="Arial" w:hAnsi="Arial"/>
                <w:sz w:val="18"/>
                <w:szCs w:val="18"/>
                <w:b w:val="1"/>
                <w:bCs w:val="1"/>
                <w:color w:val="auto"/>
                <w:w w:val="93"/>
              </w:rPr>
              <w:t>United Community Banks, Inc.</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3240" w:type="dxa"/>
            <w:vAlign w:val="bottom"/>
          </w:tcPr>
          <w:p>
            <w:pPr>
              <w:spacing w:after="0"/>
              <w:rPr>
                <w:sz w:val="20"/>
                <w:szCs w:val="20"/>
                <w:color w:val="auto"/>
              </w:rPr>
            </w:pPr>
          </w:p>
        </w:tc>
        <w:tc>
          <w:tcPr>
            <w:tcW w:w="2240" w:type="dxa"/>
            <w:vAlign w:val="bottom"/>
            <w:gridSpan w:val="7"/>
          </w:tcPr>
          <w:p>
            <w:pPr>
              <w:ind w:left="380"/>
              <w:spacing w:after="0"/>
              <w:rPr>
                <w:sz w:val="20"/>
                <w:szCs w:val="20"/>
                <w:color w:val="auto"/>
              </w:rPr>
            </w:pPr>
            <w:r>
              <w:rPr>
                <w:rFonts w:ascii="Arial" w:cs="Arial" w:eastAsia="Arial" w:hAnsi="Arial"/>
                <w:sz w:val="18"/>
                <w:szCs w:val="18"/>
                <w:b w:val="1"/>
                <w:bCs w:val="1"/>
                <w:color w:val="auto"/>
              </w:rPr>
              <w:t>Basel I Guidelines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9"/>
          </w:tcPr>
          <w:p>
            <w:pPr>
              <w:jc w:val="right"/>
              <w:ind w:right="300"/>
              <w:spacing w:after="0"/>
              <w:rPr>
                <w:sz w:val="20"/>
                <w:szCs w:val="20"/>
                <w:color w:val="auto"/>
              </w:rPr>
            </w:pPr>
            <w:r>
              <w:rPr>
                <w:rFonts w:ascii="Arial" w:cs="Arial" w:eastAsia="Arial" w:hAnsi="Arial"/>
                <w:sz w:val="18"/>
                <w:szCs w:val="18"/>
                <w:b w:val="1"/>
                <w:bCs w:val="1"/>
                <w:color w:val="auto"/>
              </w:rPr>
              <w:t>(Consolidated)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6"/>
              </w:rPr>
              <w:t>United Community Bank</w:t>
            </w:r>
          </w:p>
        </w:tc>
      </w:tr>
      <w:tr>
        <w:trPr>
          <w:trHeight w:val="211"/>
        </w:trPr>
        <w:tc>
          <w:tcPr>
            <w:tcW w:w="3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Well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86"/>
              </w:rPr>
              <w:t>September 30,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8"/>
                <w:szCs w:val="18"/>
                <w:color w:val="auto"/>
              </w:rPr>
            </w:pPr>
          </w:p>
        </w:tc>
      </w:tr>
      <w:tr>
        <w:trPr>
          <w:trHeight w:val="241"/>
        </w:trPr>
        <w:tc>
          <w:tcPr>
            <w:tcW w:w="3240" w:type="dxa"/>
            <w:vAlign w:val="bottom"/>
          </w:tcPr>
          <w:p>
            <w:pPr>
              <w:spacing w:after="0"/>
              <w:rPr>
                <w:sz w:val="20"/>
                <w:szCs w:val="20"/>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4"/>
              </w:rPr>
              <w:t>Capitalized</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16"/>
        </w:trPr>
        <w:tc>
          <w:tcPr>
            <w:tcW w:w="324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1100" w:type="dxa"/>
            <w:vAlign w:val="bottom"/>
            <w:gridSpan w:val="3"/>
          </w:tcPr>
          <w:p>
            <w:pPr>
              <w:ind w:left="720"/>
              <w:spacing w:after="0"/>
              <w:rPr>
                <w:sz w:val="20"/>
                <w:szCs w:val="20"/>
                <w:color w:val="auto"/>
              </w:rPr>
            </w:pPr>
            <w:r>
              <w:rPr>
                <w:rFonts w:ascii="Arial" w:cs="Arial" w:eastAsia="Arial" w:hAnsi="Arial"/>
                <w:sz w:val="18"/>
                <w:szCs w:val="18"/>
                <w:color w:val="auto"/>
                <w:w w:val="87"/>
              </w:rPr>
              <w:t>4.0%</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6"/>
          </w:tcPr>
          <w:p>
            <w:pPr>
              <w:jc w:val="right"/>
              <w:ind w:right="30"/>
              <w:spacing w:after="0"/>
              <w:rPr>
                <w:sz w:val="20"/>
                <w:szCs w:val="20"/>
                <w:color w:val="auto"/>
              </w:rPr>
            </w:pPr>
            <w:r>
              <w:rPr>
                <w:rFonts w:ascii="Arial" w:cs="Arial" w:eastAsia="Arial" w:hAnsi="Arial"/>
                <w:sz w:val="18"/>
                <w:szCs w:val="18"/>
                <w:color w:val="auto"/>
              </w:rPr>
              <w:t>12.07%</w:t>
            </w:r>
          </w:p>
        </w:tc>
        <w:tc>
          <w:tcPr>
            <w:tcW w:w="14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12.84%</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12.58%</w:t>
            </w:r>
          </w:p>
        </w:tc>
      </w:tr>
      <w:tr>
        <w:trPr>
          <w:trHeight w:val="216"/>
        </w:trPr>
        <w:tc>
          <w:tcPr>
            <w:tcW w:w="3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F0FFFF"/>
          </w:tcPr>
          <w:p>
            <w:pPr>
              <w:spacing w:after="0"/>
              <w:rPr>
                <w:sz w:val="18"/>
                <w:szCs w:val="18"/>
                <w:color w:val="auto"/>
              </w:rPr>
            </w:pPr>
          </w:p>
        </w:tc>
        <w:tc>
          <w:tcPr>
            <w:tcW w:w="1140" w:type="dxa"/>
            <w:vAlign w:val="bottom"/>
            <w:gridSpan w:val="4"/>
            <w:shd w:val="clear" w:color="auto" w:fill="F0FFFF"/>
          </w:tcPr>
          <w:p>
            <w:pPr>
              <w:jc w:val="right"/>
              <w:ind w:right="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4"/>
            <w:shd w:val="clear" w:color="auto" w:fill="F0FFFF"/>
          </w:tcPr>
          <w:p>
            <w:pPr>
              <w:jc w:val="right"/>
              <w:ind w:right="20"/>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13.32</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14.09</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13.83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Leverage ratio</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8.72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r>
      <w:tr>
        <w:trPr>
          <w:trHeight w:val="216"/>
        </w:trPr>
        <w:tc>
          <w:tcPr>
            <w:tcW w:w="3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3"/>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4"/>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gridSpan w:val="3"/>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I capital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642,663</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627,523</w:t>
            </w:r>
          </w:p>
        </w:tc>
        <w:tc>
          <w:tcPr>
            <w:tcW w:w="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683,332</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652,748</w:t>
            </w: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Total capital</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4"/>
            <w:shd w:val="clear" w:color="auto" w:fill="F0FFFF"/>
          </w:tcPr>
          <w:p>
            <w:pPr>
              <w:jc w:val="right"/>
              <w:ind w:right="20"/>
              <w:spacing w:after="0"/>
              <w:rPr>
                <w:sz w:val="20"/>
                <w:szCs w:val="20"/>
                <w:color w:val="auto"/>
              </w:rPr>
            </w:pPr>
            <w:r>
              <w:rPr>
                <w:rFonts w:ascii="Arial" w:cs="Arial" w:eastAsia="Arial" w:hAnsi="Arial"/>
                <w:sz w:val="18"/>
                <w:szCs w:val="18"/>
                <w:color w:val="auto"/>
              </w:rPr>
              <w:t>709,408</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692,641</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749,927</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717,730</w:t>
            </w:r>
          </w:p>
        </w:tc>
      </w:tr>
      <w:tr>
        <w:trPr>
          <w:trHeight w:val="216"/>
        </w:trPr>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F0FFFF"/>
          </w:tcPr>
          <w:p>
            <w:pPr>
              <w:spacing w:after="0"/>
              <w:rPr>
                <w:sz w:val="20"/>
                <w:szCs w:val="20"/>
                <w:color w:val="auto"/>
              </w:rPr>
            </w:pPr>
            <w:r>
              <w:rPr>
                <w:rFonts w:ascii="Arial" w:cs="Arial" w:eastAsia="Arial" w:hAnsi="Arial"/>
                <w:sz w:val="18"/>
                <w:szCs w:val="18"/>
                <w:color w:val="auto"/>
              </w:rPr>
              <w:t>Risk-weighted assets</w:t>
            </w: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4"/>
            <w:shd w:val="clear" w:color="auto" w:fill="F0FFFF"/>
          </w:tcPr>
          <w:p>
            <w:pPr>
              <w:jc w:val="right"/>
              <w:ind w:right="20"/>
              <w:spacing w:after="0"/>
              <w:rPr>
                <w:sz w:val="20"/>
                <w:szCs w:val="20"/>
                <w:color w:val="auto"/>
              </w:rPr>
            </w:pPr>
            <w:r>
              <w:rPr>
                <w:rFonts w:ascii="Arial" w:cs="Arial" w:eastAsia="Arial" w:hAnsi="Arial"/>
                <w:sz w:val="18"/>
                <w:szCs w:val="18"/>
                <w:color w:val="auto"/>
              </w:rPr>
              <w:t>5,332,822</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5,200,260</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5,320,615</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5,189,322</w:t>
            </w:r>
          </w:p>
        </w:tc>
        <w:tc>
          <w:tcPr>
            <w:tcW w:w="160" w:type="dxa"/>
            <w:vAlign w:val="bottom"/>
            <w:shd w:val="clear" w:color="auto" w:fill="F0FFFF"/>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Average total assets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7,396,450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7,193,763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7,385,048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7,185,923</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Basel III guidelines for risk-based capital became effective January 1, 2015. The capital ratios shown above as of September 30, 2015 were calculated under the Basel III guidelines. Capital ratios for all other periods were calculated using the existing Basel I guidelines that were in effect at the time.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Stock Price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2015</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Avg Daily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Close</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Volume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Close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Volume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F0FFFF"/>
          </w:tcPr>
          <w:p>
            <w:pPr>
              <w:spacing w:after="0"/>
              <w:rPr>
                <w:sz w:val="20"/>
                <w:szCs w:val="20"/>
                <w:color w:val="auto"/>
              </w:rPr>
            </w:pPr>
            <w:r>
              <w:rPr>
                <w:rFonts w:ascii="Arial" w:cs="Arial" w:eastAsia="Arial" w:hAnsi="Arial"/>
                <w:sz w:val="18"/>
                <w:szCs w:val="18"/>
                <w:color w:val="auto"/>
              </w:rPr>
              <w:t>First quarter</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19.53</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234,966</w:t>
            </w:r>
          </w:p>
        </w:tc>
        <w:tc>
          <w:tcPr>
            <w:tcW w:w="4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20.28</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15.74</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19.41</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328,887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F0FFFF"/>
          </w:tcPr>
          <w:p>
            <w:pPr>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22.23</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319,884</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16.46</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331,109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18.94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262,598</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ind w:right="49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September 30, 2015 from that presented in the Annual Report on Form 10-K for the year ended December 31, 2014. The interest rate sensitivity position at September 30, 2015 is included in management’s discussion and analysis on page 64 of this report.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September 30, 2015.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w w:val="97"/>
              </w:rPr>
              <w:t>Exhibits</w:t>
            </w:r>
          </w:p>
        </w:tc>
        <w:tc>
          <w:tcPr>
            <w:tcW w:w="9740" w:type="dxa"/>
            <w:vAlign w:val="bottom"/>
          </w:tcPr>
          <w:p>
            <w:pPr>
              <w:spacing w:after="0"/>
              <w:rPr>
                <w:sz w:val="20"/>
                <w:szCs w:val="20"/>
                <w:color w:val="auto"/>
              </w:rPr>
            </w:pPr>
          </w:p>
        </w:tc>
      </w:tr>
      <w:tr>
        <w:trPr>
          <w:trHeight w:val="432"/>
        </w:trPr>
        <w:tc>
          <w:tcPr>
            <w:tcW w:w="1680" w:type="dxa"/>
            <w:vAlign w:val="bottom"/>
            <w:gridSpan w:val="2"/>
          </w:tcPr>
          <w:p>
            <w:pPr>
              <w:ind w:left="18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418"/>
        </w:trPr>
        <w:tc>
          <w:tcPr>
            <w:tcW w:w="900" w:type="dxa"/>
            <w:vAlign w:val="bottom"/>
          </w:tcPr>
          <w:p>
            <w:pPr>
              <w:ind w:left="500"/>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3"/>
              </w:rPr>
              <w:t>Certification by Jimmy C. Tallent, Chairman and Chief Executive Officer of United Community Banks, Inc., as adopted pursuant to</w:t>
            </w:r>
          </w:p>
        </w:tc>
      </w:tr>
      <w:tr>
        <w:trPr>
          <w:trHeight w:val="230"/>
        </w:trPr>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00" w:type="dxa"/>
            <w:vAlign w:val="bottom"/>
          </w:tcPr>
          <w:p>
            <w:pPr>
              <w:ind w:left="500"/>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Certification by Rex S. Schuette, Executive Vice President and Chief Financial Officer of United Community Banks, Inc., as adopted</w:t>
            </w:r>
          </w:p>
        </w:tc>
      </w:tr>
      <w:tr>
        <w:trPr>
          <w:trHeight w:val="230"/>
        </w:trPr>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900" w:type="dxa"/>
            <w:vAlign w:val="bottom"/>
          </w:tcPr>
          <w:p>
            <w:pPr>
              <w:ind w:left="50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101.SCH</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101.DEF</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101.LAB</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740" w:type="dxa"/>
            <w:vAlign w:val="bottom"/>
          </w:tcPr>
          <w:p>
            <w:pPr>
              <w:ind w:left="362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6,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2015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606"/>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2019-12-29T14:43:11Z</dcterms:created>
  <dcterms:modified xsi:type="dcterms:W3CDTF">2019-12-29T14:43:11Z</dcterms:modified>
</cp:coreProperties>
</file>