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3"/>
        </w:trPr>
        <w:tc>
          <w:tcPr>
            <w:tcW w:w="18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20" w:type="dxa"/>
            <w:vAlign w:val="bottom"/>
            <w:gridSpan w:val="3"/>
          </w:tcPr>
          <w:p>
            <w:pPr>
              <w:jc w:val="center"/>
              <w:ind w:right="1000"/>
              <w:spacing w:after="0"/>
              <w:rPr>
                <w:sz w:val="20"/>
                <w:szCs w:val="20"/>
                <w:color w:val="auto"/>
              </w:rPr>
            </w:pPr>
            <w:r>
              <w:rPr>
                <w:rFonts w:ascii="Arial" w:cs="Arial" w:eastAsia="Arial" w:hAnsi="Arial"/>
                <w:sz w:val="16"/>
                <w:szCs w:val="16"/>
                <w:b w:val="1"/>
                <w:bCs w:val="1"/>
                <w:color w:val="auto"/>
                <w:w w:val="99"/>
              </w:rPr>
              <w:t>UNITED STATES</w:t>
            </w:r>
          </w:p>
        </w:tc>
        <w:tc>
          <w:tcPr>
            <w:tcW w:w="16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3"/>
        </w:trPr>
        <w:tc>
          <w:tcPr>
            <w:tcW w:w="18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80" w:type="dxa"/>
            <w:vAlign w:val="bottom"/>
            <w:gridSpan w:val="4"/>
          </w:tcPr>
          <w:p>
            <w:pPr>
              <w:jc w:val="center"/>
              <w:ind w:right="540"/>
              <w:spacing w:after="0"/>
              <w:rPr>
                <w:sz w:val="20"/>
                <w:szCs w:val="20"/>
                <w:color w:val="auto"/>
              </w:rPr>
            </w:pPr>
            <w:r>
              <w:rPr>
                <w:rFonts w:ascii="Arial" w:cs="Arial" w:eastAsia="Arial" w:hAnsi="Arial"/>
                <w:sz w:val="16"/>
                <w:szCs w:val="16"/>
                <w:b w:val="1"/>
                <w:bCs w:val="1"/>
                <w:color w:val="auto"/>
              </w:rPr>
              <w:t>SECURITIES AND EXCHANGE COMMISSION</w:t>
            </w:r>
          </w:p>
        </w:tc>
        <w:tc>
          <w:tcPr>
            <w:tcW w:w="16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10"/>
        </w:trPr>
        <w:tc>
          <w:tcPr>
            <w:tcW w:w="1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20" w:type="dxa"/>
            <w:vAlign w:val="bottom"/>
            <w:gridSpan w:val="3"/>
          </w:tcPr>
          <w:p>
            <w:pPr>
              <w:jc w:val="center"/>
              <w:ind w:right="1000"/>
              <w:spacing w:after="0"/>
              <w:rPr>
                <w:sz w:val="20"/>
                <w:szCs w:val="20"/>
                <w:color w:val="auto"/>
              </w:rPr>
            </w:pPr>
            <w:r>
              <w:rPr>
                <w:rFonts w:ascii="Arial" w:cs="Arial" w:eastAsia="Arial" w:hAnsi="Arial"/>
                <w:sz w:val="16"/>
                <w:szCs w:val="16"/>
                <w:b w:val="1"/>
                <w:bCs w:val="1"/>
                <w:color w:val="auto"/>
                <w:w w:val="91"/>
              </w:rPr>
              <w:t>Washington, D.C. 20549</w:t>
            </w:r>
          </w:p>
        </w:tc>
        <w:tc>
          <w:tcPr>
            <w:tcW w:w="16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92"/>
        </w:trPr>
        <w:tc>
          <w:tcPr>
            <w:tcW w:w="1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20" w:type="dxa"/>
            <w:vAlign w:val="bottom"/>
            <w:gridSpan w:val="3"/>
          </w:tcPr>
          <w:p>
            <w:pPr>
              <w:jc w:val="center"/>
              <w:ind w:right="1020"/>
              <w:spacing w:after="0"/>
              <w:rPr>
                <w:sz w:val="20"/>
                <w:szCs w:val="20"/>
                <w:color w:val="auto"/>
              </w:rPr>
            </w:pPr>
            <w:r>
              <w:rPr>
                <w:rFonts w:ascii="Arial" w:cs="Arial" w:eastAsia="Arial" w:hAnsi="Arial"/>
                <w:sz w:val="16"/>
                <w:szCs w:val="16"/>
                <w:b w:val="1"/>
                <w:bCs w:val="1"/>
                <w:color w:val="auto"/>
              </w:rPr>
              <w:t>FORM 10-Q</w:t>
            </w:r>
          </w:p>
        </w:tc>
        <w:tc>
          <w:tcPr>
            <w:tcW w:w="16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97"/>
        </w:trPr>
        <w:tc>
          <w:tcPr>
            <w:tcW w:w="1840" w:type="dxa"/>
            <w:vAlign w:val="bottom"/>
          </w:tcPr>
          <w:p>
            <w:pPr>
              <w:spacing w:after="0"/>
              <w:rPr>
                <w:sz w:val="24"/>
                <w:szCs w:val="24"/>
                <w:color w:val="auto"/>
              </w:rPr>
            </w:pPr>
          </w:p>
        </w:tc>
        <w:tc>
          <w:tcPr>
            <w:tcW w:w="134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gridSpan w:val="5"/>
          </w:tcPr>
          <w:p>
            <w:pPr>
              <w:jc w:val="center"/>
              <w:ind w:left="99"/>
              <w:spacing w:after="0"/>
              <w:rPr>
                <w:sz w:val="20"/>
                <w:szCs w:val="20"/>
                <w:color w:val="auto"/>
              </w:rPr>
            </w:pPr>
            <w:r>
              <w:rPr>
                <w:rFonts w:ascii="Arial" w:cs="Arial" w:eastAsia="Arial" w:hAnsi="Arial"/>
                <w:sz w:val="16"/>
                <w:szCs w:val="16"/>
                <w:b w:val="1"/>
                <w:bCs w:val="1"/>
                <w:color w:val="auto"/>
                <w:w w:val="99"/>
              </w:rPr>
              <w:t>QUARTERLY REPORT PURSUANT TO SECTION 13 OR 15(d)</w:t>
            </w:r>
          </w:p>
        </w:tc>
        <w:tc>
          <w:tcPr>
            <w:tcW w:w="16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10"/>
        </w:trPr>
        <w:tc>
          <w:tcPr>
            <w:tcW w:w="1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800" w:type="dxa"/>
            <w:vAlign w:val="bottom"/>
            <w:gridSpan w:val="5"/>
          </w:tcPr>
          <w:p>
            <w:pPr>
              <w:jc w:val="center"/>
              <w:ind w:left="99"/>
              <w:spacing w:after="0"/>
              <w:rPr>
                <w:sz w:val="20"/>
                <w:szCs w:val="20"/>
                <w:color w:val="auto"/>
              </w:rPr>
            </w:pPr>
            <w:r>
              <w:rPr>
                <w:rFonts w:ascii="Arial" w:cs="Arial" w:eastAsia="Arial" w:hAnsi="Arial"/>
                <w:sz w:val="16"/>
                <w:szCs w:val="16"/>
                <w:b w:val="1"/>
                <w:bCs w:val="1"/>
                <w:color w:val="auto"/>
              </w:rPr>
              <w:t>OF THE SECURITIES EXCHANGE ACT OF 1934</w:t>
            </w:r>
          </w:p>
        </w:tc>
        <w:tc>
          <w:tcPr>
            <w:tcW w:w="16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92"/>
        </w:trPr>
        <w:tc>
          <w:tcPr>
            <w:tcW w:w="1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80" w:type="dxa"/>
            <w:vAlign w:val="bottom"/>
            <w:gridSpan w:val="4"/>
          </w:tcPr>
          <w:p>
            <w:pPr>
              <w:jc w:val="center"/>
              <w:ind w:right="540"/>
              <w:spacing w:after="0"/>
              <w:rPr>
                <w:sz w:val="20"/>
                <w:szCs w:val="20"/>
                <w:color w:val="auto"/>
              </w:rPr>
            </w:pPr>
            <w:r>
              <w:rPr>
                <w:rFonts w:ascii="Arial" w:cs="Arial" w:eastAsia="Arial" w:hAnsi="Arial"/>
                <w:sz w:val="16"/>
                <w:szCs w:val="16"/>
                <w:b w:val="1"/>
                <w:bCs w:val="1"/>
                <w:color w:val="auto"/>
                <w:w w:val="93"/>
              </w:rPr>
              <w:t>For the Quarterly Period Ended March 31, 2019</w:t>
            </w:r>
          </w:p>
        </w:tc>
        <w:tc>
          <w:tcPr>
            <w:tcW w:w="16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70"/>
        </w:trPr>
        <w:tc>
          <w:tcPr>
            <w:tcW w:w="18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20" w:type="dxa"/>
            <w:vAlign w:val="bottom"/>
            <w:gridSpan w:val="3"/>
          </w:tcPr>
          <w:p>
            <w:pPr>
              <w:jc w:val="center"/>
              <w:ind w:right="1020"/>
              <w:spacing w:after="0"/>
              <w:rPr>
                <w:sz w:val="20"/>
                <w:szCs w:val="20"/>
                <w:color w:val="auto"/>
              </w:rPr>
            </w:pPr>
            <w:r>
              <w:rPr>
                <w:rFonts w:ascii="Arial" w:cs="Arial" w:eastAsia="Arial" w:hAnsi="Arial"/>
                <w:sz w:val="16"/>
                <w:szCs w:val="16"/>
                <w:b w:val="1"/>
                <w:bCs w:val="1"/>
                <w:color w:val="auto"/>
                <w:w w:val="99"/>
              </w:rPr>
              <w:t>OR</w:t>
            </w:r>
          </w:p>
        </w:tc>
        <w:tc>
          <w:tcPr>
            <w:tcW w:w="16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397"/>
        </w:trPr>
        <w:tc>
          <w:tcPr>
            <w:tcW w:w="1840" w:type="dxa"/>
            <w:vAlign w:val="bottom"/>
          </w:tcPr>
          <w:p>
            <w:pPr>
              <w:spacing w:after="0"/>
              <w:rPr>
                <w:sz w:val="24"/>
                <w:szCs w:val="24"/>
                <w:color w:val="auto"/>
              </w:rPr>
            </w:pPr>
          </w:p>
        </w:tc>
        <w:tc>
          <w:tcPr>
            <w:tcW w:w="134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gridSpan w:val="5"/>
          </w:tcPr>
          <w:p>
            <w:pPr>
              <w:jc w:val="center"/>
              <w:ind w:left="99"/>
              <w:spacing w:after="0"/>
              <w:rPr>
                <w:sz w:val="20"/>
                <w:szCs w:val="20"/>
                <w:color w:val="auto"/>
              </w:rPr>
            </w:pPr>
            <w:r>
              <w:rPr>
                <w:rFonts w:ascii="Arial" w:cs="Arial" w:eastAsia="Arial" w:hAnsi="Arial"/>
                <w:sz w:val="16"/>
                <w:szCs w:val="16"/>
                <w:b w:val="1"/>
                <w:bCs w:val="1"/>
                <w:color w:val="auto"/>
              </w:rPr>
              <w:t>TRANSITION REPORT PURSUANT TO SECTION 13 OR 15(d)</w:t>
            </w:r>
          </w:p>
        </w:tc>
        <w:tc>
          <w:tcPr>
            <w:tcW w:w="16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10"/>
        </w:trPr>
        <w:tc>
          <w:tcPr>
            <w:tcW w:w="1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800" w:type="dxa"/>
            <w:vAlign w:val="bottom"/>
            <w:gridSpan w:val="5"/>
          </w:tcPr>
          <w:p>
            <w:pPr>
              <w:jc w:val="center"/>
              <w:ind w:left="99"/>
              <w:spacing w:after="0"/>
              <w:rPr>
                <w:sz w:val="20"/>
                <w:szCs w:val="20"/>
                <w:color w:val="auto"/>
              </w:rPr>
            </w:pPr>
            <w:r>
              <w:rPr>
                <w:rFonts w:ascii="Arial" w:cs="Arial" w:eastAsia="Arial" w:hAnsi="Arial"/>
                <w:sz w:val="16"/>
                <w:szCs w:val="16"/>
                <w:b w:val="1"/>
                <w:bCs w:val="1"/>
                <w:color w:val="auto"/>
              </w:rPr>
              <w:t>OF THE SECURITIES EXCHANGE ACT OF 1934</w:t>
            </w:r>
          </w:p>
        </w:tc>
        <w:tc>
          <w:tcPr>
            <w:tcW w:w="16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57"/>
        </w:trPr>
        <w:tc>
          <w:tcPr>
            <w:tcW w:w="18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4800" w:type="dxa"/>
            <w:vAlign w:val="bottom"/>
            <w:gridSpan w:val="5"/>
          </w:tcPr>
          <w:p>
            <w:pPr>
              <w:jc w:val="center"/>
              <w:ind w:left="99"/>
              <w:spacing w:after="0"/>
              <w:rPr>
                <w:sz w:val="20"/>
                <w:szCs w:val="20"/>
                <w:color w:val="auto"/>
              </w:rPr>
            </w:pPr>
            <w:r>
              <w:rPr>
                <w:rFonts w:ascii="Arial" w:cs="Arial" w:eastAsia="Arial" w:hAnsi="Arial"/>
                <w:sz w:val="16"/>
                <w:szCs w:val="16"/>
                <w:b w:val="1"/>
                <w:bCs w:val="1"/>
                <w:color w:val="auto"/>
                <w:w w:val="91"/>
              </w:rPr>
              <w:t>For the Transition Period from ___________ to ___________</w:t>
            </w:r>
          </w:p>
        </w:tc>
        <w:tc>
          <w:tcPr>
            <w:tcW w:w="16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405"/>
        </w:trPr>
        <w:tc>
          <w:tcPr>
            <w:tcW w:w="1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20" w:type="dxa"/>
            <w:vAlign w:val="bottom"/>
            <w:gridSpan w:val="3"/>
          </w:tcPr>
          <w:p>
            <w:pPr>
              <w:jc w:val="center"/>
              <w:ind w:right="1020"/>
              <w:spacing w:after="0"/>
              <w:rPr>
                <w:sz w:val="20"/>
                <w:szCs w:val="20"/>
                <w:color w:val="auto"/>
              </w:rPr>
            </w:pPr>
            <w:r>
              <w:rPr>
                <w:rFonts w:ascii="Arial" w:cs="Arial" w:eastAsia="Arial" w:hAnsi="Arial"/>
                <w:sz w:val="16"/>
                <w:szCs w:val="16"/>
                <w:b w:val="1"/>
                <w:bCs w:val="1"/>
                <w:color w:val="auto"/>
                <w:w w:val="91"/>
              </w:rPr>
              <w:t>Commission file number 001-35095</w:t>
            </w:r>
          </w:p>
        </w:tc>
        <w:tc>
          <w:tcPr>
            <w:tcW w:w="16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594"/>
        </w:trPr>
        <w:tc>
          <w:tcPr>
            <w:tcW w:w="1840" w:type="dxa"/>
            <w:vAlign w:val="bottom"/>
          </w:tcPr>
          <w:p>
            <w:pPr>
              <w:spacing w:after="0"/>
              <w:rPr>
                <w:sz w:val="24"/>
                <w:szCs w:val="24"/>
                <w:color w:val="auto"/>
              </w:rPr>
            </w:pPr>
          </w:p>
        </w:tc>
        <w:tc>
          <w:tcPr>
            <w:tcW w:w="9580" w:type="dxa"/>
            <w:vAlign w:val="bottom"/>
            <w:gridSpan w:val="8"/>
          </w:tcPr>
          <w:p>
            <w:pPr>
              <w:ind w:left="1120"/>
              <w:spacing w:after="0"/>
              <w:rPr>
                <w:sz w:val="20"/>
                <w:szCs w:val="20"/>
                <w:color w:val="auto"/>
              </w:rPr>
            </w:pPr>
            <w:r>
              <w:rPr>
                <w:rFonts w:ascii="Arial" w:cs="Arial" w:eastAsia="Arial" w:hAnsi="Arial"/>
                <w:sz w:val="32"/>
                <w:szCs w:val="32"/>
                <w:b w:val="1"/>
                <w:bCs w:val="1"/>
                <w:color w:val="auto"/>
              </w:rPr>
              <w:t>UNITED COMMUNITY BANKS, INC.</w:t>
            </w:r>
          </w:p>
        </w:tc>
      </w:tr>
      <w:tr>
        <w:trPr>
          <w:trHeight w:val="223"/>
        </w:trPr>
        <w:tc>
          <w:tcPr>
            <w:tcW w:w="184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4800" w:type="dxa"/>
            <w:vAlign w:val="bottom"/>
            <w:tcBorders>
              <w:top w:val="single" w:sz="8" w:color="auto"/>
            </w:tcBorders>
            <w:gridSpan w:val="5"/>
          </w:tcPr>
          <w:p>
            <w:pPr>
              <w:jc w:val="center"/>
              <w:ind w:left="99"/>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1620" w:type="dxa"/>
            <w:vAlign w:val="bottom"/>
            <w:tcBorders>
              <w:top w:val="single" w:sz="8" w:color="auto"/>
            </w:tcBorders>
          </w:tcPr>
          <w:p>
            <w:pPr>
              <w:spacing w:after="0"/>
              <w:rPr>
                <w:sz w:val="19"/>
                <w:szCs w:val="19"/>
                <w:color w:val="auto"/>
              </w:rPr>
            </w:pPr>
          </w:p>
        </w:tc>
        <w:tc>
          <w:tcPr>
            <w:tcW w:w="1820" w:type="dxa"/>
            <w:vAlign w:val="bottom"/>
          </w:tcPr>
          <w:p>
            <w:pPr>
              <w:spacing w:after="0"/>
              <w:rPr>
                <w:sz w:val="19"/>
                <w:szCs w:val="19"/>
                <w:color w:val="auto"/>
              </w:rPr>
            </w:pPr>
          </w:p>
        </w:tc>
      </w:tr>
      <w:tr>
        <w:trPr>
          <w:trHeight w:val="405"/>
        </w:trPr>
        <w:tc>
          <w:tcPr>
            <w:tcW w:w="1840" w:type="dxa"/>
            <w:vAlign w:val="bottom"/>
          </w:tcPr>
          <w:p>
            <w:pPr>
              <w:spacing w:after="0"/>
              <w:rPr>
                <w:sz w:val="24"/>
                <w:szCs w:val="24"/>
                <w:color w:val="auto"/>
              </w:rPr>
            </w:pPr>
          </w:p>
        </w:tc>
        <w:tc>
          <w:tcPr>
            <w:tcW w:w="1340" w:type="dxa"/>
            <w:vAlign w:val="bottom"/>
          </w:tcPr>
          <w:p>
            <w:pPr>
              <w:jc w:val="center"/>
              <w:ind w:right="559"/>
              <w:spacing w:after="0"/>
              <w:rPr>
                <w:sz w:val="20"/>
                <w:szCs w:val="20"/>
                <w:color w:val="auto"/>
              </w:rPr>
            </w:pPr>
            <w:r>
              <w:rPr>
                <w:rFonts w:ascii="Arial" w:cs="Arial" w:eastAsia="Arial" w:hAnsi="Arial"/>
                <w:sz w:val="16"/>
                <w:szCs w:val="16"/>
                <w:b w:val="1"/>
                <w:bCs w:val="1"/>
                <w:color w:val="auto"/>
                <w:w w:val="92"/>
              </w:rPr>
              <w:t>Georgia</w:t>
            </w: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40" w:type="dxa"/>
            <w:vAlign w:val="bottom"/>
            <w:gridSpan w:val="2"/>
          </w:tcPr>
          <w:p>
            <w:pPr>
              <w:jc w:val="right"/>
              <w:ind w:right="1780"/>
              <w:spacing w:after="0"/>
              <w:rPr>
                <w:sz w:val="20"/>
                <w:szCs w:val="20"/>
                <w:color w:val="auto"/>
              </w:rPr>
            </w:pPr>
            <w:r>
              <w:rPr>
                <w:rFonts w:ascii="Arial" w:cs="Arial" w:eastAsia="Arial" w:hAnsi="Arial"/>
                <w:sz w:val="16"/>
                <w:szCs w:val="16"/>
                <w:b w:val="1"/>
                <w:bCs w:val="1"/>
                <w:color w:val="auto"/>
              </w:rPr>
              <w:t>58-1807304</w:t>
            </w:r>
          </w:p>
        </w:tc>
      </w:tr>
      <w:tr>
        <w:trPr>
          <w:trHeight w:val="33"/>
        </w:trPr>
        <w:tc>
          <w:tcPr>
            <w:tcW w:w="318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gridSpan w:val="2"/>
          </w:tcPr>
          <w:p>
            <w:pPr>
              <w:spacing w:after="0"/>
              <w:rPr>
                <w:sz w:val="2"/>
                <w:szCs w:val="2"/>
                <w:color w:val="auto"/>
              </w:rPr>
            </w:pPr>
          </w:p>
        </w:tc>
      </w:tr>
      <w:tr>
        <w:trPr>
          <w:trHeight w:val="217"/>
        </w:trPr>
        <w:tc>
          <w:tcPr>
            <w:tcW w:w="3180" w:type="dxa"/>
            <w:vAlign w:val="bottom"/>
            <w:gridSpan w:val="2"/>
          </w:tcPr>
          <w:p>
            <w:pPr>
              <w:jc w:val="center"/>
              <w:ind w:left="1099"/>
              <w:spacing w:after="0"/>
              <w:rPr>
                <w:sz w:val="20"/>
                <w:szCs w:val="20"/>
                <w:color w:val="auto"/>
              </w:rPr>
            </w:pPr>
            <w:r>
              <w:rPr>
                <w:rFonts w:ascii="Arial" w:cs="Arial" w:eastAsia="Arial" w:hAnsi="Arial"/>
                <w:sz w:val="16"/>
                <w:szCs w:val="16"/>
                <w:b w:val="1"/>
                <w:bCs w:val="1"/>
                <w:color w:val="auto"/>
                <w:w w:val="92"/>
              </w:rPr>
              <w:t>(State of Incorporation)</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40" w:type="dxa"/>
            <w:vAlign w:val="bottom"/>
            <w:gridSpan w:val="2"/>
          </w:tcPr>
          <w:p>
            <w:pPr>
              <w:jc w:val="center"/>
              <w:ind w:right="880"/>
              <w:spacing w:after="0"/>
              <w:rPr>
                <w:sz w:val="20"/>
                <w:szCs w:val="20"/>
                <w:color w:val="auto"/>
              </w:rPr>
            </w:pPr>
            <w:r>
              <w:rPr>
                <w:rFonts w:ascii="Arial" w:cs="Arial" w:eastAsia="Arial" w:hAnsi="Arial"/>
                <w:sz w:val="16"/>
                <w:szCs w:val="16"/>
                <w:b w:val="1"/>
                <w:bCs w:val="1"/>
                <w:color w:val="auto"/>
                <w:w w:val="94"/>
              </w:rPr>
              <w:t>(I.R.S. Employer Identification No.)</w:t>
            </w:r>
          </w:p>
        </w:tc>
      </w:tr>
      <w:tr>
        <w:trPr>
          <w:trHeight w:val="405"/>
        </w:trPr>
        <w:tc>
          <w:tcPr>
            <w:tcW w:w="3180" w:type="dxa"/>
            <w:vAlign w:val="bottom"/>
            <w:gridSpan w:val="2"/>
          </w:tcPr>
          <w:p>
            <w:pPr>
              <w:jc w:val="center"/>
              <w:ind w:left="1119"/>
              <w:spacing w:after="0"/>
              <w:rPr>
                <w:sz w:val="20"/>
                <w:szCs w:val="20"/>
                <w:color w:val="auto"/>
              </w:rPr>
            </w:pPr>
            <w:r>
              <w:rPr>
                <w:rFonts w:ascii="Arial" w:cs="Arial" w:eastAsia="Arial" w:hAnsi="Arial"/>
                <w:sz w:val="16"/>
                <w:szCs w:val="16"/>
                <w:b w:val="1"/>
                <w:bCs w:val="1"/>
                <w:color w:val="auto"/>
                <w:w w:val="92"/>
              </w:rPr>
              <w:t>125 Highway 515 East</w:t>
            </w: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70"/>
        </w:trPr>
        <w:tc>
          <w:tcPr>
            <w:tcW w:w="3180" w:type="dxa"/>
            <w:vAlign w:val="bottom"/>
            <w:gridSpan w:val="2"/>
          </w:tcPr>
          <w:p>
            <w:pPr>
              <w:jc w:val="center"/>
              <w:ind w:left="1119"/>
              <w:spacing w:after="0"/>
              <w:rPr>
                <w:sz w:val="20"/>
                <w:szCs w:val="20"/>
                <w:color w:val="auto"/>
              </w:rPr>
            </w:pPr>
            <w:r>
              <w:rPr>
                <w:rFonts w:ascii="Arial" w:cs="Arial" w:eastAsia="Arial" w:hAnsi="Arial"/>
                <w:sz w:val="16"/>
                <w:szCs w:val="16"/>
                <w:b w:val="1"/>
                <w:bCs w:val="1"/>
                <w:color w:val="auto"/>
                <w:w w:val="92"/>
              </w:rPr>
              <w:t>Blairsville, Georgia</w:t>
            </w:r>
          </w:p>
        </w:tc>
        <w:tc>
          <w:tcPr>
            <w:tcW w:w="7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20" w:type="dxa"/>
            <w:vAlign w:val="bottom"/>
          </w:tcPr>
          <w:p>
            <w:pPr>
              <w:jc w:val="right"/>
              <w:ind w:right="59"/>
              <w:spacing w:after="0"/>
              <w:rPr>
                <w:sz w:val="20"/>
                <w:szCs w:val="20"/>
                <w:color w:val="auto"/>
              </w:rPr>
            </w:pPr>
            <w:r>
              <w:rPr>
                <w:rFonts w:ascii="Arial" w:cs="Arial" w:eastAsia="Arial" w:hAnsi="Arial"/>
                <w:sz w:val="16"/>
                <w:szCs w:val="16"/>
                <w:b w:val="1"/>
                <w:bCs w:val="1"/>
                <w:color w:val="auto"/>
              </w:rPr>
              <w:t>30512</w:t>
            </w:r>
          </w:p>
        </w:tc>
        <w:tc>
          <w:tcPr>
            <w:tcW w:w="1820" w:type="dxa"/>
            <w:vAlign w:val="bottom"/>
          </w:tcPr>
          <w:p>
            <w:pPr>
              <w:spacing w:after="0"/>
              <w:rPr>
                <w:sz w:val="23"/>
                <w:szCs w:val="23"/>
                <w:color w:val="auto"/>
              </w:rPr>
            </w:pPr>
          </w:p>
        </w:tc>
      </w:tr>
      <w:tr>
        <w:trPr>
          <w:trHeight w:val="33"/>
        </w:trPr>
        <w:tc>
          <w:tcPr>
            <w:tcW w:w="390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gridSpan w:val="2"/>
          </w:tcPr>
          <w:p>
            <w:pPr>
              <w:spacing w:after="0"/>
              <w:rPr>
                <w:sz w:val="2"/>
                <w:szCs w:val="2"/>
                <w:color w:val="auto"/>
              </w:rPr>
            </w:pPr>
          </w:p>
        </w:tc>
      </w:tr>
      <w:tr>
        <w:trPr>
          <w:trHeight w:val="217"/>
        </w:trPr>
        <w:tc>
          <w:tcPr>
            <w:tcW w:w="7980" w:type="dxa"/>
            <w:vAlign w:val="bottom"/>
            <w:gridSpan w:val="7"/>
          </w:tcPr>
          <w:p>
            <w:pPr>
              <w:jc w:val="center"/>
              <w:ind w:right="3600"/>
              <w:spacing w:after="0"/>
              <w:rPr>
                <w:sz w:val="20"/>
                <w:szCs w:val="20"/>
                <w:color w:val="auto"/>
              </w:rPr>
            </w:pPr>
            <w:r>
              <w:rPr>
                <w:rFonts w:ascii="Arial" w:cs="Arial" w:eastAsia="Arial" w:hAnsi="Arial"/>
                <w:sz w:val="16"/>
                <w:szCs w:val="16"/>
                <w:b w:val="1"/>
                <w:bCs w:val="1"/>
                <w:color w:val="auto"/>
                <w:w w:val="90"/>
              </w:rPr>
              <w:t>Address of Principal Executive Offices</w:t>
            </w:r>
          </w:p>
        </w:tc>
        <w:tc>
          <w:tcPr>
            <w:tcW w:w="3440" w:type="dxa"/>
            <w:vAlign w:val="bottom"/>
            <w:gridSpan w:val="2"/>
          </w:tcPr>
          <w:p>
            <w:pPr>
              <w:jc w:val="center"/>
              <w:ind w:right="900"/>
              <w:spacing w:after="0"/>
              <w:rPr>
                <w:sz w:val="20"/>
                <w:szCs w:val="20"/>
                <w:color w:val="auto"/>
              </w:rPr>
            </w:pPr>
            <w:r>
              <w:rPr>
                <w:rFonts w:ascii="Arial" w:cs="Arial" w:eastAsia="Arial" w:hAnsi="Arial"/>
                <w:sz w:val="16"/>
                <w:szCs w:val="16"/>
                <w:b w:val="1"/>
                <w:bCs w:val="1"/>
                <w:color w:val="auto"/>
                <w:w w:val="93"/>
              </w:rPr>
              <w:t>(Zip Code)</w:t>
            </w:r>
          </w:p>
        </w:tc>
      </w:tr>
      <w:tr>
        <w:trPr>
          <w:trHeight w:val="392"/>
        </w:trPr>
        <w:tc>
          <w:tcPr>
            <w:tcW w:w="1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900" w:type="dxa"/>
            <w:vAlign w:val="bottom"/>
            <w:gridSpan w:val="3"/>
          </w:tcPr>
          <w:p>
            <w:pPr>
              <w:jc w:val="center"/>
              <w:ind w:left="999"/>
              <w:spacing w:after="0"/>
              <w:rPr>
                <w:sz w:val="20"/>
                <w:szCs w:val="20"/>
                <w:color w:val="auto"/>
              </w:rPr>
            </w:pPr>
            <w:r>
              <w:rPr>
                <w:rFonts w:ascii="Arial" w:cs="Arial" w:eastAsia="Arial" w:hAnsi="Arial"/>
                <w:sz w:val="16"/>
                <w:szCs w:val="16"/>
                <w:b w:val="1"/>
                <w:bCs w:val="1"/>
                <w:color w:val="auto"/>
                <w:w w:val="93"/>
              </w:rPr>
              <w:t>(706) 781-2265</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3"/>
        </w:trPr>
        <w:tc>
          <w:tcPr>
            <w:tcW w:w="1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gridSpan w:val="2"/>
          </w:tcPr>
          <w:p>
            <w:pPr>
              <w:spacing w:after="0"/>
              <w:rPr>
                <w:sz w:val="2"/>
                <w:szCs w:val="2"/>
                <w:color w:val="auto"/>
              </w:rPr>
            </w:pPr>
          </w:p>
        </w:tc>
        <w:tc>
          <w:tcPr>
            <w:tcW w:w="5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17"/>
        </w:trPr>
        <w:tc>
          <w:tcPr>
            <w:tcW w:w="1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20" w:type="dxa"/>
            <w:vAlign w:val="bottom"/>
            <w:gridSpan w:val="3"/>
          </w:tcPr>
          <w:p>
            <w:pPr>
              <w:jc w:val="center"/>
              <w:ind w:right="1000"/>
              <w:spacing w:after="0"/>
              <w:rPr>
                <w:sz w:val="20"/>
                <w:szCs w:val="20"/>
                <w:color w:val="auto"/>
              </w:rPr>
            </w:pPr>
            <w:r>
              <w:rPr>
                <w:rFonts w:ascii="Arial" w:cs="Arial" w:eastAsia="Arial" w:hAnsi="Arial"/>
                <w:sz w:val="16"/>
                <w:szCs w:val="16"/>
                <w:b w:val="1"/>
                <w:bCs w:val="1"/>
                <w:color w:val="auto"/>
                <w:w w:val="91"/>
              </w:rPr>
              <w:t>(Telephone Number)</w:t>
            </w:r>
          </w:p>
        </w:tc>
        <w:tc>
          <w:tcPr>
            <w:tcW w:w="1620" w:type="dxa"/>
            <w:vAlign w:val="bottom"/>
          </w:tcPr>
          <w:p>
            <w:pPr>
              <w:spacing w:after="0"/>
              <w:rPr>
                <w:sz w:val="18"/>
                <w:szCs w:val="18"/>
                <w:color w:val="auto"/>
              </w:rPr>
            </w:pPr>
          </w:p>
        </w:tc>
        <w:tc>
          <w:tcPr>
            <w:tcW w:w="1820" w:type="dxa"/>
            <w:vAlign w:val="bottom"/>
          </w:tcPr>
          <w:p>
            <w:pPr>
              <w:spacing w:after="0"/>
              <w:rPr>
                <w:sz w:val="18"/>
                <w:szCs w:val="18"/>
                <w:color w:val="auto"/>
              </w:rPr>
            </w:pPr>
          </w:p>
        </w:tc>
      </w:tr>
    </w:tbl>
    <w:p>
      <w:pPr>
        <w:spacing w:after="0" w:line="20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629285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both"/>
        <w:spacing w:after="0" w:line="251" w:lineRule="auto"/>
        <w:rPr>
          <w:sz w:val="20"/>
          <w:szCs w:val="20"/>
          <w:color w:val="auto"/>
        </w:rPr>
      </w:pPr>
      <w:r>
        <w:rPr>
          <w:rFonts w:ascii="Arial" w:cs="Arial" w:eastAsia="Arial" w:hAnsi="Arial"/>
          <w:sz w:val="16"/>
          <w:szCs w:val="16"/>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jc w:val="both"/>
        <w:ind w:right="20"/>
        <w:spacing w:after="0" w:line="271" w:lineRule="auto"/>
        <w:rPr>
          <w:sz w:val="20"/>
          <w:szCs w:val="20"/>
          <w:color w:val="auto"/>
        </w:rPr>
      </w:pPr>
      <w:r>
        <w:rPr>
          <w:rFonts w:ascii="Arial" w:cs="Arial" w:eastAsia="Arial" w:hAnsi="Arial"/>
          <w:sz w:val="15"/>
          <w:szCs w:val="15"/>
          <w:b w:val="1"/>
          <w:bCs w:val="1"/>
          <w:color w:val="auto"/>
        </w:rPr>
        <w:t>Indicate by check mark whether the registrant has submitted electronically every Interactive Date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jc w:val="both"/>
        <w:spacing w:after="0" w:line="263" w:lineRule="auto"/>
        <w:rPr>
          <w:sz w:val="20"/>
          <w:szCs w:val="20"/>
          <w:color w:val="auto"/>
        </w:rPr>
      </w:pPr>
      <w:r>
        <w:rPr>
          <w:rFonts w:ascii="Arial" w:cs="Arial" w:eastAsia="Arial" w:hAnsi="Arial"/>
          <w:sz w:val="16"/>
          <w:szCs w:val="16"/>
          <w:b w:val="1"/>
          <w:bCs w:val="1"/>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1152" w:right="239" w:bottom="1440" w:gutter="0" w:footer="0" w:header="0"/>
        </w:sectPr>
      </w:pPr>
    </w:p>
    <w:p>
      <w:pPr>
        <w:spacing w:after="0" w:line="98" w:lineRule="exact"/>
        <w:rPr>
          <w:sz w:val="24"/>
          <w:szCs w:val="24"/>
          <w:color w:val="auto"/>
        </w:rPr>
      </w:pPr>
    </w:p>
    <w:p>
      <w:pPr>
        <w:ind w:left="40"/>
        <w:spacing w:after="0" w:line="161" w:lineRule="exact"/>
        <w:rPr>
          <w:sz w:val="20"/>
          <w:szCs w:val="20"/>
          <w:color w:val="auto"/>
        </w:rPr>
      </w:pPr>
      <w:r>
        <w:rPr>
          <w:rFonts w:ascii="Arial" w:cs="Arial" w:eastAsia="Arial" w:hAnsi="Arial"/>
          <w:sz w:val="14"/>
          <w:szCs w:val="14"/>
          <w:b w:val="1"/>
          <w:bCs w:val="1"/>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line="161" w:lineRule="exact"/>
        <w:rPr>
          <w:sz w:val="20"/>
          <w:szCs w:val="20"/>
          <w:color w:val="auto"/>
        </w:rPr>
      </w:pPr>
      <w:r>
        <w:rPr>
          <w:rFonts w:ascii="Arial" w:cs="Arial" w:eastAsia="Arial" w:hAnsi="Arial"/>
          <w:sz w:val="14"/>
          <w:szCs w:val="14"/>
          <w:b w:val="1"/>
          <w:bCs w:val="1"/>
          <w:color w:val="auto"/>
        </w:rPr>
        <w:t xml:space="preserve">Accelerated filer </w:t>
      </w:r>
      <w:r>
        <w:rPr>
          <w:rFonts w:ascii="MS PGothic" w:cs="MS PGothic" w:eastAsia="MS PGothic" w:hAnsi="MS PGothic"/>
          <w:sz w:val="14"/>
          <w:szCs w:val="14"/>
          <w:color w:val="auto"/>
        </w:rPr>
        <w:t>☐</w:t>
      </w:r>
    </w:p>
    <w:p>
      <w:pPr>
        <w:spacing w:after="0" w:line="96" w:lineRule="exact"/>
        <w:rPr>
          <w:sz w:val="24"/>
          <w:szCs w:val="24"/>
          <w:color w:val="auto"/>
        </w:rPr>
      </w:pPr>
    </w:p>
    <w:p>
      <w:pPr>
        <w:sectPr>
          <w:pgSz w:w="11900" w:h="16838" w:orient="portrait"/>
          <w:cols w:equalWidth="0" w:num="2">
            <w:col w:w="9340" w:space="720"/>
            <w:col w:w="1360"/>
          </w:cols>
          <w:pgMar w:left="240" w:top="1152" w:right="239" w:bottom="1440" w:gutter="0" w:footer="0" w:header="0"/>
          <w:type w:val="continuous"/>
        </w:sectPr>
      </w:pPr>
    </w:p>
    <w:p>
      <w:pPr>
        <w:ind w:left="40"/>
        <w:spacing w:after="0" w:line="161" w:lineRule="exact"/>
        <w:rPr>
          <w:sz w:val="20"/>
          <w:szCs w:val="20"/>
          <w:color w:val="auto"/>
        </w:rPr>
      </w:pPr>
      <w:r>
        <w:rPr>
          <w:rFonts w:ascii="Arial" w:cs="Arial" w:eastAsia="Arial" w:hAnsi="Arial"/>
          <w:sz w:val="14"/>
          <w:szCs w:val="14"/>
          <w:b w:val="1"/>
          <w:bCs w:val="1"/>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b w:val="1"/>
          <w:bCs w:val="1"/>
          <w:color w:val="auto"/>
        </w:rPr>
        <w:t xml:space="preserve">Smaller reporting company </w:t>
      </w:r>
      <w:r>
        <w:rPr>
          <w:rFonts w:ascii="MS PGothic" w:cs="MS PGothic" w:eastAsia="MS PGothic" w:hAnsi="MS PGothic"/>
          <w:sz w:val="14"/>
          <w:szCs w:val="14"/>
          <w:color w:val="auto"/>
        </w:rPr>
        <w:t>☐</w:t>
      </w:r>
    </w:p>
    <w:p>
      <w:pPr>
        <w:spacing w:after="0" w:line="96" w:lineRule="exact"/>
        <w:rPr>
          <w:sz w:val="24"/>
          <w:szCs w:val="24"/>
          <w:color w:val="auto"/>
        </w:rPr>
      </w:pPr>
    </w:p>
    <w:p>
      <w:pPr>
        <w:sectPr>
          <w:pgSz w:w="11900" w:h="16838" w:orient="portrait"/>
          <w:cols w:equalWidth="0" w:num="2">
            <w:col w:w="8580" w:space="720"/>
            <w:col w:w="2120"/>
          </w:cols>
          <w:pgMar w:left="240" w:top="1152" w:right="239" w:bottom="1440" w:gutter="0" w:footer="0" w:header="0"/>
          <w:type w:val="continuous"/>
        </w:sectPr>
      </w:pPr>
    </w:p>
    <w:p>
      <w:pPr>
        <w:ind w:left="40"/>
        <w:spacing w:after="0" w:line="161" w:lineRule="exact"/>
        <w:rPr>
          <w:sz w:val="20"/>
          <w:szCs w:val="20"/>
          <w:color w:val="auto"/>
        </w:rPr>
      </w:pPr>
      <w:r>
        <w:rPr>
          <w:rFonts w:ascii="Arial" w:cs="Arial" w:eastAsia="Arial" w:hAnsi="Arial"/>
          <w:sz w:val="14"/>
          <w:szCs w:val="14"/>
          <w:b w:val="1"/>
          <w:bCs w:val="1"/>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11420"/>
          </w:cols>
          <w:pgMar w:left="240" w:top="1152" w:right="239" w:bottom="1440" w:gutter="0" w:footer="0" w:header="0"/>
          <w:type w:val="continuous"/>
        </w:sectPr>
      </w:pPr>
    </w:p>
    <w:p>
      <w:pPr>
        <w:spacing w:after="0" w:line="284" w:lineRule="exact"/>
        <w:rPr>
          <w:sz w:val="24"/>
          <w:szCs w:val="24"/>
          <w:color w:val="auto"/>
        </w:rPr>
      </w:pPr>
    </w:p>
    <w:p>
      <w:pPr>
        <w:spacing w:after="0" w:line="209" w:lineRule="exact"/>
        <w:rPr>
          <w:sz w:val="20"/>
          <w:szCs w:val="20"/>
          <w:color w:val="auto"/>
        </w:rPr>
      </w:pPr>
      <w:r>
        <w:rPr>
          <w:rFonts w:ascii="Arial" w:cs="Arial" w:eastAsia="Arial" w:hAnsi="Arial"/>
          <w:sz w:val="16"/>
          <w:szCs w:val="16"/>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Indicate by check mark whether the registrant is a shell company (as defined in Rule 12b-2 of the Act).</w:t>
      </w:r>
    </w:p>
    <w:p>
      <w:pPr>
        <w:spacing w:after="0" w:line="17" w:lineRule="exact"/>
        <w:rPr>
          <w:sz w:val="24"/>
          <w:szCs w:val="24"/>
          <w:color w:val="auto"/>
        </w:rPr>
      </w:pPr>
    </w:p>
    <w:p>
      <w:pPr>
        <w:ind w:left="5220"/>
        <w:spacing w:after="0" w:line="184" w:lineRule="exact"/>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Common stock, par value $1 per share 79,039,390 shares outstanding as of April 30, 2019.</w:t>
      </w:r>
    </w:p>
    <w:p>
      <w:pPr>
        <w:spacing w:after="0" w:line="167"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136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1"/>
              </w:rPr>
              <w:t>Title of Each Class</w:t>
            </w:r>
          </w:p>
        </w:tc>
        <w:tc>
          <w:tcPr>
            <w:tcW w:w="23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5120" w:type="dxa"/>
            <w:vAlign w:val="bottom"/>
            <w:gridSpan w:val="3"/>
          </w:tcPr>
          <w:p>
            <w:pPr>
              <w:jc w:val="center"/>
              <w:ind w:left="939"/>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20"/>
        </w:trPr>
        <w:tc>
          <w:tcPr>
            <w:tcW w:w="13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71"/>
        </w:trPr>
        <w:tc>
          <w:tcPr>
            <w:tcW w:w="5020" w:type="dxa"/>
            <w:vAlign w:val="bottom"/>
            <w:gridSpan w:val="3"/>
          </w:tcPr>
          <w:p>
            <w:pPr>
              <w:jc w:val="center"/>
              <w:ind w:right="1000"/>
              <w:spacing w:after="0"/>
              <w:rPr>
                <w:sz w:val="20"/>
                <w:szCs w:val="20"/>
                <w:color w:val="auto"/>
              </w:rPr>
            </w:pPr>
            <w:r>
              <w:rPr>
                <w:rFonts w:ascii="Arial" w:cs="Arial" w:eastAsia="Arial" w:hAnsi="Arial"/>
                <w:sz w:val="16"/>
                <w:szCs w:val="16"/>
                <w:b w:val="1"/>
                <w:bCs w:val="1"/>
                <w:color w:val="auto"/>
                <w:w w:val="90"/>
              </w:rPr>
              <w:t>Common stock, par value $1 per share</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rPr>
              <w:t>UCBI</w:t>
            </w:r>
          </w:p>
        </w:tc>
        <w:tc>
          <w:tcPr>
            <w:tcW w:w="1480" w:type="dxa"/>
            <w:vAlign w:val="bottom"/>
          </w:tcPr>
          <w:p>
            <w:pPr>
              <w:spacing w:after="0"/>
              <w:rPr>
                <w:sz w:val="23"/>
                <w:szCs w:val="23"/>
                <w:color w:val="auto"/>
              </w:rPr>
            </w:pPr>
          </w:p>
        </w:tc>
        <w:tc>
          <w:tcPr>
            <w:tcW w:w="364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2"/>
              </w:rPr>
              <w:t>Nasdaq Global Select Market</w:t>
            </w:r>
          </w:p>
        </w:tc>
      </w:tr>
      <w:tr>
        <w:trPr>
          <w:trHeight w:val="168"/>
        </w:trPr>
        <w:tc>
          <w:tcPr>
            <w:tcW w:w="13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r>
      <w:tr>
        <w:trPr>
          <w:trHeight w:val="122"/>
        </w:trPr>
        <w:tc>
          <w:tcPr>
            <w:tcW w:w="13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31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52"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1" w:lineRule="exact"/>
        <w:rPr>
          <w:sz w:val="20"/>
          <w:szCs w:val="20"/>
          <w:color w:val="auto"/>
        </w:rPr>
      </w:pPr>
    </w:p>
    <w:p>
      <w:pPr>
        <w:ind w:left="4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 Financial Information</w:t>
        </w:r>
      </w:hyperlink>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000" w:type="dxa"/>
            <w:vAlign w:val="bottom"/>
            <w:gridSpan w:val="3"/>
            <w:shd w:val="clear" w:color="auto" w:fill="CCEEFF"/>
          </w:tcPr>
          <w:p>
            <w:pPr>
              <w:ind w:left="960"/>
              <w:spacing w:after="0"/>
              <w:rPr>
                <w:sz w:val="20"/>
                <w:szCs w:val="20"/>
                <w:color w:val="auto"/>
              </w:rPr>
            </w:pPr>
            <w:r>
              <w:rPr>
                <w:rFonts w:ascii="Arial" w:cs="Arial" w:eastAsia="Arial" w:hAnsi="Arial"/>
                <w:sz w:val="18"/>
                <w:szCs w:val="18"/>
                <w:b w:val="1"/>
                <w:bCs w:val="1"/>
                <w:color w:val="auto"/>
              </w:rPr>
              <w:t>Item 1.</w:t>
            </w:r>
          </w:p>
        </w:tc>
        <w:tc>
          <w:tcPr>
            <w:tcW w:w="8700" w:type="dxa"/>
            <w:vAlign w:val="bottom"/>
            <w:gridSpan w:val="10"/>
            <w:shd w:val="clear" w:color="auto" w:fill="CCEEFF"/>
          </w:tcPr>
          <w:p>
            <w:pPr>
              <w:spacing w:after="0"/>
              <w:rPr>
                <w:sz w:val="20"/>
                <w:szCs w:val="20"/>
                <w:color w:val="auto"/>
              </w:rPr>
            </w:pPr>
            <w:r>
              <w:rPr>
                <w:rFonts w:ascii="Arial" w:cs="Arial" w:eastAsia="Arial" w:hAnsi="Arial"/>
                <w:sz w:val="18"/>
                <w:szCs w:val="18"/>
                <w:b w:val="1"/>
                <w:bCs w:val="1"/>
                <w:color w:val="auto"/>
              </w:rPr>
              <w:t>Financial Statements.</w:t>
            </w:r>
          </w:p>
        </w:tc>
        <w:tc>
          <w:tcPr>
            <w:tcW w:w="5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70"/>
        </w:trPr>
        <w:tc>
          <w:tcPr>
            <w:tcW w:w="9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50"/>
        </w:trPr>
        <w:tc>
          <w:tcPr>
            <w:tcW w:w="9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700" w:type="dxa"/>
            <w:vAlign w:val="bottom"/>
            <w:gridSpan w:val="10"/>
            <w:shd w:val="clear" w:color="auto" w:fill="CCEEFF"/>
          </w:tcPr>
          <w:p>
            <w:pPr>
              <w:spacing w:after="0" w:line="202" w:lineRule="exact"/>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Consolidated Statements of Income (unaudited) for the Three Months Ended March 31, 2019 and 2018</w:t>
              </w:r>
            </w:hyperlink>
          </w:p>
        </w:tc>
        <w:tc>
          <w:tcPr>
            <w:tcW w:w="7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70"/>
        </w:trPr>
        <w:tc>
          <w:tcPr>
            <w:tcW w:w="9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740" w:type="dxa"/>
            <w:vAlign w:val="bottom"/>
            <w:tcBorders>
              <w:top w:val="single" w:sz="8" w:color="0000EE"/>
            </w:tcBorders>
          </w:tcPr>
          <w:p>
            <w:pPr>
              <w:spacing w:after="0"/>
              <w:rPr>
                <w:sz w:val="23"/>
                <w:szCs w:val="23"/>
                <w:color w:val="auto"/>
              </w:rPr>
            </w:pPr>
          </w:p>
        </w:tc>
        <w:tc>
          <w:tcPr>
            <w:tcW w:w="840" w:type="dxa"/>
            <w:vAlign w:val="bottom"/>
            <w:tcBorders>
              <w:top w:val="single" w:sz="8" w:color="0000EE"/>
            </w:tcBorders>
          </w:tcPr>
          <w:p>
            <w:pPr>
              <w:spacing w:after="0"/>
              <w:rPr>
                <w:sz w:val="23"/>
                <w:szCs w:val="23"/>
                <w:color w:val="auto"/>
              </w:rPr>
            </w:pPr>
          </w:p>
        </w:tc>
        <w:tc>
          <w:tcPr>
            <w:tcW w:w="1400" w:type="dxa"/>
            <w:vAlign w:val="bottom"/>
            <w:tcBorders>
              <w:top w:val="single" w:sz="8" w:color="0000EE"/>
            </w:tcBorders>
          </w:tcPr>
          <w:p>
            <w:pPr>
              <w:spacing w:after="0"/>
              <w:rPr>
                <w:sz w:val="23"/>
                <w:szCs w:val="23"/>
                <w:color w:val="auto"/>
              </w:rPr>
            </w:pPr>
          </w:p>
        </w:tc>
        <w:tc>
          <w:tcPr>
            <w:tcW w:w="1360" w:type="dxa"/>
            <w:vAlign w:val="bottom"/>
            <w:tcBorders>
              <w:top w:val="single" w:sz="8" w:color="0000EE"/>
            </w:tcBorders>
          </w:tcPr>
          <w:p>
            <w:pPr>
              <w:spacing w:after="0"/>
              <w:rPr>
                <w:sz w:val="23"/>
                <w:szCs w:val="23"/>
                <w:color w:val="auto"/>
              </w:rPr>
            </w:pPr>
          </w:p>
        </w:tc>
        <w:tc>
          <w:tcPr>
            <w:tcW w:w="1700" w:type="dxa"/>
            <w:vAlign w:val="bottom"/>
            <w:tcBorders>
              <w:top w:val="single" w:sz="8" w:color="0000EE"/>
            </w:tcBorders>
          </w:tcPr>
          <w:p>
            <w:pPr>
              <w:spacing w:after="0"/>
              <w:rPr>
                <w:sz w:val="23"/>
                <w:szCs w:val="23"/>
                <w:color w:val="auto"/>
              </w:rPr>
            </w:pPr>
          </w:p>
        </w:tc>
        <w:tc>
          <w:tcPr>
            <w:tcW w:w="480" w:type="dxa"/>
            <w:vAlign w:val="bottom"/>
            <w:tcBorders>
              <w:top w:val="single" w:sz="8" w:color="0000EE"/>
            </w:tcBorders>
          </w:tcPr>
          <w:p>
            <w:pPr>
              <w:spacing w:after="0"/>
              <w:rPr>
                <w:sz w:val="23"/>
                <w:szCs w:val="23"/>
                <w:color w:val="auto"/>
              </w:rPr>
            </w:pPr>
          </w:p>
        </w:tc>
        <w:tc>
          <w:tcPr>
            <w:tcW w:w="1000" w:type="dxa"/>
            <w:vAlign w:val="bottom"/>
            <w:tcBorders>
              <w:top w:val="single" w:sz="8" w:color="0000EE"/>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700" w:type="dxa"/>
            <w:vAlign w:val="bottom"/>
            <w:gridSpan w:val="10"/>
            <w:shd w:val="clear" w:color="auto" w:fill="CCEEFF"/>
          </w:tcPr>
          <w:p>
            <w:pPr>
              <w:spacing w:after="0" w:line="202" w:lineRule="exact"/>
              <w:rPr>
                <w:rFonts w:ascii="Arial" w:cs="Arial" w:eastAsia="Arial" w:hAnsi="Arial"/>
                <w:sz w:val="18"/>
                <w:szCs w:val="18"/>
                <w:b w:val="1"/>
                <w:bCs w:val="1"/>
                <w:color w:val="0000EE"/>
                <w:w w:val="90"/>
              </w:rPr>
            </w:pPr>
            <w:hyperlink w:anchor="page5">
              <w:r>
                <w:rPr>
                  <w:rFonts w:ascii="Arial" w:cs="Arial" w:eastAsia="Arial" w:hAnsi="Arial"/>
                  <w:sz w:val="18"/>
                  <w:szCs w:val="18"/>
                  <w:b w:val="1"/>
                  <w:bCs w:val="1"/>
                  <w:color w:val="0000EE"/>
                  <w:w w:val="90"/>
                </w:rPr>
                <w:t>Consolidated Statements of Comprehensive Income (unaudited) for the Three Months Ended March 31, 2019 and</w:t>
              </w:r>
            </w:hyperlink>
          </w:p>
        </w:tc>
        <w:tc>
          <w:tcPr>
            <w:tcW w:w="7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244"/>
        </w:trPr>
        <w:tc>
          <w:tcPr>
            <w:tcW w:w="96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2018</w:t>
              </w:r>
            </w:hyperlink>
          </w:p>
        </w:tc>
        <w:tc>
          <w:tcPr>
            <w:tcW w:w="840" w:type="dxa"/>
            <w:vAlign w:val="bottom"/>
            <w:tcBorders>
              <w:top w:val="single" w:sz="8" w:color="0000EE"/>
            </w:tcBorders>
            <w:shd w:val="clear" w:color="auto" w:fill="CCEEFF"/>
          </w:tcPr>
          <w:p>
            <w:pPr>
              <w:spacing w:after="0"/>
              <w:rPr>
                <w:sz w:val="21"/>
                <w:szCs w:val="21"/>
                <w:color w:val="auto"/>
              </w:rPr>
            </w:pPr>
          </w:p>
        </w:tc>
        <w:tc>
          <w:tcPr>
            <w:tcW w:w="1400" w:type="dxa"/>
            <w:vAlign w:val="bottom"/>
            <w:tcBorders>
              <w:top w:val="single" w:sz="8" w:color="0000EE"/>
            </w:tcBorders>
            <w:shd w:val="clear" w:color="auto" w:fill="CCEEFF"/>
          </w:tcPr>
          <w:p>
            <w:pPr>
              <w:spacing w:after="0"/>
              <w:rPr>
                <w:sz w:val="21"/>
                <w:szCs w:val="21"/>
                <w:color w:val="auto"/>
              </w:rPr>
            </w:pPr>
          </w:p>
        </w:tc>
        <w:tc>
          <w:tcPr>
            <w:tcW w:w="1360" w:type="dxa"/>
            <w:vAlign w:val="bottom"/>
            <w:tcBorders>
              <w:top w:val="single" w:sz="8" w:color="0000EE"/>
            </w:tcBorders>
            <w:shd w:val="clear" w:color="auto" w:fill="CCEEFF"/>
          </w:tcPr>
          <w:p>
            <w:pPr>
              <w:spacing w:after="0"/>
              <w:rPr>
                <w:sz w:val="21"/>
                <w:szCs w:val="21"/>
                <w:color w:val="auto"/>
              </w:rPr>
            </w:pPr>
          </w:p>
        </w:tc>
        <w:tc>
          <w:tcPr>
            <w:tcW w:w="1700" w:type="dxa"/>
            <w:vAlign w:val="bottom"/>
            <w:tcBorders>
              <w:top w:val="single" w:sz="8" w:color="0000EE"/>
            </w:tcBorders>
            <w:shd w:val="clear" w:color="auto" w:fill="CCEEFF"/>
          </w:tcPr>
          <w:p>
            <w:pPr>
              <w:spacing w:after="0"/>
              <w:rPr>
                <w:sz w:val="21"/>
                <w:szCs w:val="21"/>
                <w:color w:val="auto"/>
              </w:rPr>
            </w:pPr>
          </w:p>
        </w:tc>
        <w:tc>
          <w:tcPr>
            <w:tcW w:w="480" w:type="dxa"/>
            <w:vAlign w:val="bottom"/>
            <w:tcBorders>
              <w:top w:val="single" w:sz="8" w:color="0000EE"/>
            </w:tcBorders>
            <w:shd w:val="clear" w:color="auto" w:fill="CCEEFF"/>
          </w:tcPr>
          <w:p>
            <w:pPr>
              <w:spacing w:after="0"/>
              <w:rPr>
                <w:sz w:val="21"/>
                <w:szCs w:val="21"/>
                <w:color w:val="auto"/>
              </w:rPr>
            </w:pPr>
          </w:p>
        </w:tc>
        <w:tc>
          <w:tcPr>
            <w:tcW w:w="1000" w:type="dxa"/>
            <w:vAlign w:val="bottom"/>
            <w:tcBorders>
              <w:top w:val="single" w:sz="8" w:color="0000EE"/>
            </w:tcBorders>
            <w:shd w:val="clear" w:color="auto" w:fill="CCEEFF"/>
          </w:tcPr>
          <w:p>
            <w:pPr>
              <w:spacing w:after="0"/>
              <w:rPr>
                <w:sz w:val="21"/>
                <w:szCs w:val="21"/>
                <w:color w:val="auto"/>
              </w:rPr>
            </w:pPr>
          </w:p>
        </w:tc>
        <w:tc>
          <w:tcPr>
            <w:tcW w:w="300" w:type="dxa"/>
            <w:vAlign w:val="bottom"/>
            <w:tcBorders>
              <w:top w:val="single" w:sz="8" w:color="0000EE"/>
            </w:tcBorders>
            <w:shd w:val="clear" w:color="auto" w:fill="CCEEFF"/>
          </w:tcPr>
          <w:p>
            <w:pPr>
              <w:spacing w:after="0"/>
              <w:rPr>
                <w:sz w:val="21"/>
                <w:szCs w:val="21"/>
                <w:color w:val="auto"/>
              </w:rPr>
            </w:pPr>
          </w:p>
        </w:tc>
        <w:tc>
          <w:tcPr>
            <w:tcW w:w="520" w:type="dxa"/>
            <w:vAlign w:val="bottom"/>
            <w:tcBorders>
              <w:top w:val="single" w:sz="8" w:color="0000EE"/>
            </w:tcBorders>
            <w:shd w:val="clear" w:color="auto" w:fill="CCEEFF"/>
          </w:tcPr>
          <w:p>
            <w:pPr>
              <w:spacing w:after="0"/>
              <w:rPr>
                <w:sz w:val="21"/>
                <w:szCs w:val="21"/>
                <w:color w:val="auto"/>
              </w:rPr>
            </w:pPr>
          </w:p>
        </w:tc>
        <w:tc>
          <w:tcPr>
            <w:tcW w:w="5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r>
      <w:tr>
        <w:trPr>
          <w:trHeight w:val="270"/>
        </w:trPr>
        <w:tc>
          <w:tcPr>
            <w:tcW w:w="9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1400" w:type="dxa"/>
            <w:vAlign w:val="bottom"/>
            <w:tcBorders>
              <w:top w:val="single" w:sz="8" w:color="CCEEFF"/>
            </w:tcBorders>
          </w:tcPr>
          <w:p>
            <w:pPr>
              <w:spacing w:after="0"/>
              <w:rPr>
                <w:sz w:val="23"/>
                <w:szCs w:val="23"/>
                <w:color w:val="auto"/>
              </w:rPr>
            </w:pPr>
          </w:p>
        </w:tc>
        <w:tc>
          <w:tcPr>
            <w:tcW w:w="1360" w:type="dxa"/>
            <w:vAlign w:val="bottom"/>
            <w:tcBorders>
              <w:top w:val="single" w:sz="8" w:color="CCEEFF"/>
            </w:tcBorders>
          </w:tcPr>
          <w:p>
            <w:pPr>
              <w:spacing w:after="0"/>
              <w:rPr>
                <w:sz w:val="23"/>
                <w:szCs w:val="23"/>
                <w:color w:val="auto"/>
              </w:rPr>
            </w:pPr>
          </w:p>
        </w:tc>
        <w:tc>
          <w:tcPr>
            <w:tcW w:w="170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9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700" w:type="dxa"/>
            <w:vAlign w:val="bottom"/>
            <w:gridSpan w:val="10"/>
            <w:shd w:val="clear" w:color="auto" w:fill="CCEEFF"/>
          </w:tcPr>
          <w:p>
            <w:pPr>
              <w:spacing w:after="0" w:line="202"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Consolidated Balance Sheets (unaudited) at March 31, 2019 and December 31, 2018</w:t>
              </w:r>
            </w:hyperlink>
          </w:p>
        </w:tc>
        <w:tc>
          <w:tcPr>
            <w:tcW w:w="7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5</w:t>
              </w:r>
            </w:hyperlink>
          </w:p>
        </w:tc>
      </w:tr>
      <w:tr>
        <w:trPr>
          <w:trHeight w:val="270"/>
        </w:trPr>
        <w:tc>
          <w:tcPr>
            <w:tcW w:w="9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740" w:type="dxa"/>
            <w:vAlign w:val="bottom"/>
            <w:tcBorders>
              <w:top w:val="single" w:sz="8" w:color="0000EE"/>
            </w:tcBorders>
          </w:tcPr>
          <w:p>
            <w:pPr>
              <w:spacing w:after="0"/>
              <w:rPr>
                <w:sz w:val="23"/>
                <w:szCs w:val="23"/>
                <w:color w:val="auto"/>
              </w:rPr>
            </w:pPr>
          </w:p>
        </w:tc>
        <w:tc>
          <w:tcPr>
            <w:tcW w:w="840" w:type="dxa"/>
            <w:vAlign w:val="bottom"/>
            <w:tcBorders>
              <w:top w:val="single" w:sz="8" w:color="0000EE"/>
            </w:tcBorders>
          </w:tcPr>
          <w:p>
            <w:pPr>
              <w:spacing w:after="0"/>
              <w:rPr>
                <w:sz w:val="23"/>
                <w:szCs w:val="23"/>
                <w:color w:val="auto"/>
              </w:rPr>
            </w:pPr>
          </w:p>
        </w:tc>
        <w:tc>
          <w:tcPr>
            <w:tcW w:w="1400" w:type="dxa"/>
            <w:vAlign w:val="bottom"/>
            <w:tcBorders>
              <w:top w:val="single" w:sz="8" w:color="0000EE"/>
            </w:tcBorders>
          </w:tcPr>
          <w:p>
            <w:pPr>
              <w:spacing w:after="0"/>
              <w:rPr>
                <w:sz w:val="23"/>
                <w:szCs w:val="23"/>
                <w:color w:val="auto"/>
              </w:rPr>
            </w:pPr>
          </w:p>
        </w:tc>
        <w:tc>
          <w:tcPr>
            <w:tcW w:w="1360" w:type="dxa"/>
            <w:vAlign w:val="bottom"/>
            <w:tcBorders>
              <w:top w:val="single" w:sz="8" w:color="0000EE"/>
            </w:tcBorders>
          </w:tcPr>
          <w:p>
            <w:pPr>
              <w:spacing w:after="0"/>
              <w:rPr>
                <w:sz w:val="23"/>
                <w:szCs w:val="23"/>
                <w:color w:val="auto"/>
              </w:rPr>
            </w:pPr>
          </w:p>
        </w:tc>
        <w:tc>
          <w:tcPr>
            <w:tcW w:w="1700" w:type="dxa"/>
            <w:vAlign w:val="bottom"/>
            <w:tcBorders>
              <w:top w:val="single" w:sz="8" w:color="0000EE"/>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700" w:type="dxa"/>
            <w:vAlign w:val="bottom"/>
            <w:gridSpan w:val="10"/>
            <w:shd w:val="clear" w:color="auto" w:fill="CCEEFF"/>
          </w:tcPr>
          <w:p>
            <w:pPr>
              <w:spacing w:after="0" w:line="202" w:lineRule="exact"/>
              <w:rPr>
                <w:rFonts w:ascii="Arial" w:cs="Arial" w:eastAsia="Arial" w:hAnsi="Arial"/>
                <w:sz w:val="18"/>
                <w:szCs w:val="18"/>
                <w:b w:val="1"/>
                <w:bCs w:val="1"/>
                <w:color w:val="0000EE"/>
                <w:w w:val="90"/>
              </w:rPr>
            </w:pPr>
            <w:hyperlink w:anchor="page7">
              <w:r>
                <w:rPr>
                  <w:rFonts w:ascii="Arial" w:cs="Arial" w:eastAsia="Arial" w:hAnsi="Arial"/>
                  <w:sz w:val="18"/>
                  <w:szCs w:val="18"/>
                  <w:b w:val="1"/>
                  <w:bCs w:val="1"/>
                  <w:color w:val="0000EE"/>
                  <w:w w:val="90"/>
                </w:rPr>
                <w:t>Consolidated Statements of Changes in Shareholders’ Equity (unaudited) for the Three Months Ended March 31,</w:t>
              </w:r>
            </w:hyperlink>
          </w:p>
        </w:tc>
        <w:tc>
          <w:tcPr>
            <w:tcW w:w="7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6</w:t>
              </w:r>
            </w:hyperlink>
          </w:p>
        </w:tc>
      </w:tr>
      <w:tr>
        <w:trPr>
          <w:trHeight w:val="244"/>
        </w:trPr>
        <w:tc>
          <w:tcPr>
            <w:tcW w:w="96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CCEEFF"/>
            </w:tcBorders>
            <w:shd w:val="clear" w:color="auto" w:fill="CCEEFF"/>
          </w:tcPr>
          <w:p>
            <w:pPr>
              <w:spacing w:after="0"/>
              <w:rPr>
                <w:sz w:val="21"/>
                <w:szCs w:val="21"/>
                <w:color w:val="auto"/>
              </w:rPr>
            </w:pPr>
          </w:p>
        </w:tc>
        <w:tc>
          <w:tcPr>
            <w:tcW w:w="8700" w:type="dxa"/>
            <w:vAlign w:val="bottom"/>
            <w:tcBorders>
              <w:top w:val="single" w:sz="8" w:color="0000EE"/>
            </w:tcBorders>
            <w:gridSpan w:val="10"/>
            <w:shd w:val="clear" w:color="auto" w:fill="CCEEFF"/>
          </w:tcPr>
          <w:p>
            <w:pPr>
              <w:spacing w:after="0" w:line="19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2019 and 2018</w:t>
              </w:r>
            </w:hyperlink>
          </w:p>
        </w:tc>
        <w:tc>
          <w:tcPr>
            <w:tcW w:w="5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r>
      <w:tr>
        <w:trPr>
          <w:trHeight w:val="270"/>
        </w:trPr>
        <w:tc>
          <w:tcPr>
            <w:tcW w:w="9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740" w:type="dxa"/>
            <w:vAlign w:val="bottom"/>
            <w:tcBorders>
              <w:top w:val="single" w:sz="8" w:color="0000EE"/>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1400" w:type="dxa"/>
            <w:vAlign w:val="bottom"/>
            <w:tcBorders>
              <w:top w:val="single" w:sz="8" w:color="CCEEFF"/>
            </w:tcBorders>
          </w:tcPr>
          <w:p>
            <w:pPr>
              <w:spacing w:after="0"/>
              <w:rPr>
                <w:sz w:val="23"/>
                <w:szCs w:val="23"/>
                <w:color w:val="auto"/>
              </w:rPr>
            </w:pPr>
          </w:p>
        </w:tc>
        <w:tc>
          <w:tcPr>
            <w:tcW w:w="1360" w:type="dxa"/>
            <w:vAlign w:val="bottom"/>
            <w:tcBorders>
              <w:top w:val="single" w:sz="8" w:color="CCEEFF"/>
            </w:tcBorders>
          </w:tcPr>
          <w:p>
            <w:pPr>
              <w:spacing w:after="0"/>
              <w:rPr>
                <w:sz w:val="23"/>
                <w:szCs w:val="23"/>
                <w:color w:val="auto"/>
              </w:rPr>
            </w:pPr>
          </w:p>
        </w:tc>
        <w:tc>
          <w:tcPr>
            <w:tcW w:w="170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9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700" w:type="dxa"/>
            <w:vAlign w:val="bottom"/>
            <w:gridSpan w:val="10"/>
            <w:shd w:val="clear" w:color="auto" w:fill="CCEEFF"/>
          </w:tcPr>
          <w:p>
            <w:pPr>
              <w:spacing w:after="0" w:line="202" w:lineRule="exact"/>
              <w:rPr>
                <w:rFonts w:ascii="Arial" w:cs="Arial" w:eastAsia="Arial" w:hAnsi="Arial"/>
                <w:sz w:val="18"/>
                <w:szCs w:val="18"/>
                <w:b w:val="1"/>
                <w:bCs w:val="1"/>
                <w:color w:val="0000EE"/>
                <w:w w:val="95"/>
              </w:rPr>
            </w:pPr>
            <w:hyperlink w:anchor="page8">
              <w:r>
                <w:rPr>
                  <w:rFonts w:ascii="Arial" w:cs="Arial" w:eastAsia="Arial" w:hAnsi="Arial"/>
                  <w:sz w:val="18"/>
                  <w:szCs w:val="18"/>
                  <w:b w:val="1"/>
                  <w:bCs w:val="1"/>
                  <w:color w:val="0000EE"/>
                  <w:w w:val="95"/>
                </w:rPr>
                <w:t>Consolidated Statements of Cash Flows (unaudited) for the Three Months Ended March 31, 2019 and 2018</w:t>
              </w:r>
            </w:hyperlink>
          </w:p>
        </w:tc>
        <w:tc>
          <w:tcPr>
            <w:tcW w:w="7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7</w:t>
              </w:r>
            </w:hyperlink>
          </w:p>
        </w:tc>
      </w:tr>
      <w:tr>
        <w:trPr>
          <w:trHeight w:val="270"/>
        </w:trPr>
        <w:tc>
          <w:tcPr>
            <w:tcW w:w="9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740" w:type="dxa"/>
            <w:vAlign w:val="bottom"/>
            <w:tcBorders>
              <w:top w:val="single" w:sz="8" w:color="0000EE"/>
            </w:tcBorders>
          </w:tcPr>
          <w:p>
            <w:pPr>
              <w:spacing w:after="0"/>
              <w:rPr>
                <w:sz w:val="23"/>
                <w:szCs w:val="23"/>
                <w:color w:val="auto"/>
              </w:rPr>
            </w:pPr>
          </w:p>
        </w:tc>
        <w:tc>
          <w:tcPr>
            <w:tcW w:w="840" w:type="dxa"/>
            <w:vAlign w:val="bottom"/>
            <w:tcBorders>
              <w:top w:val="single" w:sz="8" w:color="0000EE"/>
            </w:tcBorders>
          </w:tcPr>
          <w:p>
            <w:pPr>
              <w:spacing w:after="0"/>
              <w:rPr>
                <w:sz w:val="23"/>
                <w:szCs w:val="23"/>
                <w:color w:val="auto"/>
              </w:rPr>
            </w:pPr>
          </w:p>
        </w:tc>
        <w:tc>
          <w:tcPr>
            <w:tcW w:w="1400" w:type="dxa"/>
            <w:vAlign w:val="bottom"/>
            <w:tcBorders>
              <w:top w:val="single" w:sz="8" w:color="0000EE"/>
            </w:tcBorders>
          </w:tcPr>
          <w:p>
            <w:pPr>
              <w:spacing w:after="0"/>
              <w:rPr>
                <w:sz w:val="23"/>
                <w:szCs w:val="23"/>
                <w:color w:val="auto"/>
              </w:rPr>
            </w:pPr>
          </w:p>
        </w:tc>
        <w:tc>
          <w:tcPr>
            <w:tcW w:w="1360" w:type="dxa"/>
            <w:vAlign w:val="bottom"/>
            <w:tcBorders>
              <w:top w:val="single" w:sz="8" w:color="0000EE"/>
            </w:tcBorders>
          </w:tcPr>
          <w:p>
            <w:pPr>
              <w:spacing w:after="0"/>
              <w:rPr>
                <w:sz w:val="23"/>
                <w:szCs w:val="23"/>
                <w:color w:val="auto"/>
              </w:rPr>
            </w:pPr>
          </w:p>
        </w:tc>
        <w:tc>
          <w:tcPr>
            <w:tcW w:w="1700" w:type="dxa"/>
            <w:vAlign w:val="bottom"/>
            <w:tcBorders>
              <w:top w:val="single" w:sz="8" w:color="0000EE"/>
            </w:tcBorders>
          </w:tcPr>
          <w:p>
            <w:pPr>
              <w:spacing w:after="0"/>
              <w:rPr>
                <w:sz w:val="23"/>
                <w:szCs w:val="23"/>
                <w:color w:val="auto"/>
              </w:rPr>
            </w:pPr>
          </w:p>
        </w:tc>
        <w:tc>
          <w:tcPr>
            <w:tcW w:w="480" w:type="dxa"/>
            <w:vAlign w:val="bottom"/>
            <w:tcBorders>
              <w:top w:val="single" w:sz="8" w:color="0000EE"/>
            </w:tcBorders>
          </w:tcPr>
          <w:p>
            <w:pPr>
              <w:spacing w:after="0"/>
              <w:rPr>
                <w:sz w:val="23"/>
                <w:szCs w:val="23"/>
                <w:color w:val="auto"/>
              </w:rPr>
            </w:pPr>
          </w:p>
        </w:tc>
        <w:tc>
          <w:tcPr>
            <w:tcW w:w="100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9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700" w:type="dxa"/>
            <w:vAlign w:val="bottom"/>
            <w:gridSpan w:val="10"/>
            <w:shd w:val="clear" w:color="auto" w:fill="CCEEFF"/>
          </w:tcPr>
          <w:p>
            <w:pPr>
              <w:spacing w:after="0" w:line="202" w:lineRule="exact"/>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Notes to Consolidated Financial Statements</w:t>
              </w:r>
            </w:hyperlink>
          </w:p>
        </w:tc>
        <w:tc>
          <w:tcPr>
            <w:tcW w:w="7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8</w:t>
              </w:r>
            </w:hyperlink>
          </w:p>
        </w:tc>
      </w:tr>
      <w:tr>
        <w:trPr>
          <w:trHeight w:val="270"/>
        </w:trPr>
        <w:tc>
          <w:tcPr>
            <w:tcW w:w="9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740" w:type="dxa"/>
            <w:vAlign w:val="bottom"/>
            <w:tcBorders>
              <w:top w:val="single" w:sz="8" w:color="0000EE"/>
            </w:tcBorders>
          </w:tcPr>
          <w:p>
            <w:pPr>
              <w:spacing w:after="0"/>
              <w:rPr>
                <w:sz w:val="23"/>
                <w:szCs w:val="23"/>
                <w:color w:val="auto"/>
              </w:rPr>
            </w:pPr>
          </w:p>
        </w:tc>
        <w:tc>
          <w:tcPr>
            <w:tcW w:w="840" w:type="dxa"/>
            <w:vAlign w:val="bottom"/>
            <w:tcBorders>
              <w:top w:val="single" w:sz="8" w:color="0000EE"/>
            </w:tcBorders>
          </w:tcPr>
          <w:p>
            <w:pPr>
              <w:spacing w:after="0"/>
              <w:rPr>
                <w:sz w:val="23"/>
                <w:szCs w:val="23"/>
                <w:color w:val="auto"/>
              </w:rPr>
            </w:pPr>
          </w:p>
        </w:tc>
        <w:tc>
          <w:tcPr>
            <w:tcW w:w="1400" w:type="dxa"/>
            <w:vAlign w:val="bottom"/>
            <w:tcBorders>
              <w:top w:val="single" w:sz="8" w:color="0000EE"/>
            </w:tcBorders>
          </w:tcPr>
          <w:p>
            <w:pPr>
              <w:spacing w:after="0"/>
              <w:rPr>
                <w:sz w:val="23"/>
                <w:szCs w:val="23"/>
                <w:color w:val="auto"/>
              </w:rPr>
            </w:pPr>
          </w:p>
        </w:tc>
        <w:tc>
          <w:tcPr>
            <w:tcW w:w="1360" w:type="dxa"/>
            <w:vAlign w:val="bottom"/>
            <w:tcBorders>
              <w:top w:val="single" w:sz="8" w:color="CCEEFF"/>
            </w:tcBorders>
          </w:tcPr>
          <w:p>
            <w:pPr>
              <w:spacing w:after="0"/>
              <w:rPr>
                <w:sz w:val="23"/>
                <w:szCs w:val="23"/>
                <w:color w:val="auto"/>
              </w:rPr>
            </w:pPr>
          </w:p>
        </w:tc>
        <w:tc>
          <w:tcPr>
            <w:tcW w:w="170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2000" w:type="dxa"/>
            <w:vAlign w:val="bottom"/>
            <w:gridSpan w:val="3"/>
            <w:shd w:val="clear" w:color="auto" w:fill="CCEEFF"/>
          </w:tcPr>
          <w:p>
            <w:pPr>
              <w:ind w:left="960"/>
              <w:spacing w:after="0" w:line="202" w:lineRule="exact"/>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Item 2.</w:t>
              </w:r>
            </w:hyperlink>
          </w:p>
        </w:tc>
        <w:tc>
          <w:tcPr>
            <w:tcW w:w="8700" w:type="dxa"/>
            <w:vAlign w:val="bottom"/>
            <w:gridSpan w:val="10"/>
            <w:shd w:val="clear" w:color="auto" w:fill="CCEEFF"/>
          </w:tcPr>
          <w:p>
            <w:pPr>
              <w:spacing w:after="0" w:line="202" w:lineRule="exact"/>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Management’s Discussion and Analysis of Financial Condition and Results of Operations.</w:t>
              </w:r>
            </w:hyperlink>
          </w:p>
        </w:tc>
        <w:tc>
          <w:tcPr>
            <w:tcW w:w="7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38</w:t>
              </w:r>
            </w:hyperlink>
          </w:p>
        </w:tc>
      </w:tr>
      <w:tr>
        <w:trPr>
          <w:trHeight w:val="270"/>
        </w:trPr>
        <w:tc>
          <w:tcPr>
            <w:tcW w:w="960" w:type="dxa"/>
            <w:vAlign w:val="bottom"/>
            <w:tcBorders>
              <w:top w:val="single" w:sz="8" w:color="CCEEFF"/>
            </w:tcBorders>
          </w:tcPr>
          <w:p>
            <w:pPr>
              <w:spacing w:after="0"/>
              <w:rPr>
                <w:sz w:val="23"/>
                <w:szCs w:val="23"/>
                <w:color w:val="auto"/>
              </w:rPr>
            </w:pPr>
          </w:p>
        </w:tc>
        <w:tc>
          <w:tcPr>
            <w:tcW w:w="540" w:type="dxa"/>
            <w:vAlign w:val="bottom"/>
            <w:tcBorders>
              <w:top w:val="single" w:sz="8" w:color="0000EE"/>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740" w:type="dxa"/>
            <w:vAlign w:val="bottom"/>
            <w:tcBorders>
              <w:top w:val="single" w:sz="8" w:color="0000EE"/>
            </w:tcBorders>
          </w:tcPr>
          <w:p>
            <w:pPr>
              <w:spacing w:after="0"/>
              <w:rPr>
                <w:sz w:val="23"/>
                <w:szCs w:val="23"/>
                <w:color w:val="auto"/>
              </w:rPr>
            </w:pPr>
          </w:p>
        </w:tc>
        <w:tc>
          <w:tcPr>
            <w:tcW w:w="840" w:type="dxa"/>
            <w:vAlign w:val="bottom"/>
            <w:tcBorders>
              <w:top w:val="single" w:sz="8" w:color="0000EE"/>
            </w:tcBorders>
          </w:tcPr>
          <w:p>
            <w:pPr>
              <w:spacing w:after="0"/>
              <w:rPr>
                <w:sz w:val="23"/>
                <w:szCs w:val="23"/>
                <w:color w:val="auto"/>
              </w:rPr>
            </w:pPr>
          </w:p>
        </w:tc>
        <w:tc>
          <w:tcPr>
            <w:tcW w:w="1400" w:type="dxa"/>
            <w:vAlign w:val="bottom"/>
            <w:tcBorders>
              <w:top w:val="single" w:sz="8" w:color="0000EE"/>
            </w:tcBorders>
          </w:tcPr>
          <w:p>
            <w:pPr>
              <w:spacing w:after="0"/>
              <w:rPr>
                <w:sz w:val="23"/>
                <w:szCs w:val="23"/>
                <w:color w:val="auto"/>
              </w:rPr>
            </w:pPr>
          </w:p>
        </w:tc>
        <w:tc>
          <w:tcPr>
            <w:tcW w:w="1360" w:type="dxa"/>
            <w:vAlign w:val="bottom"/>
            <w:tcBorders>
              <w:top w:val="single" w:sz="8" w:color="0000EE"/>
            </w:tcBorders>
          </w:tcPr>
          <w:p>
            <w:pPr>
              <w:spacing w:after="0"/>
              <w:rPr>
                <w:sz w:val="23"/>
                <w:szCs w:val="23"/>
                <w:color w:val="auto"/>
              </w:rPr>
            </w:pPr>
          </w:p>
        </w:tc>
        <w:tc>
          <w:tcPr>
            <w:tcW w:w="1700" w:type="dxa"/>
            <w:vAlign w:val="bottom"/>
            <w:tcBorders>
              <w:top w:val="single" w:sz="8" w:color="0000EE"/>
            </w:tcBorders>
          </w:tcPr>
          <w:p>
            <w:pPr>
              <w:spacing w:after="0"/>
              <w:rPr>
                <w:sz w:val="23"/>
                <w:szCs w:val="23"/>
                <w:color w:val="auto"/>
              </w:rPr>
            </w:pPr>
          </w:p>
        </w:tc>
        <w:tc>
          <w:tcPr>
            <w:tcW w:w="480" w:type="dxa"/>
            <w:vAlign w:val="bottom"/>
            <w:tcBorders>
              <w:top w:val="single" w:sz="8" w:color="0000EE"/>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2000" w:type="dxa"/>
            <w:vAlign w:val="bottom"/>
            <w:gridSpan w:val="3"/>
            <w:shd w:val="clear" w:color="auto" w:fill="CCEEFF"/>
          </w:tcPr>
          <w:p>
            <w:pPr>
              <w:ind w:left="960"/>
              <w:spacing w:after="0" w:line="202" w:lineRule="exact"/>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Item 3.</w:t>
              </w:r>
            </w:hyperlink>
          </w:p>
        </w:tc>
        <w:tc>
          <w:tcPr>
            <w:tcW w:w="8700" w:type="dxa"/>
            <w:vAlign w:val="bottom"/>
            <w:gridSpan w:val="10"/>
            <w:shd w:val="clear" w:color="auto" w:fill="CCEEFF"/>
          </w:tcPr>
          <w:p>
            <w:pPr>
              <w:spacing w:after="0" w:line="202" w:lineRule="exact"/>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Quantitative and Qualitative Disclosures About Market Risk.</w:t>
              </w:r>
            </w:hyperlink>
          </w:p>
        </w:tc>
        <w:tc>
          <w:tcPr>
            <w:tcW w:w="7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59</w:t>
              </w:r>
            </w:hyperlink>
          </w:p>
        </w:tc>
      </w:tr>
      <w:tr>
        <w:trPr>
          <w:trHeight w:val="270"/>
        </w:trPr>
        <w:tc>
          <w:tcPr>
            <w:tcW w:w="960" w:type="dxa"/>
            <w:vAlign w:val="bottom"/>
            <w:tcBorders>
              <w:top w:val="single" w:sz="8" w:color="CCEEFF"/>
            </w:tcBorders>
          </w:tcPr>
          <w:p>
            <w:pPr>
              <w:spacing w:after="0"/>
              <w:rPr>
                <w:sz w:val="23"/>
                <w:szCs w:val="23"/>
                <w:color w:val="auto"/>
              </w:rPr>
            </w:pPr>
          </w:p>
        </w:tc>
        <w:tc>
          <w:tcPr>
            <w:tcW w:w="540" w:type="dxa"/>
            <w:vAlign w:val="bottom"/>
            <w:tcBorders>
              <w:top w:val="single" w:sz="8" w:color="0000EE"/>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740" w:type="dxa"/>
            <w:vAlign w:val="bottom"/>
            <w:tcBorders>
              <w:top w:val="single" w:sz="8" w:color="0000EE"/>
            </w:tcBorders>
          </w:tcPr>
          <w:p>
            <w:pPr>
              <w:spacing w:after="0"/>
              <w:rPr>
                <w:sz w:val="23"/>
                <w:szCs w:val="23"/>
                <w:color w:val="auto"/>
              </w:rPr>
            </w:pPr>
          </w:p>
        </w:tc>
        <w:tc>
          <w:tcPr>
            <w:tcW w:w="840" w:type="dxa"/>
            <w:vAlign w:val="bottom"/>
            <w:tcBorders>
              <w:top w:val="single" w:sz="8" w:color="0000EE"/>
            </w:tcBorders>
          </w:tcPr>
          <w:p>
            <w:pPr>
              <w:spacing w:after="0"/>
              <w:rPr>
                <w:sz w:val="23"/>
                <w:szCs w:val="23"/>
                <w:color w:val="auto"/>
              </w:rPr>
            </w:pPr>
          </w:p>
        </w:tc>
        <w:tc>
          <w:tcPr>
            <w:tcW w:w="1400" w:type="dxa"/>
            <w:vAlign w:val="bottom"/>
            <w:tcBorders>
              <w:top w:val="single" w:sz="8" w:color="0000EE"/>
            </w:tcBorders>
          </w:tcPr>
          <w:p>
            <w:pPr>
              <w:spacing w:after="0"/>
              <w:rPr>
                <w:sz w:val="23"/>
                <w:szCs w:val="23"/>
                <w:color w:val="auto"/>
              </w:rPr>
            </w:pPr>
          </w:p>
        </w:tc>
        <w:tc>
          <w:tcPr>
            <w:tcW w:w="1360" w:type="dxa"/>
            <w:vAlign w:val="bottom"/>
            <w:tcBorders>
              <w:top w:val="single" w:sz="8" w:color="0000EE"/>
            </w:tcBorders>
          </w:tcPr>
          <w:p>
            <w:pPr>
              <w:spacing w:after="0"/>
              <w:rPr>
                <w:sz w:val="23"/>
                <w:szCs w:val="23"/>
                <w:color w:val="auto"/>
              </w:rPr>
            </w:pPr>
          </w:p>
        </w:tc>
        <w:tc>
          <w:tcPr>
            <w:tcW w:w="170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2000" w:type="dxa"/>
            <w:vAlign w:val="bottom"/>
            <w:gridSpan w:val="3"/>
            <w:shd w:val="clear" w:color="auto" w:fill="CCEEFF"/>
          </w:tcPr>
          <w:p>
            <w:pPr>
              <w:ind w:left="960"/>
              <w:spacing w:after="0" w:line="202" w:lineRule="exact"/>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Item 4.</w:t>
              </w:r>
            </w:hyperlink>
          </w:p>
        </w:tc>
        <w:tc>
          <w:tcPr>
            <w:tcW w:w="8700" w:type="dxa"/>
            <w:vAlign w:val="bottom"/>
            <w:gridSpan w:val="10"/>
            <w:shd w:val="clear" w:color="auto" w:fill="CCEEFF"/>
          </w:tcPr>
          <w:p>
            <w:pPr>
              <w:spacing w:after="0" w:line="202" w:lineRule="exact"/>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Controls and Procedures.</w:t>
              </w:r>
            </w:hyperlink>
          </w:p>
        </w:tc>
        <w:tc>
          <w:tcPr>
            <w:tcW w:w="7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59</w:t>
              </w:r>
            </w:hyperlink>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0000EE"/>
            </w:tcBorders>
            <w:shd w:val="clear" w:color="auto" w:fill="CCEEFF"/>
          </w:tcPr>
          <w:p>
            <w:pPr>
              <w:spacing w:after="0"/>
              <w:rPr>
                <w:sz w:val="4"/>
                <w:szCs w:val="4"/>
                <w:color w:val="auto"/>
              </w:rPr>
            </w:pPr>
          </w:p>
        </w:tc>
        <w:tc>
          <w:tcPr>
            <w:tcW w:w="840" w:type="dxa"/>
            <w:vAlign w:val="bottom"/>
            <w:tcBorders>
              <w:top w:val="single" w:sz="8" w:color="0000EE"/>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9" w:lineRule="exact"/>
        <w:rPr>
          <w:sz w:val="20"/>
          <w:szCs w:val="20"/>
          <w:color w:val="auto"/>
        </w:rPr>
      </w:pPr>
    </w:p>
    <w:p>
      <w:pPr>
        <w:ind w:left="40"/>
        <w:spacing w:after="0"/>
        <w:rPr>
          <w:rFonts w:ascii="Arial" w:cs="Arial" w:eastAsia="Arial" w:hAnsi="Arial"/>
          <w:sz w:val="18"/>
          <w:szCs w:val="18"/>
          <w:b w:val="1"/>
          <w:bCs w:val="1"/>
          <w:u w:val="single" w:color="auto"/>
          <w:color w:val="0000EE"/>
        </w:rPr>
      </w:pPr>
      <w:hyperlink w:anchor="page65">
        <w:r>
          <w:rPr>
            <w:rFonts w:ascii="Arial" w:cs="Arial" w:eastAsia="Arial" w:hAnsi="Arial"/>
            <w:sz w:val="18"/>
            <w:szCs w:val="18"/>
            <w:b w:val="1"/>
            <w:bCs w:val="1"/>
            <w:u w:val="single" w:color="auto"/>
            <w:color w:val="0000EE"/>
          </w:rPr>
          <w:t>PART II - Other Information</w:t>
        </w:r>
      </w:hyperlink>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0" w:type="dxa"/>
            <w:vAlign w:val="bottom"/>
            <w:gridSpan w:val="4"/>
            <w:shd w:val="clear" w:color="auto" w:fill="CCEEFF"/>
          </w:tcPr>
          <w:p>
            <w:pPr>
              <w:ind w:left="960"/>
              <w:spacing w:after="0"/>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Item 1.</w:t>
              </w:r>
            </w:hyperlink>
          </w:p>
        </w:tc>
        <w:tc>
          <w:tcPr>
            <w:tcW w:w="9220" w:type="dxa"/>
            <w:vAlign w:val="bottom"/>
            <w:gridSpan w:val="8"/>
            <w:shd w:val="clear" w:color="auto" w:fill="CCEEFF"/>
          </w:tcPr>
          <w:p>
            <w:pPr>
              <w:spacing w:after="0"/>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Legal Proceedings.</w:t>
              </w:r>
            </w:hyperlink>
          </w:p>
        </w:tc>
        <w:tc>
          <w:tcPr>
            <w:tcW w:w="200" w:type="dxa"/>
            <w:vAlign w:val="bottom"/>
            <w:gridSpan w:val="2"/>
            <w:shd w:val="clear" w:color="auto" w:fill="CCEEFF"/>
          </w:tcPr>
          <w:p>
            <w:pPr>
              <w:jc w:val="right"/>
              <w:ind w:right="20"/>
              <w:spacing w:after="0"/>
              <w:rPr>
                <w:rFonts w:ascii="Arial" w:cs="Arial" w:eastAsia="Arial" w:hAnsi="Arial"/>
                <w:sz w:val="18"/>
                <w:szCs w:val="18"/>
                <w:color w:val="0000EE"/>
                <w:w w:val="79"/>
              </w:rPr>
            </w:pPr>
            <w:hyperlink w:anchor="page65">
              <w:r>
                <w:rPr>
                  <w:rFonts w:ascii="Arial" w:cs="Arial" w:eastAsia="Arial" w:hAnsi="Arial"/>
                  <w:sz w:val="18"/>
                  <w:szCs w:val="18"/>
                  <w:color w:val="0000EE"/>
                  <w:w w:val="79"/>
                </w:rPr>
                <w:t>60</w:t>
              </w:r>
            </w:hyperlink>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120" w:type="dxa"/>
            <w:vAlign w:val="bottom"/>
            <w:tcBorders>
              <w:top w:val="single" w:sz="8" w:color="CCEEFF"/>
            </w:tcBorders>
            <w:shd w:val="clear" w:color="auto" w:fill="CCEEFF"/>
          </w:tcPr>
          <w:p>
            <w:pPr>
              <w:spacing w:after="0"/>
              <w:rPr>
                <w:sz w:val="4"/>
                <w:szCs w:val="4"/>
                <w:color w:val="auto"/>
              </w:rPr>
            </w:pPr>
          </w:p>
        </w:tc>
        <w:tc>
          <w:tcPr>
            <w:tcW w:w="46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00" w:type="dxa"/>
            <w:vAlign w:val="bottom"/>
            <w:gridSpan w:val="4"/>
          </w:tcPr>
          <w:p>
            <w:pPr>
              <w:ind w:left="960"/>
              <w:spacing w:after="0" w:line="202" w:lineRule="exact"/>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Item 1A.</w:t>
              </w:r>
            </w:hyperlink>
          </w:p>
        </w:tc>
        <w:tc>
          <w:tcPr>
            <w:tcW w:w="9220" w:type="dxa"/>
            <w:vAlign w:val="bottom"/>
            <w:gridSpan w:val="8"/>
          </w:tcPr>
          <w:p>
            <w:pPr>
              <w:spacing w:after="0" w:line="202" w:lineRule="exact"/>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Risk Factors.</w:t>
              </w:r>
            </w:hyperlink>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65">
              <w:r>
                <w:rPr>
                  <w:rFonts w:ascii="Arial" w:cs="Arial" w:eastAsia="Arial" w:hAnsi="Arial"/>
                  <w:sz w:val="18"/>
                  <w:szCs w:val="18"/>
                  <w:color w:val="0000EE"/>
                  <w:w w:val="79"/>
                </w:rPr>
                <w:t>60</w:t>
              </w:r>
            </w:hyperlink>
          </w:p>
        </w:tc>
      </w:tr>
      <w:tr>
        <w:trPr>
          <w:trHeight w:val="48"/>
        </w:trPr>
        <w:tc>
          <w:tcPr>
            <w:tcW w:w="960" w:type="dxa"/>
            <w:vAlign w:val="bottom"/>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120" w:type="dxa"/>
            <w:vAlign w:val="bottom"/>
          </w:tcPr>
          <w:p>
            <w:pPr>
              <w:spacing w:after="0"/>
              <w:rPr>
                <w:sz w:val="4"/>
                <w:szCs w:val="4"/>
                <w:color w:val="auto"/>
              </w:rPr>
            </w:pPr>
          </w:p>
        </w:tc>
        <w:tc>
          <w:tcPr>
            <w:tcW w:w="46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000" w:type="dxa"/>
            <w:vAlign w:val="bottom"/>
            <w:gridSpan w:val="4"/>
            <w:shd w:val="clear" w:color="auto" w:fill="CCEEFF"/>
          </w:tcPr>
          <w:p>
            <w:pPr>
              <w:ind w:left="960"/>
              <w:spacing w:after="0" w:line="202" w:lineRule="exact"/>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Item 2.</w:t>
              </w:r>
            </w:hyperlink>
          </w:p>
        </w:tc>
        <w:tc>
          <w:tcPr>
            <w:tcW w:w="9220" w:type="dxa"/>
            <w:vAlign w:val="bottom"/>
            <w:gridSpan w:val="8"/>
            <w:shd w:val="clear" w:color="auto" w:fill="CCEEFF"/>
          </w:tcPr>
          <w:p>
            <w:pPr>
              <w:spacing w:after="0" w:line="202" w:lineRule="exact"/>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Unregistered Sales of Equity Securities and Use of Proceeds.</w:t>
              </w:r>
            </w:hyperlink>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65">
              <w:r>
                <w:rPr>
                  <w:rFonts w:ascii="Arial" w:cs="Arial" w:eastAsia="Arial" w:hAnsi="Arial"/>
                  <w:sz w:val="18"/>
                  <w:szCs w:val="18"/>
                  <w:color w:val="0000EE"/>
                  <w:w w:val="79"/>
                </w:rPr>
                <w:t>60</w:t>
              </w:r>
            </w:hyperlink>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2120" w:type="dxa"/>
            <w:vAlign w:val="bottom"/>
            <w:tcBorders>
              <w:top w:val="single" w:sz="8" w:color="0000EE"/>
            </w:tcBorders>
            <w:shd w:val="clear" w:color="auto" w:fill="CCEEFF"/>
          </w:tcPr>
          <w:p>
            <w:pPr>
              <w:spacing w:after="0"/>
              <w:rPr>
                <w:sz w:val="4"/>
                <w:szCs w:val="4"/>
                <w:color w:val="auto"/>
              </w:rPr>
            </w:pPr>
          </w:p>
        </w:tc>
        <w:tc>
          <w:tcPr>
            <w:tcW w:w="46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00" w:type="dxa"/>
            <w:vAlign w:val="bottom"/>
            <w:gridSpan w:val="4"/>
          </w:tcPr>
          <w:p>
            <w:pPr>
              <w:ind w:left="960"/>
              <w:spacing w:after="0" w:line="202" w:lineRule="exact"/>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Item 3.</w:t>
              </w:r>
            </w:hyperlink>
          </w:p>
        </w:tc>
        <w:tc>
          <w:tcPr>
            <w:tcW w:w="9220" w:type="dxa"/>
            <w:vAlign w:val="bottom"/>
            <w:gridSpan w:val="8"/>
          </w:tcPr>
          <w:p>
            <w:pPr>
              <w:spacing w:after="0" w:line="202" w:lineRule="exact"/>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Defaults Upon Senior Securities.</w:t>
              </w:r>
            </w:hyperlink>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65">
              <w:r>
                <w:rPr>
                  <w:rFonts w:ascii="Arial" w:cs="Arial" w:eastAsia="Arial" w:hAnsi="Arial"/>
                  <w:sz w:val="18"/>
                  <w:szCs w:val="18"/>
                  <w:color w:val="0000EE"/>
                  <w:w w:val="79"/>
                </w:rPr>
                <w:t>60</w:t>
              </w:r>
            </w:hyperlink>
          </w:p>
        </w:tc>
      </w:tr>
      <w:tr>
        <w:trPr>
          <w:trHeight w:val="48"/>
        </w:trPr>
        <w:tc>
          <w:tcPr>
            <w:tcW w:w="960" w:type="dxa"/>
            <w:vAlign w:val="bottom"/>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2120" w:type="dxa"/>
            <w:vAlign w:val="bottom"/>
          </w:tcPr>
          <w:p>
            <w:pPr>
              <w:spacing w:after="0"/>
              <w:rPr>
                <w:sz w:val="4"/>
                <w:szCs w:val="4"/>
                <w:color w:val="auto"/>
              </w:rPr>
            </w:pPr>
          </w:p>
        </w:tc>
        <w:tc>
          <w:tcPr>
            <w:tcW w:w="46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000" w:type="dxa"/>
            <w:vAlign w:val="bottom"/>
            <w:gridSpan w:val="4"/>
            <w:shd w:val="clear" w:color="auto" w:fill="CCEEFF"/>
          </w:tcPr>
          <w:p>
            <w:pPr>
              <w:ind w:left="960"/>
              <w:spacing w:after="0" w:line="202" w:lineRule="exact"/>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Item 4.</w:t>
              </w:r>
            </w:hyperlink>
          </w:p>
        </w:tc>
        <w:tc>
          <w:tcPr>
            <w:tcW w:w="9220" w:type="dxa"/>
            <w:vAlign w:val="bottom"/>
            <w:gridSpan w:val="8"/>
            <w:shd w:val="clear" w:color="auto" w:fill="CCEEFF"/>
          </w:tcPr>
          <w:p>
            <w:pPr>
              <w:spacing w:after="0" w:line="202" w:lineRule="exact"/>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Mine Safety Disclosures.</w:t>
              </w:r>
            </w:hyperlink>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65">
              <w:r>
                <w:rPr>
                  <w:rFonts w:ascii="Arial" w:cs="Arial" w:eastAsia="Arial" w:hAnsi="Arial"/>
                  <w:sz w:val="18"/>
                  <w:szCs w:val="18"/>
                  <w:color w:val="0000EE"/>
                  <w:w w:val="79"/>
                </w:rPr>
                <w:t>60</w:t>
              </w:r>
            </w:hyperlink>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120" w:type="dxa"/>
            <w:vAlign w:val="bottom"/>
            <w:tcBorders>
              <w:top w:val="single" w:sz="8" w:color="CCEEFF"/>
            </w:tcBorders>
            <w:shd w:val="clear" w:color="auto" w:fill="CCEEFF"/>
          </w:tcPr>
          <w:p>
            <w:pPr>
              <w:spacing w:after="0"/>
              <w:rPr>
                <w:sz w:val="4"/>
                <w:szCs w:val="4"/>
                <w:color w:val="auto"/>
              </w:rPr>
            </w:pPr>
          </w:p>
        </w:tc>
        <w:tc>
          <w:tcPr>
            <w:tcW w:w="46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00" w:type="dxa"/>
            <w:vAlign w:val="bottom"/>
            <w:gridSpan w:val="4"/>
          </w:tcPr>
          <w:p>
            <w:pPr>
              <w:ind w:left="960"/>
              <w:spacing w:after="0" w:line="202" w:lineRule="exact"/>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Item 5.</w:t>
              </w:r>
            </w:hyperlink>
          </w:p>
        </w:tc>
        <w:tc>
          <w:tcPr>
            <w:tcW w:w="9220" w:type="dxa"/>
            <w:vAlign w:val="bottom"/>
            <w:gridSpan w:val="8"/>
          </w:tcPr>
          <w:p>
            <w:pPr>
              <w:spacing w:after="0" w:line="202" w:lineRule="exact"/>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Other Information.</w:t>
              </w:r>
            </w:hyperlink>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65">
              <w:r>
                <w:rPr>
                  <w:rFonts w:ascii="Arial" w:cs="Arial" w:eastAsia="Arial" w:hAnsi="Arial"/>
                  <w:sz w:val="18"/>
                  <w:szCs w:val="18"/>
                  <w:color w:val="0000EE"/>
                  <w:w w:val="79"/>
                </w:rPr>
                <w:t>60</w:t>
              </w:r>
            </w:hyperlink>
          </w:p>
        </w:tc>
      </w:tr>
      <w:tr>
        <w:trPr>
          <w:trHeight w:val="48"/>
        </w:trPr>
        <w:tc>
          <w:tcPr>
            <w:tcW w:w="960" w:type="dxa"/>
            <w:vAlign w:val="bottom"/>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120" w:type="dxa"/>
            <w:vAlign w:val="bottom"/>
          </w:tcPr>
          <w:p>
            <w:pPr>
              <w:spacing w:after="0"/>
              <w:rPr>
                <w:sz w:val="4"/>
                <w:szCs w:val="4"/>
                <w:color w:val="auto"/>
              </w:rPr>
            </w:pPr>
          </w:p>
        </w:tc>
        <w:tc>
          <w:tcPr>
            <w:tcW w:w="46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00" w:type="dxa"/>
            <w:vAlign w:val="bottom"/>
            <w:gridSpan w:val="4"/>
            <w:shd w:val="clear" w:color="auto" w:fill="CCEEFF"/>
          </w:tcPr>
          <w:p>
            <w:pPr>
              <w:ind w:left="960"/>
              <w:spacing w:after="0" w:line="202" w:lineRule="exact"/>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Item 6.</w:t>
              </w:r>
            </w:hyperlink>
          </w:p>
        </w:tc>
        <w:tc>
          <w:tcPr>
            <w:tcW w:w="9220" w:type="dxa"/>
            <w:vAlign w:val="bottom"/>
            <w:gridSpan w:val="8"/>
            <w:shd w:val="clear" w:color="auto" w:fill="CCEEFF"/>
          </w:tcPr>
          <w:p>
            <w:pPr>
              <w:spacing w:after="0" w:line="202" w:lineRule="exact"/>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Exhibits.</w:t>
              </w:r>
            </w:hyperlink>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66">
              <w:r>
                <w:rPr>
                  <w:rFonts w:ascii="Arial" w:cs="Arial" w:eastAsia="Arial" w:hAnsi="Arial"/>
                  <w:sz w:val="18"/>
                  <w:szCs w:val="18"/>
                  <w:color w:val="0000EE"/>
                  <w:w w:val="79"/>
                </w:rPr>
                <w:t>61</w:t>
              </w:r>
            </w:hyperlink>
          </w:p>
        </w:tc>
      </w:tr>
      <w:tr>
        <w:trPr>
          <w:trHeight w:val="675"/>
        </w:trPr>
        <w:tc>
          <w:tcPr>
            <w:tcW w:w="960" w:type="dxa"/>
            <w:vAlign w:val="bottom"/>
            <w:tcBorders>
              <w:top w:val="single" w:sz="8" w:color="CCEEFF"/>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3920" w:type="dxa"/>
            <w:vAlign w:val="bottom"/>
            <w:tcBorders>
              <w:top w:val="single" w:sz="8" w:color="CCEEFF"/>
            </w:tcBorders>
            <w:gridSpan w:val="6"/>
          </w:tcPr>
          <w:p>
            <w:pPr>
              <w:jc w:val="right"/>
              <w:ind w:right="840"/>
              <w:spacing w:after="0"/>
              <w:rPr>
                <w:sz w:val="20"/>
                <w:szCs w:val="20"/>
                <w:color w:val="auto"/>
              </w:rPr>
            </w:pPr>
            <w:r>
              <w:rPr>
                <w:rFonts w:ascii="Arial" w:cs="Arial" w:eastAsia="Arial" w:hAnsi="Arial"/>
                <w:sz w:val="18"/>
                <w:szCs w:val="18"/>
                <w:color w:val="auto"/>
              </w:rPr>
              <w:t>2</w:t>
            </w:r>
          </w:p>
        </w:tc>
        <w:tc>
          <w:tcPr>
            <w:tcW w:w="46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UNITED COMMUNITY BANKS,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Consolidated Statements of Income </w:t>
      </w:r>
      <w:r>
        <w:rPr>
          <w:rFonts w:ascii="Arial" w:cs="Arial" w:eastAsia="Arial" w:hAnsi="Arial"/>
          <w:sz w:val="16"/>
          <w:szCs w:val="16"/>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5"/>
                <w:szCs w:val="15"/>
                <w:b w:val="1"/>
                <w:bCs w:val="1"/>
                <w:color w:val="auto"/>
              </w:rPr>
              <w:t>Three Months Ended March 31,</w:t>
            </w:r>
          </w:p>
        </w:tc>
      </w:tr>
      <w:tr>
        <w:trPr>
          <w:trHeight w:val="264"/>
        </w:trPr>
        <w:tc>
          <w:tcPr>
            <w:tcW w:w="8120" w:type="dxa"/>
            <w:vAlign w:val="bottom"/>
            <w:gridSpan w:val="2"/>
          </w:tcPr>
          <w:p>
            <w:pPr>
              <w:ind w:left="40"/>
              <w:spacing w:after="0"/>
              <w:rPr>
                <w:sz w:val="20"/>
                <w:szCs w:val="20"/>
                <w:color w:val="auto"/>
              </w:rPr>
            </w:pPr>
            <w:r>
              <w:rPr>
                <w:rFonts w:ascii="Arial" w:cs="Arial" w:eastAsia="Arial" w:hAnsi="Arial"/>
                <w:sz w:val="15"/>
                <w:szCs w:val="15"/>
                <w:i w:val="1"/>
                <w:iCs w:val="1"/>
                <w:color w:val="auto"/>
              </w:rPr>
              <w:t>(in thousands, except per share data)</w:t>
            </w:r>
          </w:p>
        </w:tc>
        <w:tc>
          <w:tcPr>
            <w:tcW w:w="360" w:type="dxa"/>
            <w:vAlign w:val="bottom"/>
          </w:tcPr>
          <w:p>
            <w:pPr>
              <w:spacing w:after="0"/>
              <w:rPr>
                <w:sz w:val="22"/>
                <w:szCs w:val="22"/>
                <w:color w:val="auto"/>
              </w:rPr>
            </w:pPr>
          </w:p>
        </w:tc>
        <w:tc>
          <w:tcPr>
            <w:tcW w:w="1260" w:type="dxa"/>
            <w:vAlign w:val="bottom"/>
          </w:tcPr>
          <w:p>
            <w:pPr>
              <w:jc w:val="right"/>
              <w:ind w:right="588"/>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568"/>
              <w:spacing w:after="0"/>
              <w:rPr>
                <w:sz w:val="20"/>
                <w:szCs w:val="20"/>
                <w:color w:val="auto"/>
              </w:rPr>
            </w:pPr>
            <w:r>
              <w:rPr>
                <w:rFonts w:ascii="Arial" w:cs="Arial" w:eastAsia="Arial" w:hAnsi="Arial"/>
                <w:sz w:val="15"/>
                <w:szCs w:val="15"/>
                <w:b w:val="1"/>
                <w:bCs w:val="1"/>
                <w:color w:val="auto"/>
              </w:rPr>
              <w:t>2018</w:t>
            </w:r>
          </w:p>
        </w:tc>
      </w:tr>
      <w:tr>
        <w:trPr>
          <w:trHeight w:val="241"/>
        </w:trPr>
        <w:tc>
          <w:tcPr>
            <w:tcW w:w="8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0"/>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Interest revenue:</w:t>
            </w:r>
          </w:p>
        </w:tc>
        <w:tc>
          <w:tcPr>
            <w:tcW w:w="3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4"/>
        </w:trPr>
        <w:tc>
          <w:tcPr>
            <w:tcW w:w="8120" w:type="dxa"/>
            <w:vAlign w:val="bottom"/>
            <w:gridSpan w:val="2"/>
          </w:tcPr>
          <w:p>
            <w:pPr>
              <w:ind w:left="180"/>
              <w:spacing w:after="0"/>
              <w:rPr>
                <w:sz w:val="20"/>
                <w:szCs w:val="20"/>
                <w:color w:val="auto"/>
              </w:rPr>
            </w:pPr>
            <w:r>
              <w:rPr>
                <w:rFonts w:ascii="Arial" w:cs="Arial" w:eastAsia="Arial" w:hAnsi="Arial"/>
                <w:sz w:val="14"/>
                <w:szCs w:val="14"/>
                <w:color w:val="auto"/>
              </w:rPr>
              <w:t>Loans, including fees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115,259</w:t>
            </w:r>
          </w:p>
        </w:tc>
        <w:tc>
          <w:tcPr>
            <w:tcW w:w="10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96,469</w:t>
            </w:r>
          </w:p>
        </w:tc>
      </w:tr>
      <w:tr>
        <w:trPr>
          <w:trHeight w:val="276"/>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Investment securities, including tax exempt of $1,169 and $972</w:t>
            </w: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20,818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18,295</w:t>
            </w:r>
          </w:p>
        </w:tc>
      </w:tr>
      <w:tr>
        <w:trPr>
          <w:trHeight w:val="264"/>
        </w:trPr>
        <w:tc>
          <w:tcPr>
            <w:tcW w:w="812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Deposits in banks and short-term investments</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526</w:t>
            </w:r>
          </w:p>
        </w:tc>
      </w:tr>
      <w:tr>
        <w:trPr>
          <w:trHeight w:val="250"/>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Total interest revenue</w:t>
            </w:r>
          </w:p>
        </w:tc>
        <w:tc>
          <w:tcPr>
            <w:tcW w:w="3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136,516</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115,290</w:t>
            </w:r>
          </w:p>
        </w:tc>
      </w:tr>
      <w:tr>
        <w:trPr>
          <w:trHeight w:val="243"/>
        </w:trPr>
        <w:tc>
          <w:tcPr>
            <w:tcW w:w="8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0"/>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Interest expense:</w:t>
            </w:r>
          </w:p>
        </w:tc>
        <w:tc>
          <w:tcPr>
            <w:tcW w:w="3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4"/>
        </w:trPr>
        <w:tc>
          <w:tcPr>
            <w:tcW w:w="8120" w:type="dxa"/>
            <w:vAlign w:val="bottom"/>
            <w:gridSpan w:val="2"/>
          </w:tcPr>
          <w:p>
            <w:pPr>
              <w:ind w:left="180"/>
              <w:spacing w:after="0"/>
              <w:rPr>
                <w:sz w:val="20"/>
                <w:szCs w:val="20"/>
                <w:color w:val="auto"/>
              </w:rPr>
            </w:pPr>
            <w:r>
              <w:rPr>
                <w:rFonts w:ascii="Arial" w:cs="Arial" w:eastAsia="Arial" w:hAnsi="Arial"/>
                <w:sz w:val="14"/>
                <w:szCs w:val="14"/>
                <w:color w:val="auto"/>
              </w:rPr>
              <w:t>Deposits:</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6"/>
        </w:trPr>
        <w:tc>
          <w:tcPr>
            <w:tcW w:w="81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NOW and interest-bearing demand</w:t>
            </w: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3,536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1,113</w:t>
            </w:r>
          </w:p>
        </w:tc>
      </w:tr>
      <w:tr>
        <w:trPr>
          <w:trHeight w:val="264"/>
        </w:trPr>
        <w:tc>
          <w:tcPr>
            <w:tcW w:w="8120" w:type="dxa"/>
            <w:vAlign w:val="bottom"/>
            <w:gridSpan w:val="2"/>
          </w:tcPr>
          <w:p>
            <w:pPr>
              <w:ind w:left="280"/>
              <w:spacing w:after="0"/>
              <w:rPr>
                <w:sz w:val="20"/>
                <w:szCs w:val="20"/>
                <w:color w:val="auto"/>
              </w:rPr>
            </w:pPr>
            <w:r>
              <w:rPr>
                <w:rFonts w:ascii="Arial" w:cs="Arial" w:eastAsia="Arial" w:hAnsi="Arial"/>
                <w:sz w:val="14"/>
                <w:szCs w:val="14"/>
                <w:color w:val="auto"/>
              </w:rPr>
              <w:t>Money market</w:t>
            </w:r>
          </w:p>
        </w:tc>
        <w:tc>
          <w:tcPr>
            <w:tcW w:w="36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4,205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2,175</w:t>
            </w:r>
          </w:p>
        </w:tc>
      </w:tr>
      <w:tr>
        <w:trPr>
          <w:trHeight w:val="276"/>
        </w:trPr>
        <w:tc>
          <w:tcPr>
            <w:tcW w:w="81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Savings</w:t>
            </w: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w:t>
            </w:r>
          </w:p>
        </w:tc>
      </w:tr>
      <w:tr>
        <w:trPr>
          <w:trHeight w:val="264"/>
        </w:trPr>
        <w:tc>
          <w:tcPr>
            <w:tcW w:w="812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Time</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8,184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2,956</w:t>
            </w:r>
          </w:p>
        </w:tc>
      </w:tr>
      <w:tr>
        <w:trPr>
          <w:trHeight w:val="256"/>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Total deposit interest expense</w:t>
            </w:r>
          </w:p>
        </w:tc>
        <w:tc>
          <w:tcPr>
            <w:tcW w:w="3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15,957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6,293</w:t>
            </w:r>
          </w:p>
        </w:tc>
      </w:tr>
      <w:tr>
        <w:trPr>
          <w:trHeight w:val="264"/>
        </w:trPr>
        <w:tc>
          <w:tcPr>
            <w:tcW w:w="8120" w:type="dxa"/>
            <w:vAlign w:val="bottom"/>
            <w:gridSpan w:val="2"/>
          </w:tcPr>
          <w:p>
            <w:pPr>
              <w:ind w:left="180"/>
              <w:spacing w:after="0"/>
              <w:rPr>
                <w:sz w:val="20"/>
                <w:szCs w:val="20"/>
                <w:color w:val="auto"/>
              </w:rPr>
            </w:pPr>
            <w:r>
              <w:rPr>
                <w:rFonts w:ascii="Arial" w:cs="Arial" w:eastAsia="Arial" w:hAnsi="Arial"/>
                <w:sz w:val="14"/>
                <w:szCs w:val="14"/>
                <w:color w:val="auto"/>
              </w:rPr>
              <w:t>Short-term borrowings</w:t>
            </w:r>
          </w:p>
        </w:tc>
        <w:tc>
          <w:tcPr>
            <w:tcW w:w="36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161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300</w:t>
            </w:r>
          </w:p>
        </w:tc>
      </w:tr>
      <w:tr>
        <w:trPr>
          <w:trHeight w:val="276"/>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Federal Home Loan Bank advances</w:t>
            </w: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1,422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2,124</w:t>
            </w:r>
          </w:p>
        </w:tc>
      </w:tr>
      <w:tr>
        <w:trPr>
          <w:trHeight w:val="264"/>
        </w:trPr>
        <w:tc>
          <w:tcPr>
            <w:tcW w:w="812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Long-term debt</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3,342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3,288</w:t>
            </w:r>
          </w:p>
        </w:tc>
      </w:tr>
      <w:tr>
        <w:trPr>
          <w:trHeight w:val="250"/>
        </w:trPr>
        <w:tc>
          <w:tcPr>
            <w:tcW w:w="81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interest expense</w:t>
            </w:r>
          </w:p>
        </w:tc>
        <w:tc>
          <w:tcPr>
            <w:tcW w:w="3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20,882</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12,005</w:t>
            </w:r>
          </w:p>
        </w:tc>
      </w:tr>
      <w:tr>
        <w:trPr>
          <w:trHeight w:val="250"/>
        </w:trPr>
        <w:tc>
          <w:tcPr>
            <w:tcW w:w="8120" w:type="dxa"/>
            <w:vAlign w:val="bottom"/>
            <w:gridSpan w:val="2"/>
          </w:tcPr>
          <w:p>
            <w:pPr>
              <w:ind w:left="280"/>
              <w:spacing w:after="0"/>
              <w:rPr>
                <w:sz w:val="20"/>
                <w:szCs w:val="20"/>
                <w:color w:val="auto"/>
              </w:rPr>
            </w:pPr>
            <w:r>
              <w:rPr>
                <w:rFonts w:ascii="Arial" w:cs="Arial" w:eastAsia="Arial" w:hAnsi="Arial"/>
                <w:sz w:val="14"/>
                <w:szCs w:val="14"/>
                <w:color w:val="auto"/>
              </w:rPr>
              <w:t>Net interest revenue</w:t>
            </w:r>
          </w:p>
        </w:tc>
        <w:tc>
          <w:tcPr>
            <w:tcW w:w="360" w:type="dxa"/>
            <w:vAlign w:val="bottom"/>
          </w:tcPr>
          <w:p>
            <w:pPr>
              <w:spacing w:after="0"/>
              <w:rPr>
                <w:sz w:val="21"/>
                <w:szCs w:val="21"/>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115,634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103,285</w:t>
            </w:r>
          </w:p>
        </w:tc>
      </w:tr>
      <w:tr>
        <w:trPr>
          <w:trHeight w:val="270"/>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Provision for credit losses</w:t>
            </w:r>
          </w:p>
        </w:tc>
        <w:tc>
          <w:tcPr>
            <w:tcW w:w="3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3,300</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3,800</w:t>
            </w:r>
          </w:p>
        </w:tc>
      </w:tr>
      <w:tr>
        <w:trPr>
          <w:trHeight w:val="250"/>
        </w:trPr>
        <w:tc>
          <w:tcPr>
            <w:tcW w:w="812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Net interest revenue after provision for credit losses</w:t>
            </w: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112,334</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99,485</w:t>
            </w:r>
          </w:p>
        </w:tc>
      </w:tr>
      <w:tr>
        <w:trPr>
          <w:trHeight w:val="243"/>
        </w:trPr>
        <w:tc>
          <w:tcPr>
            <w:tcW w:w="8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64"/>
        </w:trPr>
        <w:tc>
          <w:tcPr>
            <w:tcW w:w="81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Noninterest income:</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6"/>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Service charges and fees</w:t>
            </w: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8,453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8,925</w:t>
            </w:r>
          </w:p>
        </w:tc>
      </w:tr>
      <w:tr>
        <w:trPr>
          <w:trHeight w:val="264"/>
        </w:trPr>
        <w:tc>
          <w:tcPr>
            <w:tcW w:w="8120" w:type="dxa"/>
            <w:vAlign w:val="bottom"/>
            <w:gridSpan w:val="2"/>
          </w:tcPr>
          <w:p>
            <w:pPr>
              <w:ind w:left="180"/>
              <w:spacing w:after="0"/>
              <w:rPr>
                <w:sz w:val="20"/>
                <w:szCs w:val="20"/>
                <w:color w:val="auto"/>
              </w:rPr>
            </w:pPr>
            <w:r>
              <w:rPr>
                <w:rFonts w:ascii="Arial" w:cs="Arial" w:eastAsia="Arial" w:hAnsi="Arial"/>
                <w:sz w:val="14"/>
                <w:szCs w:val="14"/>
                <w:color w:val="auto"/>
              </w:rPr>
              <w:t>Mortgage loan and other related fees</w:t>
            </w:r>
          </w:p>
        </w:tc>
        <w:tc>
          <w:tcPr>
            <w:tcW w:w="36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3,748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5,359</w:t>
            </w:r>
          </w:p>
        </w:tc>
      </w:tr>
      <w:tr>
        <w:trPr>
          <w:trHeight w:val="276"/>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Brokerage fees</w:t>
            </w: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872</w:t>
            </w:r>
          </w:p>
        </w:tc>
      </w:tr>
      <w:tr>
        <w:trPr>
          <w:trHeight w:val="264"/>
        </w:trPr>
        <w:tc>
          <w:tcPr>
            <w:tcW w:w="8120" w:type="dxa"/>
            <w:vAlign w:val="bottom"/>
            <w:gridSpan w:val="2"/>
          </w:tcPr>
          <w:p>
            <w:pPr>
              <w:ind w:left="180"/>
              <w:spacing w:after="0"/>
              <w:rPr>
                <w:sz w:val="20"/>
                <w:szCs w:val="20"/>
                <w:color w:val="auto"/>
              </w:rPr>
            </w:pPr>
            <w:r>
              <w:rPr>
                <w:rFonts w:ascii="Arial" w:cs="Arial" w:eastAsia="Arial" w:hAnsi="Arial"/>
                <w:sz w:val="14"/>
                <w:szCs w:val="14"/>
                <w:color w:val="auto"/>
              </w:rPr>
              <w:t>Gains from sales of SBA/USDA loans</w:t>
            </w:r>
          </w:p>
        </w:tc>
        <w:tc>
          <w:tcPr>
            <w:tcW w:w="36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1,303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1,778</w:t>
            </w:r>
          </w:p>
        </w:tc>
      </w:tr>
      <w:tr>
        <w:trPr>
          <w:trHeight w:val="276"/>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Securities losses, net</w:t>
            </w: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(940)</w:t>
            </w:r>
          </w:p>
        </w:tc>
      </w:tr>
      <w:tr>
        <w:trPr>
          <w:trHeight w:val="264"/>
        </w:trPr>
        <w:tc>
          <w:tcPr>
            <w:tcW w:w="812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Other</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6,394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6,402</w:t>
            </w:r>
          </w:p>
        </w:tc>
      </w:tr>
      <w:tr>
        <w:trPr>
          <w:trHeight w:val="256"/>
        </w:trPr>
        <w:tc>
          <w:tcPr>
            <w:tcW w:w="81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noninterest income</w:t>
            </w:r>
          </w:p>
        </w:tc>
        <w:tc>
          <w:tcPr>
            <w:tcW w:w="3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20,968</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22,396</w:t>
            </w:r>
          </w:p>
        </w:tc>
      </w:tr>
      <w:tr>
        <w:trPr>
          <w:trHeight w:val="244"/>
        </w:trPr>
        <w:tc>
          <w:tcPr>
            <w:tcW w:w="812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b w:val="1"/>
                <w:bCs w:val="1"/>
                <w:color w:val="auto"/>
              </w:rPr>
              <w:t>Total revenue</w:t>
            </w: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133,302</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121,881</w:t>
            </w:r>
          </w:p>
        </w:tc>
      </w:tr>
      <w:tr>
        <w:trPr>
          <w:trHeight w:val="243"/>
        </w:trPr>
        <w:tc>
          <w:tcPr>
            <w:tcW w:w="8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64"/>
        </w:trPr>
        <w:tc>
          <w:tcPr>
            <w:tcW w:w="81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Noninterest expenses:</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6"/>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Salaries and employee benefits</w:t>
            </w: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47,503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42,875</w:t>
            </w:r>
          </w:p>
        </w:tc>
      </w:tr>
      <w:tr>
        <w:trPr>
          <w:trHeight w:val="264"/>
        </w:trPr>
        <w:tc>
          <w:tcPr>
            <w:tcW w:w="8120" w:type="dxa"/>
            <w:vAlign w:val="bottom"/>
            <w:gridSpan w:val="2"/>
          </w:tcPr>
          <w:p>
            <w:pPr>
              <w:ind w:left="180"/>
              <w:spacing w:after="0"/>
              <w:rPr>
                <w:sz w:val="20"/>
                <w:szCs w:val="20"/>
                <w:color w:val="auto"/>
              </w:rPr>
            </w:pPr>
            <w:r>
              <w:rPr>
                <w:rFonts w:ascii="Arial" w:cs="Arial" w:eastAsia="Arial" w:hAnsi="Arial"/>
                <w:sz w:val="14"/>
                <w:szCs w:val="14"/>
                <w:color w:val="auto"/>
              </w:rPr>
              <w:t>Communications and equipment</w:t>
            </w:r>
          </w:p>
        </w:tc>
        <w:tc>
          <w:tcPr>
            <w:tcW w:w="36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5,788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4,632</w:t>
            </w:r>
          </w:p>
        </w:tc>
      </w:tr>
      <w:tr>
        <w:trPr>
          <w:trHeight w:val="276"/>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Occupancy</w:t>
            </w: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5,584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5,613</w:t>
            </w:r>
          </w:p>
        </w:tc>
      </w:tr>
      <w:tr>
        <w:trPr>
          <w:trHeight w:val="264"/>
        </w:trPr>
        <w:tc>
          <w:tcPr>
            <w:tcW w:w="8120" w:type="dxa"/>
            <w:vAlign w:val="bottom"/>
            <w:gridSpan w:val="2"/>
          </w:tcPr>
          <w:p>
            <w:pPr>
              <w:ind w:left="180"/>
              <w:spacing w:after="0"/>
              <w:rPr>
                <w:sz w:val="20"/>
                <w:szCs w:val="20"/>
                <w:color w:val="auto"/>
              </w:rPr>
            </w:pPr>
            <w:r>
              <w:rPr>
                <w:rFonts w:ascii="Arial" w:cs="Arial" w:eastAsia="Arial" w:hAnsi="Arial"/>
                <w:sz w:val="14"/>
                <w:szCs w:val="14"/>
                <w:color w:val="auto"/>
              </w:rPr>
              <w:t>Advertising and public relations</w:t>
            </w:r>
          </w:p>
        </w:tc>
        <w:tc>
          <w:tcPr>
            <w:tcW w:w="36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1,286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1,515</w:t>
            </w:r>
          </w:p>
        </w:tc>
      </w:tr>
      <w:tr>
        <w:trPr>
          <w:trHeight w:val="276"/>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Postage, printing and supplies</w:t>
            </w: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1,586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1,637</w:t>
            </w:r>
          </w:p>
        </w:tc>
      </w:tr>
      <w:tr>
        <w:trPr>
          <w:trHeight w:val="264"/>
        </w:trPr>
        <w:tc>
          <w:tcPr>
            <w:tcW w:w="8120" w:type="dxa"/>
            <w:vAlign w:val="bottom"/>
            <w:gridSpan w:val="2"/>
          </w:tcPr>
          <w:p>
            <w:pPr>
              <w:ind w:left="180"/>
              <w:spacing w:after="0"/>
              <w:rPr>
                <w:sz w:val="20"/>
                <w:szCs w:val="20"/>
                <w:color w:val="auto"/>
              </w:rPr>
            </w:pPr>
            <w:r>
              <w:rPr>
                <w:rFonts w:ascii="Arial" w:cs="Arial" w:eastAsia="Arial" w:hAnsi="Arial"/>
                <w:sz w:val="14"/>
                <w:szCs w:val="14"/>
                <w:color w:val="auto"/>
              </w:rPr>
              <w:t>Professional fees</w:t>
            </w:r>
          </w:p>
        </w:tc>
        <w:tc>
          <w:tcPr>
            <w:tcW w:w="36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3,161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4,044</w:t>
            </w:r>
          </w:p>
        </w:tc>
      </w:tr>
      <w:tr>
        <w:trPr>
          <w:trHeight w:val="276"/>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FDIC assessments and other regulatory charges</w:t>
            </w: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1,710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2,476</w:t>
            </w:r>
          </w:p>
        </w:tc>
      </w:tr>
      <w:tr>
        <w:trPr>
          <w:trHeight w:val="264"/>
        </w:trPr>
        <w:tc>
          <w:tcPr>
            <w:tcW w:w="8120" w:type="dxa"/>
            <w:vAlign w:val="bottom"/>
            <w:gridSpan w:val="2"/>
          </w:tcPr>
          <w:p>
            <w:pPr>
              <w:ind w:left="180"/>
              <w:spacing w:after="0"/>
              <w:rPr>
                <w:sz w:val="20"/>
                <w:szCs w:val="20"/>
                <w:color w:val="auto"/>
              </w:rPr>
            </w:pPr>
            <w:r>
              <w:rPr>
                <w:rFonts w:ascii="Arial" w:cs="Arial" w:eastAsia="Arial" w:hAnsi="Arial"/>
                <w:sz w:val="14"/>
                <w:szCs w:val="14"/>
                <w:color w:val="auto"/>
              </w:rPr>
              <w:t>Amortization of intangibles</w:t>
            </w:r>
          </w:p>
        </w:tc>
        <w:tc>
          <w:tcPr>
            <w:tcW w:w="36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1,293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1,898</w:t>
            </w:r>
          </w:p>
        </w:tc>
      </w:tr>
      <w:tr>
        <w:trPr>
          <w:trHeight w:val="276"/>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Merger-related and other charges</w:t>
            </w: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2,054</w:t>
            </w:r>
          </w:p>
        </w:tc>
      </w:tr>
      <w:tr>
        <w:trPr>
          <w:trHeight w:val="264"/>
        </w:trPr>
        <w:tc>
          <w:tcPr>
            <w:tcW w:w="812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Other</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7,627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6,731</w:t>
            </w:r>
          </w:p>
        </w:tc>
      </w:tr>
      <w:tr>
        <w:trPr>
          <w:trHeight w:val="250"/>
        </w:trPr>
        <w:tc>
          <w:tcPr>
            <w:tcW w:w="81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noninterest expenses</w:t>
            </w:r>
          </w:p>
        </w:tc>
        <w:tc>
          <w:tcPr>
            <w:tcW w:w="3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76,084</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73,475</w:t>
            </w:r>
          </w:p>
        </w:tc>
      </w:tr>
      <w:tr>
        <w:trPr>
          <w:trHeight w:val="250"/>
        </w:trPr>
        <w:tc>
          <w:tcPr>
            <w:tcW w:w="8120" w:type="dxa"/>
            <w:vAlign w:val="bottom"/>
            <w:gridSpan w:val="2"/>
          </w:tcPr>
          <w:p>
            <w:pPr>
              <w:ind w:left="280"/>
              <w:spacing w:after="0"/>
              <w:rPr>
                <w:sz w:val="20"/>
                <w:szCs w:val="20"/>
                <w:color w:val="auto"/>
              </w:rPr>
            </w:pPr>
            <w:r>
              <w:rPr>
                <w:rFonts w:ascii="Arial" w:cs="Arial" w:eastAsia="Arial" w:hAnsi="Arial"/>
                <w:sz w:val="14"/>
                <w:szCs w:val="14"/>
                <w:color w:val="auto"/>
              </w:rPr>
              <w:t>Net income before income taxes</w:t>
            </w:r>
          </w:p>
        </w:tc>
        <w:tc>
          <w:tcPr>
            <w:tcW w:w="360" w:type="dxa"/>
            <w:vAlign w:val="bottom"/>
          </w:tcPr>
          <w:p>
            <w:pPr>
              <w:spacing w:after="0"/>
              <w:rPr>
                <w:sz w:val="21"/>
                <w:szCs w:val="21"/>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57,218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48,406</w:t>
            </w:r>
          </w:p>
        </w:tc>
      </w:tr>
      <w:tr>
        <w:trPr>
          <w:trHeight w:val="270"/>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Income tax expense</w:t>
            </w:r>
          </w:p>
        </w:tc>
        <w:tc>
          <w:tcPr>
            <w:tcW w:w="3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12,956</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10,748</w:t>
            </w:r>
          </w:p>
        </w:tc>
      </w:tr>
      <w:tr>
        <w:trPr>
          <w:trHeight w:val="283"/>
        </w:trPr>
        <w:tc>
          <w:tcPr>
            <w:tcW w:w="812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b w:val="1"/>
                <w:bCs w:val="1"/>
                <w:color w:val="auto"/>
              </w:rPr>
              <w:t>Net income</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44,262</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37,658</w:t>
            </w:r>
          </w:p>
        </w:tc>
      </w:tr>
      <w:tr>
        <w:trPr>
          <w:trHeight w:val="224"/>
        </w:trPr>
        <w:tc>
          <w:tcPr>
            <w:tcW w:w="8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97"/>
        </w:trPr>
        <w:tc>
          <w:tcPr>
            <w:tcW w:w="81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Net income available to common shareholders</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43,947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37,381</w:t>
            </w:r>
          </w:p>
        </w:tc>
      </w:tr>
      <w:tr>
        <w:trPr>
          <w:trHeight w:val="224"/>
        </w:trPr>
        <w:tc>
          <w:tcPr>
            <w:tcW w:w="8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64"/>
        </w:trPr>
        <w:tc>
          <w:tcPr>
            <w:tcW w:w="8120" w:type="dxa"/>
            <w:vAlign w:val="bottom"/>
            <w:gridSpan w:val="2"/>
          </w:tcPr>
          <w:p>
            <w:pPr>
              <w:ind w:left="40"/>
              <w:spacing w:after="0"/>
              <w:rPr>
                <w:sz w:val="20"/>
                <w:szCs w:val="20"/>
                <w:color w:val="auto"/>
              </w:rPr>
            </w:pPr>
            <w:r>
              <w:rPr>
                <w:rFonts w:ascii="Arial" w:cs="Arial" w:eastAsia="Arial" w:hAnsi="Arial"/>
                <w:sz w:val="14"/>
                <w:szCs w:val="14"/>
                <w:color w:val="auto"/>
              </w:rPr>
              <w:t>Earnings per common share:</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6"/>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0.55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0.47</w:t>
            </w:r>
          </w:p>
        </w:tc>
      </w:tr>
      <w:tr>
        <w:trPr>
          <w:trHeight w:val="264"/>
        </w:trPr>
        <w:tc>
          <w:tcPr>
            <w:tcW w:w="8120" w:type="dxa"/>
            <w:vAlign w:val="bottom"/>
            <w:gridSpan w:val="2"/>
          </w:tcPr>
          <w:p>
            <w:pPr>
              <w:ind w:left="180"/>
              <w:spacing w:after="0"/>
              <w:rPr>
                <w:sz w:val="20"/>
                <w:szCs w:val="20"/>
                <w:color w:val="auto"/>
              </w:rPr>
            </w:pPr>
            <w:r>
              <w:rPr>
                <w:rFonts w:ascii="Arial" w:cs="Arial" w:eastAsia="Arial" w:hAnsi="Arial"/>
                <w:sz w:val="14"/>
                <w:szCs w:val="14"/>
                <w:color w:val="auto"/>
              </w:rPr>
              <w:t>Diluted</w:t>
            </w:r>
          </w:p>
        </w:tc>
        <w:tc>
          <w:tcPr>
            <w:tcW w:w="36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0.55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0.47</w:t>
            </w:r>
          </w:p>
        </w:tc>
      </w:tr>
      <w:tr>
        <w:trPr>
          <w:trHeight w:val="276"/>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Weighted average common shares outstanding:</w:t>
            </w: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4"/>
        </w:trPr>
        <w:tc>
          <w:tcPr>
            <w:tcW w:w="812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Basic</w:t>
            </w:r>
          </w:p>
        </w:tc>
        <w:tc>
          <w:tcPr>
            <w:tcW w:w="36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79,807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79,205</w:t>
            </w:r>
          </w:p>
        </w:tc>
      </w:tr>
    </w:tbl>
    <w:p>
      <w:pPr>
        <w:sectPr>
          <w:pgSz w:w="11900" w:h="16900" w:orient="portrait"/>
          <w:cols w:equalWidth="0" w:num="1">
            <w:col w:w="11420"/>
          </w:cols>
          <w:pgMar w:left="240" w:top="580" w:right="239" w:bottom="0" w:gutter="0" w:footer="0" w:header="0"/>
        </w:sectPr>
      </w:pPr>
    </w:p>
    <w:bookmarkStart w:id="3" w:name="page4"/>
    <w:bookmarkEnd w:id="3"/>
    <w:p>
      <w:pPr>
        <w:spacing w:after="0"/>
        <w:tabs>
          <w:tab w:leader="none" w:pos="9020" w:val="left"/>
          <w:tab w:leader="none" w:pos="10720" w:val="left"/>
        </w:tabs>
        <w:rPr>
          <w:sz w:val="20"/>
          <w:szCs w:val="20"/>
          <w:color w:val="auto"/>
        </w:rPr>
      </w:pPr>
      <w:r>
        <w:rPr>
          <w:rFonts w:ascii="Arial" w:cs="Arial" w:eastAsia="Arial" w:hAnsi="Arial"/>
          <w:sz w:val="14"/>
          <w:szCs w:val="14"/>
          <w:color w:val="auto"/>
        </w:rPr>
        <w:t>Diluted</w:t>
      </w:r>
      <w:r>
        <w:rPr>
          <w:sz w:val="20"/>
          <w:szCs w:val="20"/>
          <w:color w:val="auto"/>
        </w:rPr>
        <w:tab/>
      </w:r>
      <w:r>
        <w:rPr>
          <w:rFonts w:ascii="Arial" w:cs="Arial" w:eastAsia="Arial" w:hAnsi="Arial"/>
          <w:sz w:val="14"/>
          <w:szCs w:val="14"/>
          <w:color w:val="auto"/>
        </w:rPr>
        <w:t>79,813</w:t>
      </w:r>
      <w:r>
        <w:rPr>
          <w:sz w:val="20"/>
          <w:szCs w:val="20"/>
          <w:color w:val="auto"/>
        </w:rPr>
        <w:tab/>
      </w:r>
      <w:r>
        <w:rPr>
          <w:rFonts w:ascii="Arial" w:cs="Arial" w:eastAsia="Arial" w:hAnsi="Arial"/>
          <w:sz w:val="13"/>
          <w:szCs w:val="13"/>
          <w:color w:val="auto"/>
        </w:rPr>
        <w:t>79,215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-98425</wp:posOffset>
            </wp:positionV>
            <wp:extent cx="724662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ectPr>
          <w:pgSz w:w="11900" w:h="16838" w:orient="portrait"/>
          <w:cols w:equalWidth="0" w:num="1">
            <w:col w:w="11140"/>
          </w:cols>
          <w:pgMar w:left="420" w:top="134" w:right="339" w:bottom="1440" w:gutter="0" w:footer="0" w:header="0"/>
        </w:sectPr>
      </w:pPr>
    </w:p>
    <w:p>
      <w:pPr>
        <w:spacing w:after="0" w:line="86"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7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420" w:top="134"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b w:val="1"/>
          <w:bCs w:val="1"/>
          <w:color w:val="auto"/>
        </w:rPr>
        <w:t>UNITED COMMUNITY BANKS,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Consolidated Statements of Comprehensive Income </w:t>
      </w:r>
      <w:r>
        <w:rPr>
          <w:rFonts w:ascii="Arial" w:cs="Arial" w:eastAsia="Arial" w:hAnsi="Arial"/>
          <w:sz w:val="16"/>
          <w:szCs w:val="16"/>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18"/>
                <w:szCs w:val="18"/>
                <w:color w:val="auto"/>
              </w:rPr>
            </w:pPr>
          </w:p>
        </w:tc>
        <w:tc>
          <w:tcPr>
            <w:tcW w:w="3160" w:type="dxa"/>
            <w:vAlign w:val="bottom"/>
            <w:gridSpan w:val="7"/>
          </w:tcPr>
          <w:p>
            <w:pPr>
              <w:jc w:val="right"/>
              <w:ind w:right="441"/>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260"/>
              <w:spacing w:after="0"/>
              <w:rPr>
                <w:sz w:val="20"/>
                <w:szCs w:val="20"/>
                <w:color w:val="auto"/>
              </w:rPr>
            </w:pPr>
            <w:r>
              <w:rPr>
                <w:rFonts w:ascii="Arial" w:cs="Arial" w:eastAsia="Arial" w:hAnsi="Arial"/>
                <w:sz w:val="16"/>
                <w:szCs w:val="16"/>
                <w:b w:val="1"/>
                <w:bCs w:val="1"/>
                <w:color w:val="auto"/>
              </w:rPr>
              <w:t>Tax</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Before-tax</w:t>
            </w: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(Expense)</w:t>
            </w:r>
          </w:p>
        </w:tc>
        <w:tc>
          <w:tcPr>
            <w:tcW w:w="900" w:type="dxa"/>
            <w:vAlign w:val="bottom"/>
            <w:gridSpan w:val="2"/>
          </w:tcPr>
          <w:p>
            <w:pPr>
              <w:jc w:val="right"/>
              <w:ind w:right="1"/>
              <w:spacing w:after="0"/>
              <w:rPr>
                <w:sz w:val="20"/>
                <w:szCs w:val="20"/>
                <w:color w:val="auto"/>
              </w:rPr>
            </w:pPr>
            <w:r>
              <w:rPr>
                <w:rFonts w:ascii="Arial" w:cs="Arial" w:eastAsia="Arial" w:hAnsi="Arial"/>
                <w:sz w:val="16"/>
                <w:szCs w:val="16"/>
                <w:b w:val="1"/>
                <w:bCs w:val="1"/>
                <w:color w:val="auto"/>
              </w:rPr>
              <w:t>Net of Tax</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Amount</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Benefit</w:t>
            </w:r>
          </w:p>
        </w:tc>
        <w:tc>
          <w:tcPr>
            <w:tcW w:w="140" w:type="dxa"/>
            <w:vAlign w:val="bottom"/>
          </w:tcPr>
          <w:p>
            <w:pPr>
              <w:spacing w:after="0"/>
              <w:rPr>
                <w:sz w:val="18"/>
                <w:szCs w:val="18"/>
                <w:color w:val="auto"/>
              </w:rPr>
            </w:pPr>
          </w:p>
        </w:tc>
        <w:tc>
          <w:tcPr>
            <w:tcW w:w="760" w:type="dxa"/>
            <w:vAlign w:val="bottom"/>
          </w:tcPr>
          <w:p>
            <w:pPr>
              <w:jc w:val="right"/>
              <w:ind w:right="81"/>
              <w:spacing w:after="0"/>
              <w:rPr>
                <w:sz w:val="20"/>
                <w:szCs w:val="20"/>
                <w:color w:val="auto"/>
              </w:rPr>
            </w:pPr>
            <w:r>
              <w:rPr>
                <w:rFonts w:ascii="Arial" w:cs="Arial" w:eastAsia="Arial" w:hAnsi="Arial"/>
                <w:sz w:val="16"/>
                <w:szCs w:val="16"/>
                <w:b w:val="1"/>
                <w:bCs w:val="1"/>
                <w:color w:val="auto"/>
                <w:w w:val="95"/>
              </w:rPr>
              <w:t>Amount</w:t>
            </w:r>
          </w:p>
        </w:tc>
        <w:tc>
          <w:tcPr>
            <w:tcW w:w="0" w:type="dxa"/>
            <w:vAlign w:val="bottom"/>
          </w:tcPr>
          <w:p>
            <w:pPr>
              <w:spacing w:after="0"/>
              <w:rPr>
                <w:sz w:val="1"/>
                <w:szCs w:val="1"/>
                <w:color w:val="auto"/>
              </w:rPr>
            </w:pPr>
          </w:p>
        </w:tc>
      </w:tr>
      <w:tr>
        <w:trPr>
          <w:trHeight w:val="33"/>
        </w:trPr>
        <w:tc>
          <w:tcPr>
            <w:tcW w:w="80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80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8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57,218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(12,956)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44,262</w:t>
            </w:r>
          </w:p>
        </w:tc>
        <w:tc>
          <w:tcPr>
            <w:tcW w:w="0" w:type="dxa"/>
            <w:vAlign w:val="bottom"/>
          </w:tcPr>
          <w:p>
            <w:pPr>
              <w:spacing w:after="0"/>
              <w:rPr>
                <w:sz w:val="1"/>
                <w:szCs w:val="1"/>
                <w:color w:val="auto"/>
              </w:rPr>
            </w:pPr>
          </w:p>
        </w:tc>
      </w:tr>
      <w:tr>
        <w:trPr>
          <w:trHeight w:val="249"/>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Other comprehensive income:</w:t>
            </w: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Unrealized gains on available-for-sale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8120" w:type="dxa"/>
            <w:vAlign w:val="bottom"/>
            <w:gridSpan w:val="2"/>
          </w:tcPr>
          <w:p>
            <w:pPr>
              <w:ind w:left="280"/>
              <w:spacing w:after="0"/>
              <w:rPr>
                <w:sz w:val="20"/>
                <w:szCs w:val="20"/>
                <w:color w:val="auto"/>
              </w:rPr>
            </w:pPr>
            <w:r>
              <w:rPr>
                <w:rFonts w:ascii="Arial" w:cs="Arial" w:eastAsia="Arial" w:hAnsi="Arial"/>
                <w:sz w:val="16"/>
                <w:szCs w:val="16"/>
                <w:color w:val="auto"/>
              </w:rPr>
              <w:t>Unrealized holding gains arising during period</w:t>
            </w:r>
          </w:p>
        </w:tc>
        <w:tc>
          <w:tcPr>
            <w:tcW w:w="140" w:type="dxa"/>
            <w:vAlign w:val="bottom"/>
          </w:tcPr>
          <w:p>
            <w:pPr>
              <w:spacing w:after="0"/>
              <w:rPr>
                <w:sz w:val="21"/>
                <w:szCs w:val="21"/>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33,174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(8,049)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25,125</w:t>
            </w:r>
          </w:p>
        </w:tc>
        <w:tc>
          <w:tcPr>
            <w:tcW w:w="0" w:type="dxa"/>
            <w:vAlign w:val="bottom"/>
          </w:tcPr>
          <w:p>
            <w:pPr>
              <w:spacing w:after="0"/>
              <w:rPr>
                <w:sz w:val="1"/>
                <w:szCs w:val="1"/>
                <w:color w:val="auto"/>
              </w:rPr>
            </w:pPr>
          </w:p>
        </w:tc>
      </w:tr>
      <w:tr>
        <w:trPr>
          <w:trHeight w:val="22"/>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Reclassification adjustment for losses included in net income</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267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29"/>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Net unrealized gains</w:t>
            </w: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33,441</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(8,117)</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25,324</w:t>
            </w:r>
          </w:p>
        </w:tc>
        <w:tc>
          <w:tcPr>
            <w:tcW w:w="0" w:type="dxa"/>
            <w:vAlign w:val="bottom"/>
          </w:tcPr>
          <w:p>
            <w:pPr>
              <w:spacing w:after="0"/>
              <w:rPr>
                <w:sz w:val="1"/>
                <w:szCs w:val="1"/>
                <w:color w:val="auto"/>
              </w:rPr>
            </w:pPr>
          </w:p>
        </w:tc>
      </w:tr>
      <w:tr>
        <w:trPr>
          <w:trHeight w:val="22"/>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Amortization of losses included in net income on available-for-sale securities transferred to held-to-maturity</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183"/>
        </w:trPr>
        <w:tc>
          <w:tcPr>
            <w:tcW w:w="8120" w:type="dxa"/>
            <w:vAlign w:val="bottom"/>
            <w:gridSpan w:val="2"/>
          </w:tcPr>
          <w:p>
            <w:pPr>
              <w:ind w:left="180"/>
              <w:spacing w:after="0"/>
              <w:rPr>
                <w:sz w:val="20"/>
                <w:szCs w:val="20"/>
                <w:color w:val="auto"/>
              </w:rPr>
            </w:pPr>
            <w:r>
              <w:rPr>
                <w:rFonts w:ascii="Arial" w:cs="Arial" w:eastAsia="Arial" w:hAnsi="Arial"/>
                <w:sz w:val="16"/>
                <w:szCs w:val="16"/>
                <w:color w:val="auto"/>
                <w:w w:val="99"/>
              </w:rPr>
              <w:t>Amortization of losses included in net income on terminated derivative financial instruments that were previously</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8120" w:type="dxa"/>
            <w:vAlign w:val="bottom"/>
            <w:gridSpan w:val="2"/>
          </w:tcPr>
          <w:p>
            <w:pPr>
              <w:ind w:left="180"/>
              <w:spacing w:after="0"/>
              <w:rPr>
                <w:sz w:val="20"/>
                <w:szCs w:val="20"/>
                <w:color w:val="auto"/>
              </w:rPr>
            </w:pPr>
            <w:r>
              <w:rPr>
                <w:rFonts w:ascii="Arial" w:cs="Arial" w:eastAsia="Arial" w:hAnsi="Arial"/>
                <w:sz w:val="16"/>
                <w:szCs w:val="16"/>
                <w:color w:val="auto"/>
              </w:rPr>
              <w:t>accounted for as cash flow hedges</w:t>
            </w:r>
          </w:p>
        </w:tc>
        <w:tc>
          <w:tcPr>
            <w:tcW w:w="140" w:type="dxa"/>
            <w:vAlign w:val="bottom"/>
          </w:tcPr>
          <w:p>
            <w:pPr>
              <w:spacing w:after="0"/>
              <w:rPr>
                <w:sz w:val="17"/>
                <w:szCs w:val="17"/>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2"/>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w w:val="91"/>
              </w:rPr>
              <w:t>Amortization of prior service cost and actuarial losses included in net periodic pension cost for defined benefit pension plan</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77"/>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 other comprehensive income</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33,801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(8,207)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25,594</w:t>
            </w:r>
          </w:p>
        </w:tc>
        <w:tc>
          <w:tcPr>
            <w:tcW w:w="0" w:type="dxa"/>
            <w:vAlign w:val="bottom"/>
          </w:tcPr>
          <w:p>
            <w:pPr>
              <w:spacing w:after="0"/>
              <w:rPr>
                <w:sz w:val="1"/>
                <w:szCs w:val="1"/>
                <w:color w:val="auto"/>
              </w:rPr>
            </w:pPr>
          </w:p>
        </w:tc>
      </w:tr>
      <w:tr>
        <w:trPr>
          <w:trHeight w:val="277"/>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Comprehensive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91,019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69,856</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8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0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48,406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(10,748)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37,658</w:t>
            </w:r>
          </w:p>
        </w:tc>
        <w:tc>
          <w:tcPr>
            <w:tcW w:w="0" w:type="dxa"/>
            <w:vAlign w:val="bottom"/>
          </w:tcPr>
          <w:p>
            <w:pPr>
              <w:spacing w:after="0"/>
              <w:rPr>
                <w:sz w:val="1"/>
                <w:szCs w:val="1"/>
                <w:color w:val="auto"/>
              </w:rPr>
            </w:pPr>
          </w:p>
        </w:tc>
      </w:tr>
      <w:tr>
        <w:trPr>
          <w:trHeight w:val="22"/>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8120" w:type="dxa"/>
            <w:vAlign w:val="bottom"/>
            <w:gridSpan w:val="2"/>
          </w:tcPr>
          <w:p>
            <w:pPr>
              <w:ind w:left="180"/>
              <w:spacing w:after="0"/>
              <w:rPr>
                <w:sz w:val="20"/>
                <w:szCs w:val="20"/>
                <w:color w:val="auto"/>
              </w:rPr>
            </w:pPr>
            <w:r>
              <w:rPr>
                <w:rFonts w:ascii="Arial" w:cs="Arial" w:eastAsia="Arial" w:hAnsi="Arial"/>
                <w:sz w:val="16"/>
                <w:szCs w:val="16"/>
                <w:color w:val="auto"/>
              </w:rPr>
              <w:t>Unrealized losses on available-for-sale securities:</w:t>
            </w: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Unrealized holding losses arising during period</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(29,265)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7,155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(22,110)</w:t>
            </w:r>
          </w:p>
        </w:tc>
        <w:tc>
          <w:tcPr>
            <w:tcW w:w="0" w:type="dxa"/>
            <w:vAlign w:val="bottom"/>
          </w:tcPr>
          <w:p>
            <w:pPr>
              <w:spacing w:after="0"/>
              <w:rPr>
                <w:sz w:val="1"/>
                <w:szCs w:val="1"/>
                <w:color w:val="auto"/>
              </w:rPr>
            </w:pPr>
          </w:p>
        </w:tc>
      </w:tr>
      <w:tr>
        <w:trPr>
          <w:trHeight w:val="249"/>
        </w:trPr>
        <w:tc>
          <w:tcPr>
            <w:tcW w:w="8120" w:type="dxa"/>
            <w:vAlign w:val="bottom"/>
            <w:gridSpan w:val="2"/>
          </w:tcPr>
          <w:p>
            <w:pPr>
              <w:ind w:left="280"/>
              <w:spacing w:after="0"/>
              <w:rPr>
                <w:sz w:val="20"/>
                <w:szCs w:val="20"/>
                <w:color w:val="auto"/>
              </w:rPr>
            </w:pPr>
            <w:r>
              <w:rPr>
                <w:rFonts w:ascii="Arial" w:cs="Arial" w:eastAsia="Arial" w:hAnsi="Arial"/>
                <w:sz w:val="16"/>
                <w:szCs w:val="16"/>
                <w:color w:val="auto"/>
              </w:rPr>
              <w:t>Reclassification adjustment for losses included in net income</w:t>
            </w:r>
          </w:p>
        </w:tc>
        <w:tc>
          <w:tcPr>
            <w:tcW w:w="140" w:type="dxa"/>
            <w:vAlign w:val="bottom"/>
          </w:tcPr>
          <w:p>
            <w:pPr>
              <w:spacing w:after="0"/>
              <w:rPr>
                <w:sz w:val="21"/>
                <w:szCs w:val="21"/>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940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719</w:t>
            </w:r>
          </w:p>
        </w:tc>
        <w:tc>
          <w:tcPr>
            <w:tcW w:w="0" w:type="dxa"/>
            <w:vAlign w:val="bottom"/>
          </w:tcPr>
          <w:p>
            <w:pPr>
              <w:spacing w:after="0"/>
              <w:rPr>
                <w:sz w:val="1"/>
                <w:szCs w:val="1"/>
                <w:color w:val="auto"/>
              </w:rPr>
            </w:pPr>
          </w:p>
        </w:tc>
      </w:tr>
      <w:tr>
        <w:trPr>
          <w:trHeight w:val="22"/>
        </w:trPr>
        <w:tc>
          <w:tcPr>
            <w:tcW w:w="8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Net unrealized losses</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(28,325)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6,934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(21,391)</w:t>
            </w:r>
          </w:p>
        </w:tc>
        <w:tc>
          <w:tcPr>
            <w:tcW w:w="0" w:type="dxa"/>
            <w:vAlign w:val="bottom"/>
          </w:tcPr>
          <w:p>
            <w:pPr>
              <w:spacing w:after="0"/>
              <w:rPr>
                <w:sz w:val="1"/>
                <w:szCs w:val="1"/>
                <w:color w:val="auto"/>
              </w:rPr>
            </w:pPr>
          </w:p>
        </w:tc>
      </w:tr>
      <w:tr>
        <w:trPr>
          <w:trHeight w:val="249"/>
        </w:trPr>
        <w:tc>
          <w:tcPr>
            <w:tcW w:w="8120" w:type="dxa"/>
            <w:vAlign w:val="bottom"/>
            <w:gridSpan w:val="2"/>
          </w:tcPr>
          <w:p>
            <w:pPr>
              <w:ind w:left="180"/>
              <w:spacing w:after="0"/>
              <w:rPr>
                <w:sz w:val="20"/>
                <w:szCs w:val="20"/>
                <w:color w:val="auto"/>
              </w:rPr>
            </w:pPr>
            <w:r>
              <w:rPr>
                <w:rFonts w:ascii="Arial" w:cs="Arial" w:eastAsia="Arial" w:hAnsi="Arial"/>
                <w:sz w:val="16"/>
                <w:szCs w:val="16"/>
                <w:color w:val="auto"/>
              </w:rPr>
              <w:t>Amortization of losses included in net income on available-for-sale securities transferred to held-to-maturity</w:t>
            </w:r>
          </w:p>
        </w:tc>
        <w:tc>
          <w:tcPr>
            <w:tcW w:w="140" w:type="dxa"/>
            <w:vAlign w:val="bottom"/>
          </w:tcPr>
          <w:p>
            <w:pPr>
              <w:spacing w:after="0"/>
              <w:rPr>
                <w:sz w:val="21"/>
                <w:szCs w:val="21"/>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222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2"/>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99"/>
              </w:rPr>
              <w:t>Amortization of losses included in net income on terminated derivative financial instruments that were previously</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accounted for as cash flow hedges</w:t>
            </w: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147</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49"/>
        </w:trPr>
        <w:tc>
          <w:tcPr>
            <w:tcW w:w="8120" w:type="dxa"/>
            <w:vAlign w:val="bottom"/>
            <w:gridSpan w:val="2"/>
          </w:tcPr>
          <w:p>
            <w:pPr>
              <w:ind w:left="180"/>
              <w:spacing w:after="0"/>
              <w:rPr>
                <w:sz w:val="20"/>
                <w:szCs w:val="20"/>
                <w:color w:val="auto"/>
              </w:rPr>
            </w:pPr>
            <w:r>
              <w:rPr>
                <w:rFonts w:ascii="Arial" w:cs="Arial" w:eastAsia="Arial" w:hAnsi="Arial"/>
                <w:sz w:val="16"/>
                <w:szCs w:val="16"/>
                <w:color w:val="auto"/>
              </w:rPr>
              <w:t>Defined benefit pension plan activity:</w:t>
            </w: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Net actuarial loss on defined benefit pension plan</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83"/>
        </w:trPr>
        <w:tc>
          <w:tcPr>
            <w:tcW w:w="8120" w:type="dxa"/>
            <w:vAlign w:val="bottom"/>
            <w:gridSpan w:val="2"/>
          </w:tcPr>
          <w:p>
            <w:pPr>
              <w:ind w:left="280"/>
              <w:spacing w:after="0"/>
              <w:rPr>
                <w:sz w:val="20"/>
                <w:szCs w:val="20"/>
                <w:color w:val="auto"/>
              </w:rPr>
            </w:pPr>
            <w:r>
              <w:rPr>
                <w:rFonts w:ascii="Arial" w:cs="Arial" w:eastAsia="Arial" w:hAnsi="Arial"/>
                <w:sz w:val="16"/>
                <w:szCs w:val="16"/>
                <w:color w:val="auto"/>
                <w:w w:val="93"/>
              </w:rPr>
              <w:t>Amortization of prior service cost and actuarial losses included in net periodic pension cost for defined benefit pension</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8120" w:type="dxa"/>
            <w:vAlign w:val="bottom"/>
            <w:gridSpan w:val="2"/>
          </w:tcPr>
          <w:p>
            <w:pPr>
              <w:ind w:left="280"/>
              <w:spacing w:after="0"/>
              <w:rPr>
                <w:sz w:val="20"/>
                <w:szCs w:val="20"/>
                <w:color w:val="auto"/>
              </w:rPr>
            </w:pPr>
            <w:r>
              <w:rPr>
                <w:rFonts w:ascii="Arial" w:cs="Arial" w:eastAsia="Arial" w:hAnsi="Arial"/>
                <w:sz w:val="16"/>
                <w:szCs w:val="16"/>
                <w:color w:val="auto"/>
              </w:rPr>
              <w:t>plan</w:t>
            </w:r>
          </w:p>
        </w:tc>
        <w:tc>
          <w:tcPr>
            <w:tcW w:w="140" w:type="dxa"/>
            <w:vAlign w:val="bottom"/>
          </w:tcPr>
          <w:p>
            <w:pPr>
              <w:spacing w:after="0"/>
              <w:rPr>
                <w:sz w:val="17"/>
                <w:szCs w:val="17"/>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227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2"/>
        </w:trPr>
        <w:tc>
          <w:tcPr>
            <w:tcW w:w="8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Net defined benefit pension plan activity</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77"/>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 other comprehensive loss</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(27,734)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6,785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(20,949)</w:t>
            </w:r>
          </w:p>
        </w:tc>
        <w:tc>
          <w:tcPr>
            <w:tcW w:w="0" w:type="dxa"/>
            <w:vAlign w:val="bottom"/>
          </w:tcPr>
          <w:p>
            <w:pPr>
              <w:spacing w:after="0"/>
              <w:rPr>
                <w:sz w:val="1"/>
                <w:szCs w:val="1"/>
                <w:color w:val="auto"/>
              </w:rPr>
            </w:pPr>
          </w:p>
        </w:tc>
      </w:tr>
      <w:tr>
        <w:trPr>
          <w:trHeight w:val="277"/>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Comprehensive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20,672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16,709</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74" w:right="239" w:bottom="1440" w:gutter="0" w:footer="0" w:header="0"/>
        </w:sectPr>
      </w:pPr>
    </w:p>
    <w:bookmarkStart w:id="5" w:name="page6"/>
    <w:bookmarkEnd w:id="5"/>
    <w:p>
      <w:pPr>
        <w:ind w:left="80"/>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xml:space="preserve">Consolidated Balance Sheets </w:t>
      </w:r>
      <w:r>
        <w:rPr>
          <w:rFonts w:ascii="Arial" w:cs="Arial" w:eastAsia="Arial" w:hAnsi="Arial"/>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 except share data)</w:t>
            </w: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2019</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8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and due from banks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118,659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126,083</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Interest-bearing deposits in banks (includes restricted cash of $6.43 million and $6.70 million)</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206,836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201,182</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325,495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327,265</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Debt securities available for sale</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2,454,625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2,628,467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Debt securities held to maturity (fair value $265,117 and $268,803)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265,329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274,407</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Loans held for sale at fair value</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26,341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18,935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Loans and leases, net of unearned income</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8,493,254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8,383,401</w:t>
            </w:r>
          </w:p>
        </w:tc>
        <w:tc>
          <w:tcPr>
            <w:tcW w:w="0" w:type="dxa"/>
            <w:vAlign w:val="bottom"/>
          </w:tcPr>
          <w:p>
            <w:pPr>
              <w:spacing w:after="0"/>
              <w:rPr>
                <w:sz w:val="1"/>
                <w:szCs w:val="1"/>
                <w:color w:val="auto"/>
              </w:rPr>
            </w:pP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Less allowance for loan and lease losses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(61,642)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(61,203)</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Loans and leases, net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8,431,612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8,322,198</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Premises and equipment, net</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214,022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206,140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Bank owned life insurance</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193,489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192,616</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Accrued interest receivable</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35,126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35,413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deferred tax asset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64,224</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25,924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24,705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Goodwill and other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322,779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324,072</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160,030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154,750</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12,505,827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12,573,192</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Deposits:</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Noninterest-bearing demand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3,313,861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3,210,220</w:t>
            </w:r>
          </w:p>
        </w:tc>
        <w:tc>
          <w:tcPr>
            <w:tcW w:w="0" w:type="dxa"/>
            <w:vAlign w:val="bottom"/>
          </w:tcPr>
          <w:p>
            <w:pPr>
              <w:spacing w:after="0"/>
              <w:rPr>
                <w:sz w:val="1"/>
                <w:szCs w:val="1"/>
                <w:color w:val="auto"/>
              </w:rPr>
            </w:pP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NOW and interest-bearing demand</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2,205,117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2,274,775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Money market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2,106,045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2,097,526</w:t>
            </w:r>
          </w:p>
        </w:tc>
        <w:tc>
          <w:tcPr>
            <w:tcW w:w="0" w:type="dxa"/>
            <w:vAlign w:val="bottom"/>
          </w:tcPr>
          <w:p>
            <w:pPr>
              <w:spacing w:after="0"/>
              <w:rPr>
                <w:sz w:val="1"/>
                <w:szCs w:val="1"/>
                <w:color w:val="auto"/>
              </w:rPr>
            </w:pP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Savings</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681,739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669,886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Time</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1,668,563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1,598,391</w:t>
            </w:r>
          </w:p>
        </w:tc>
        <w:tc>
          <w:tcPr>
            <w:tcW w:w="0" w:type="dxa"/>
            <w:vAlign w:val="bottom"/>
          </w:tcPr>
          <w:p>
            <w:pPr>
              <w:spacing w:after="0"/>
              <w:rPr>
                <w:sz w:val="1"/>
                <w:szCs w:val="1"/>
                <w:color w:val="auto"/>
              </w:rPr>
            </w:pP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Brokered</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558,981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683,715</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deposits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10,534,306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10,534,513</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Federal Home Loan Bank advances</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160,000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257,259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267,189</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18,789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26,433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147,315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127,503</w:t>
            </w:r>
          </w:p>
        </w:tc>
        <w:tc>
          <w:tcPr>
            <w:tcW w:w="0" w:type="dxa"/>
            <w:vAlign w:val="bottom"/>
          </w:tcPr>
          <w:p>
            <w:pPr>
              <w:spacing w:after="0"/>
              <w:rPr>
                <w:sz w:val="1"/>
                <w:szCs w:val="1"/>
                <w:color w:val="auto"/>
              </w:rPr>
            </w:pPr>
          </w:p>
        </w:tc>
      </w:tr>
      <w:tr>
        <w:trPr>
          <w:trHeight w:val="237"/>
        </w:trPr>
        <w:tc>
          <w:tcPr>
            <w:tcW w:w="8360" w:type="dxa"/>
            <w:vAlign w:val="bottom"/>
            <w:gridSpan w:val="2"/>
          </w:tcPr>
          <w:p>
            <w:pPr>
              <w:ind w:left="38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10,997,669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11,115,638</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Common stock, $1 par value; 150,000,000 shares authorized;</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gridSpan w:val="2"/>
          </w:tcPr>
          <w:p>
            <w:pPr>
              <w:ind w:left="360"/>
              <w:spacing w:after="0"/>
              <w:rPr>
                <w:sz w:val="20"/>
                <w:szCs w:val="20"/>
                <w:color w:val="auto"/>
              </w:rPr>
            </w:pPr>
            <w:r>
              <w:rPr>
                <w:rFonts w:ascii="Arial" w:cs="Arial" w:eastAsia="Arial" w:hAnsi="Arial"/>
                <w:sz w:val="18"/>
                <w:szCs w:val="18"/>
                <w:color w:val="auto"/>
              </w:rPr>
              <w:t>79,035,459 and 79,234,077 shares issued and outstanding</w:t>
            </w:r>
          </w:p>
        </w:tc>
        <w:tc>
          <w:tcPr>
            <w:tcW w:w="12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79,035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79,234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Common stock issuable; 621,491 and 674,499 shares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10,744</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Capital surplus</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1,494,400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1,499,584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(90,419)</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(15,995)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(41,589)</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Total shareholders' equity</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1,508,158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1,457,554</w:t>
            </w:r>
          </w:p>
        </w:tc>
        <w:tc>
          <w:tcPr>
            <w:tcW w:w="0" w:type="dxa"/>
            <w:vAlign w:val="bottom"/>
          </w:tcPr>
          <w:p>
            <w:pPr>
              <w:spacing w:after="0"/>
              <w:rPr>
                <w:sz w:val="1"/>
                <w:szCs w:val="1"/>
                <w:color w:val="auto"/>
              </w:rPr>
            </w:pPr>
          </w:p>
        </w:tc>
      </w:tr>
      <w:tr>
        <w:trPr>
          <w:trHeight w:val="257"/>
        </w:trPr>
        <w:tc>
          <w:tcPr>
            <w:tcW w:w="836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 liabilities and shareholders' equity</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12,505,827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12,573,192</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769"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769" w:right="239" w:bottom="1440" w:gutter="0" w:footer="0" w:header="0"/>
          <w:type w:val="continuous"/>
        </w:sectPr>
      </w:pPr>
    </w:p>
    <w:bookmarkStart w:id="6" w:name="page7"/>
    <w:bookmarkEnd w:id="6"/>
    <w:p>
      <w:pPr>
        <w:ind w:left="80"/>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xml:space="preserve">Consolidated Statement of Changes in Shareholders’ Equity </w:t>
      </w:r>
      <w:r>
        <w:rPr>
          <w:rFonts w:ascii="Arial" w:cs="Arial" w:eastAsia="Arial" w:hAnsi="Arial"/>
          <w:sz w:val="18"/>
          <w:szCs w:val="18"/>
          <w:i w:val="1"/>
          <w:iCs w:val="1"/>
          <w:color w:val="auto"/>
        </w:rPr>
        <w:t>(Unaudited)</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Accumulated Other</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Common</w:t>
            </w:r>
          </w:p>
        </w:tc>
        <w:tc>
          <w:tcPr>
            <w:tcW w:w="160" w:type="dxa"/>
            <w:vAlign w:val="bottom"/>
          </w:tcPr>
          <w:p>
            <w:pPr>
              <w:spacing w:after="0"/>
              <w:rPr>
                <w:sz w:val="17"/>
                <w:szCs w:val="17"/>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Common</w:t>
            </w:r>
          </w:p>
        </w:tc>
        <w:tc>
          <w:tcPr>
            <w:tcW w:w="180" w:type="dxa"/>
            <w:vAlign w:val="bottom"/>
          </w:tcPr>
          <w:p>
            <w:pPr>
              <w:spacing w:after="0"/>
              <w:rPr>
                <w:sz w:val="17"/>
                <w:szCs w:val="17"/>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Capital</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Comprehensive</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0"/>
        </w:trPr>
        <w:tc>
          <w:tcPr>
            <w:tcW w:w="378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 except share and per share data)</w:t>
            </w: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Stock</w:t>
            </w:r>
          </w:p>
        </w:tc>
        <w:tc>
          <w:tcPr>
            <w:tcW w:w="118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Stock Issuable</w:t>
            </w:r>
          </w:p>
        </w:tc>
        <w:tc>
          <w:tcPr>
            <w:tcW w:w="18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Surplus</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Deficit</w:t>
            </w:r>
          </w:p>
        </w:tc>
        <w:tc>
          <w:tcPr>
            <w:tcW w:w="18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Income (Loss)</w:t>
            </w:r>
          </w:p>
        </w:tc>
        <w:tc>
          <w:tcPr>
            <w:tcW w:w="180" w:type="dxa"/>
            <w:vAlign w:val="bottom"/>
          </w:tcPr>
          <w:p>
            <w:pPr>
              <w:spacing w:after="0"/>
              <w:rPr>
                <w:sz w:val="18"/>
                <w:szCs w:val="18"/>
                <w:color w:val="auto"/>
              </w:rPr>
            </w:pPr>
          </w:p>
        </w:tc>
        <w:tc>
          <w:tcPr>
            <w:tcW w:w="84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w:t>
            </w:r>
          </w:p>
        </w:tc>
      </w:tr>
      <w:tr>
        <w:trPr>
          <w:trHeight w:val="33"/>
        </w:trPr>
        <w:tc>
          <w:tcPr>
            <w:tcW w:w="3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Balance, December 31,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77,580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9,083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1,451,814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(209,902)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(25,241)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1,303,334</w:t>
            </w: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37,658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37,658</w:t>
            </w: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(20,949)</w:t>
            </w:r>
          </w:p>
        </w:tc>
      </w:tr>
      <w:tr>
        <w:trPr>
          <w:trHeight w:val="220"/>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Common stock issued to dividend</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03"/>
        </w:trPr>
        <w:tc>
          <w:tcPr>
            <w:tcW w:w="3780" w:type="dxa"/>
            <w:vAlign w:val="bottom"/>
            <w:gridSpan w:val="2"/>
          </w:tcPr>
          <w:p>
            <w:pPr>
              <w:ind w:left="160"/>
              <w:spacing w:after="0"/>
              <w:rPr>
                <w:sz w:val="20"/>
                <w:szCs w:val="20"/>
                <w:color w:val="auto"/>
              </w:rPr>
            </w:pPr>
            <w:r>
              <w:rPr>
                <w:rFonts w:ascii="Arial" w:cs="Arial" w:eastAsia="Arial" w:hAnsi="Arial"/>
                <w:sz w:val="16"/>
                <w:szCs w:val="16"/>
                <w:color w:val="auto"/>
              </w:rPr>
              <w:t>reinvestment plan and employee benefit</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6"/>
        </w:trPr>
        <w:tc>
          <w:tcPr>
            <w:tcW w:w="3780" w:type="dxa"/>
            <w:vAlign w:val="bottom"/>
            <w:gridSpan w:val="2"/>
          </w:tcPr>
          <w:p>
            <w:pPr>
              <w:ind w:left="160"/>
              <w:spacing w:after="0"/>
              <w:rPr>
                <w:sz w:val="20"/>
                <w:szCs w:val="20"/>
                <w:color w:val="auto"/>
              </w:rPr>
            </w:pPr>
            <w:r>
              <w:rPr>
                <w:rFonts w:ascii="Arial" w:cs="Arial" w:eastAsia="Arial" w:hAnsi="Arial"/>
                <w:sz w:val="16"/>
                <w:szCs w:val="16"/>
                <w:color w:val="auto"/>
              </w:rPr>
              <w:t>plans (5,204 shares)</w:t>
            </w:r>
          </w:p>
        </w:tc>
        <w:tc>
          <w:tcPr>
            <w:tcW w:w="16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144</w:t>
            </w: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0"/>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Common stock issued for acquisition</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9"/>
        </w:trPr>
        <w:tc>
          <w:tcPr>
            <w:tcW w:w="3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(1,443,987 shares)</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44,302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45,746</w:t>
            </w:r>
          </w:p>
        </w:tc>
      </w:tr>
      <w:tr>
        <w:trPr>
          <w:trHeight w:val="220"/>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Amortization of stock option and restricted</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06"/>
        </w:trPr>
        <w:tc>
          <w:tcPr>
            <w:tcW w:w="3780" w:type="dxa"/>
            <w:vAlign w:val="bottom"/>
            <w:gridSpan w:val="2"/>
          </w:tcPr>
          <w:p>
            <w:pPr>
              <w:ind w:left="160"/>
              <w:spacing w:after="0"/>
              <w:rPr>
                <w:sz w:val="20"/>
                <w:szCs w:val="20"/>
                <w:color w:val="auto"/>
              </w:rPr>
            </w:pPr>
            <w:r>
              <w:rPr>
                <w:rFonts w:ascii="Arial" w:cs="Arial" w:eastAsia="Arial" w:hAnsi="Arial"/>
                <w:sz w:val="16"/>
                <w:szCs w:val="16"/>
                <w:color w:val="auto"/>
              </w:rPr>
              <w:t>stock awards</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1,148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1,148</w:t>
            </w: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0"/>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Vesting of restricted stock and exercise</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03"/>
        </w:trPr>
        <w:tc>
          <w:tcPr>
            <w:tcW w:w="37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of stock options, net of shares surrendered to</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37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cover payroll taxes (48,310 shares issued,</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9"/>
        </w:trPr>
        <w:tc>
          <w:tcPr>
            <w:tcW w:w="3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46,074 shares deferred)</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(827)</w:t>
            </w:r>
          </w:p>
        </w:tc>
      </w:tr>
      <w:tr>
        <w:trPr>
          <w:trHeight w:val="220"/>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Deferred compensation plan, net, including</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06"/>
        </w:trPr>
        <w:tc>
          <w:tcPr>
            <w:tcW w:w="3780" w:type="dxa"/>
            <w:vAlign w:val="bottom"/>
            <w:gridSpan w:val="2"/>
          </w:tcPr>
          <w:p>
            <w:pPr>
              <w:ind w:left="120"/>
              <w:spacing w:after="0"/>
              <w:rPr>
                <w:sz w:val="20"/>
                <w:szCs w:val="20"/>
                <w:color w:val="auto"/>
              </w:rPr>
            </w:pPr>
            <w:r>
              <w:rPr>
                <w:rFonts w:ascii="Arial" w:cs="Arial" w:eastAsia="Arial" w:hAnsi="Arial"/>
                <w:sz w:val="16"/>
                <w:szCs w:val="16"/>
                <w:color w:val="auto"/>
              </w:rPr>
              <w:t>dividend equivalents</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143</w:t>
            </w: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0"/>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Shares issued from deferred compensation</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03"/>
        </w:trPr>
        <w:tc>
          <w:tcPr>
            <w:tcW w:w="37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plan, net of shares surrendered to cover</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9"/>
        </w:trPr>
        <w:tc>
          <w:tcPr>
            <w:tcW w:w="3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payroll taxes (45,558 shares)</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Common stock dividends ($0.12 per share)</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(9,633)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(9,633)</w:t>
            </w:r>
          </w:p>
        </w:tc>
      </w:tr>
      <w:tr>
        <w:trPr>
          <w:trHeight w:val="33"/>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Balance, March 31, 2018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79,123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9,392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1,496,307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(181,877)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1,356,755</w:t>
            </w: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311"/>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Balance, December 31,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79,234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1,499,584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(90,419)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(41,589)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1,457,554</w:t>
            </w: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44,262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44,262</w:t>
            </w: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25,594</w:t>
            </w: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Exercise of stock options (12,000 shares)</w:t>
            </w: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197</w:t>
            </w: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0"/>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Common stock issued to dividend</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03"/>
        </w:trPr>
        <w:tc>
          <w:tcPr>
            <w:tcW w:w="37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reinvestment plan and employee benefit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9"/>
        </w:trPr>
        <w:tc>
          <w:tcPr>
            <w:tcW w:w="3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plans (8,445 shares)</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w:t>
            </w: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Amortization of restricted stock awards</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1,985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1,985</w:t>
            </w: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0"/>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Vesting of restricted stock, net of shares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03"/>
        </w:trPr>
        <w:tc>
          <w:tcPr>
            <w:tcW w:w="37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surrendered to cover payroll taxes (15,945</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9"/>
        </w:trPr>
        <w:tc>
          <w:tcPr>
            <w:tcW w:w="3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shares issued, 19,450 shares deferred)</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w:t>
            </w: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Purchases of common stock (305,052 shares)</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(7,535)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(7,840)</w:t>
            </w: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0"/>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Deferred compensation plan, net, including</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9"/>
        </w:trPr>
        <w:tc>
          <w:tcPr>
            <w:tcW w:w="3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dividend equivalents</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w:t>
            </w:r>
          </w:p>
        </w:tc>
      </w:tr>
      <w:tr>
        <w:trPr>
          <w:trHeight w:val="220"/>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Shares issued from deferred compensation</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03"/>
        </w:trPr>
        <w:tc>
          <w:tcPr>
            <w:tcW w:w="3780" w:type="dxa"/>
            <w:vAlign w:val="bottom"/>
            <w:gridSpan w:val="2"/>
          </w:tcPr>
          <w:p>
            <w:pPr>
              <w:ind w:left="160"/>
              <w:spacing w:after="0"/>
              <w:rPr>
                <w:sz w:val="20"/>
                <w:szCs w:val="20"/>
                <w:color w:val="auto"/>
              </w:rPr>
            </w:pPr>
            <w:r>
              <w:rPr>
                <w:rFonts w:ascii="Arial" w:cs="Arial" w:eastAsia="Arial" w:hAnsi="Arial"/>
                <w:sz w:val="16"/>
                <w:szCs w:val="16"/>
                <w:color w:val="auto"/>
              </w:rPr>
              <w:t>plan, net of shares surrendered to cover</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6"/>
        </w:trPr>
        <w:tc>
          <w:tcPr>
            <w:tcW w:w="3780" w:type="dxa"/>
            <w:vAlign w:val="bottom"/>
            <w:gridSpan w:val="2"/>
          </w:tcPr>
          <w:p>
            <w:pPr>
              <w:ind w:left="160"/>
              <w:spacing w:after="0"/>
              <w:rPr>
                <w:sz w:val="20"/>
                <w:szCs w:val="20"/>
                <w:color w:val="auto"/>
              </w:rPr>
            </w:pPr>
            <w:r>
              <w:rPr>
                <w:rFonts w:ascii="Arial" w:cs="Arial" w:eastAsia="Arial" w:hAnsi="Arial"/>
                <w:sz w:val="16"/>
                <w:szCs w:val="16"/>
                <w:color w:val="auto"/>
              </w:rPr>
              <w:t>payroll taxes (70,044 shares)</w:t>
            </w:r>
          </w:p>
        </w:tc>
        <w:tc>
          <w:tcPr>
            <w:tcW w:w="16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(1,170)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868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(232)</w:t>
            </w: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Common stock dividends ($0.16 per share)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(12,867)</w:t>
            </w: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Adoption of new accounting standard</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(549)</w:t>
            </w:r>
          </w:p>
        </w:tc>
      </w:tr>
      <w:tr>
        <w:trPr>
          <w:trHeight w:val="33"/>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Balance, March 31, 2019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79,035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10,291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1,494,400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(59,573)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1,508,158</w:t>
            </w: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69" w:right="239" w:bottom="1440" w:gutter="0" w:footer="0" w:header="0"/>
        </w:sectPr>
      </w:pPr>
    </w:p>
    <w:bookmarkStart w:id="7" w:name="page8"/>
    <w:bookmarkEnd w:id="7"/>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UNITED COMMUNITY BANKS,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Consolidated Statements of Cash Flows </w:t>
      </w:r>
      <w:r>
        <w:rPr>
          <w:rFonts w:ascii="Arial" w:cs="Arial" w:eastAsia="Arial" w:hAnsi="Arial"/>
          <w:sz w:val="16"/>
          <w:szCs w:val="16"/>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4"/>
                <w:szCs w:val="14"/>
                <w:b w:val="1"/>
                <w:bCs w:val="1"/>
                <w:color w:val="auto"/>
                <w:w w:val="95"/>
              </w:rPr>
              <w:t>Three Months Ended March 31,</w:t>
            </w:r>
          </w:p>
        </w:tc>
      </w:tr>
      <w:tr>
        <w:trPr>
          <w:trHeight w:val="264"/>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r>
      <w:tr>
        <w:trPr>
          <w:trHeight w:val="257"/>
        </w:trPr>
        <w:tc>
          <w:tcPr>
            <w:tcW w:w="88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Operating activities:</w:t>
            </w: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63"/>
        </w:trPr>
        <w:tc>
          <w:tcPr>
            <w:tcW w:w="8820" w:type="dxa"/>
            <w:vAlign w:val="bottom"/>
            <w:gridSpan w:val="2"/>
          </w:tcPr>
          <w:p>
            <w:pPr>
              <w:ind w:left="180"/>
              <w:spacing w:after="0"/>
              <w:rPr>
                <w:sz w:val="20"/>
                <w:szCs w:val="20"/>
                <w:color w:val="auto"/>
              </w:rPr>
            </w:pPr>
            <w:r>
              <w:rPr>
                <w:rFonts w:ascii="Arial" w:cs="Arial" w:eastAsia="Arial" w:hAnsi="Arial"/>
                <w:sz w:val="14"/>
                <w:szCs w:val="14"/>
                <w:color w:val="auto"/>
              </w:rPr>
              <w:t>Net income</w:t>
            </w:r>
          </w:p>
        </w:tc>
        <w:tc>
          <w:tcPr>
            <w:tcW w:w="240" w:type="dxa"/>
            <w:vAlign w:val="bottom"/>
          </w:tcPr>
          <w:p>
            <w:pPr>
              <w:jc w:val="right"/>
              <w:ind w:right="92"/>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44,262</w:t>
            </w:r>
          </w:p>
        </w:tc>
        <w:tc>
          <w:tcPr>
            <w:tcW w:w="120" w:type="dxa"/>
            <w:vAlign w:val="bottom"/>
          </w:tcPr>
          <w:p>
            <w:pPr>
              <w:spacing w:after="0"/>
              <w:rPr>
                <w:sz w:val="22"/>
                <w:szCs w:val="22"/>
                <w:color w:val="auto"/>
              </w:rPr>
            </w:pPr>
          </w:p>
        </w:tc>
        <w:tc>
          <w:tcPr>
            <w:tcW w:w="2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37,658</w:t>
            </w:r>
          </w:p>
        </w:tc>
      </w:tr>
      <w:tr>
        <w:trPr>
          <w:trHeight w:val="277"/>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3"/>
        </w:trPr>
        <w:tc>
          <w:tcPr>
            <w:tcW w:w="8820" w:type="dxa"/>
            <w:vAlign w:val="bottom"/>
            <w:gridSpan w:val="2"/>
          </w:tcPr>
          <w:p>
            <w:pPr>
              <w:ind w:left="280"/>
              <w:spacing w:after="0"/>
              <w:rPr>
                <w:sz w:val="20"/>
                <w:szCs w:val="20"/>
                <w:color w:val="auto"/>
              </w:rPr>
            </w:pPr>
            <w:r>
              <w:rPr>
                <w:rFonts w:ascii="Arial" w:cs="Arial" w:eastAsia="Arial" w:hAnsi="Arial"/>
                <w:sz w:val="14"/>
                <w:szCs w:val="14"/>
                <w:color w:val="auto"/>
              </w:rPr>
              <w:t>Depreciation, amortization and accretion</w:t>
            </w:r>
          </w:p>
        </w:tc>
        <w:tc>
          <w:tcPr>
            <w:tcW w:w="240" w:type="dxa"/>
            <w:vAlign w:val="bottom"/>
          </w:tcPr>
          <w:p>
            <w:pPr>
              <w:spacing w:after="0"/>
              <w:rPr>
                <w:sz w:val="22"/>
                <w:szCs w:val="22"/>
                <w:color w:val="auto"/>
              </w:rPr>
            </w:pP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6,373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10,487</w:t>
            </w:r>
          </w:p>
        </w:tc>
      </w:tr>
      <w:tr>
        <w:trPr>
          <w:trHeight w:val="277"/>
        </w:trPr>
        <w:tc>
          <w:tcPr>
            <w:tcW w:w="88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Provision for credit losses</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3,300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3,800</w:t>
            </w:r>
          </w:p>
        </w:tc>
      </w:tr>
      <w:tr>
        <w:trPr>
          <w:trHeight w:val="263"/>
        </w:trPr>
        <w:tc>
          <w:tcPr>
            <w:tcW w:w="8820" w:type="dxa"/>
            <w:vAlign w:val="bottom"/>
            <w:gridSpan w:val="2"/>
          </w:tcPr>
          <w:p>
            <w:pPr>
              <w:ind w:left="280"/>
              <w:spacing w:after="0"/>
              <w:rPr>
                <w:sz w:val="20"/>
                <w:szCs w:val="20"/>
                <w:color w:val="auto"/>
              </w:rPr>
            </w:pPr>
            <w:r>
              <w:rPr>
                <w:rFonts w:ascii="Arial" w:cs="Arial" w:eastAsia="Arial" w:hAnsi="Arial"/>
                <w:sz w:val="14"/>
                <w:szCs w:val="14"/>
                <w:color w:val="auto"/>
              </w:rPr>
              <w:t>Stock based compensation</w:t>
            </w:r>
          </w:p>
        </w:tc>
        <w:tc>
          <w:tcPr>
            <w:tcW w:w="240" w:type="dxa"/>
            <w:vAlign w:val="bottom"/>
          </w:tcPr>
          <w:p>
            <w:pPr>
              <w:spacing w:after="0"/>
              <w:rPr>
                <w:sz w:val="22"/>
                <w:szCs w:val="22"/>
                <w:color w:val="auto"/>
              </w:rPr>
            </w:pP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1,985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1,148</w:t>
            </w:r>
          </w:p>
        </w:tc>
      </w:tr>
      <w:tr>
        <w:trPr>
          <w:trHeight w:val="277"/>
        </w:trPr>
        <w:tc>
          <w:tcPr>
            <w:tcW w:w="88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Deferred income tax expense</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658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10,225</w:t>
            </w:r>
          </w:p>
        </w:tc>
      </w:tr>
      <w:tr>
        <w:trPr>
          <w:trHeight w:val="263"/>
        </w:trPr>
        <w:tc>
          <w:tcPr>
            <w:tcW w:w="8820" w:type="dxa"/>
            <w:vAlign w:val="bottom"/>
            <w:gridSpan w:val="2"/>
          </w:tcPr>
          <w:p>
            <w:pPr>
              <w:ind w:left="280"/>
              <w:spacing w:after="0"/>
              <w:rPr>
                <w:sz w:val="20"/>
                <w:szCs w:val="20"/>
                <w:color w:val="auto"/>
              </w:rPr>
            </w:pPr>
            <w:r>
              <w:rPr>
                <w:rFonts w:ascii="Arial" w:cs="Arial" w:eastAsia="Arial" w:hAnsi="Arial"/>
                <w:sz w:val="14"/>
                <w:szCs w:val="14"/>
                <w:color w:val="auto"/>
              </w:rPr>
              <w:t>Securities losses, net</w:t>
            </w:r>
          </w:p>
        </w:tc>
        <w:tc>
          <w:tcPr>
            <w:tcW w:w="240" w:type="dxa"/>
            <w:vAlign w:val="bottom"/>
          </w:tcPr>
          <w:p>
            <w:pPr>
              <w:spacing w:after="0"/>
              <w:rPr>
                <w:sz w:val="22"/>
                <w:szCs w:val="22"/>
                <w:color w:val="auto"/>
              </w:rPr>
            </w:pP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267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940</w:t>
            </w:r>
          </w:p>
        </w:tc>
      </w:tr>
      <w:tr>
        <w:trPr>
          <w:trHeight w:val="277"/>
        </w:trPr>
        <w:tc>
          <w:tcPr>
            <w:tcW w:w="88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Gains from sales of SBA/USDA loans</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(1,778)</w:t>
            </w:r>
          </w:p>
        </w:tc>
      </w:tr>
      <w:tr>
        <w:trPr>
          <w:trHeight w:val="263"/>
        </w:trPr>
        <w:tc>
          <w:tcPr>
            <w:tcW w:w="8820" w:type="dxa"/>
            <w:vAlign w:val="bottom"/>
            <w:gridSpan w:val="2"/>
          </w:tcPr>
          <w:p>
            <w:pPr>
              <w:ind w:left="280"/>
              <w:spacing w:after="0"/>
              <w:rPr>
                <w:sz w:val="20"/>
                <w:szCs w:val="20"/>
                <w:color w:val="auto"/>
              </w:rPr>
            </w:pPr>
            <w:r>
              <w:rPr>
                <w:rFonts w:ascii="Arial" w:cs="Arial" w:eastAsia="Arial" w:hAnsi="Arial"/>
                <w:sz w:val="14"/>
                <w:szCs w:val="14"/>
                <w:color w:val="auto"/>
              </w:rPr>
              <w:t>Net (gains) losses and write downs on sales of other real estate owned</w:t>
            </w: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188</w:t>
            </w:r>
          </w:p>
        </w:tc>
      </w:tr>
      <w:tr>
        <w:trPr>
          <w:trHeight w:val="277"/>
        </w:trPr>
        <w:tc>
          <w:tcPr>
            <w:tcW w:w="88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Changes in assets and liabilities:</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3"/>
        </w:trPr>
        <w:tc>
          <w:tcPr>
            <w:tcW w:w="8820" w:type="dxa"/>
            <w:vAlign w:val="bottom"/>
            <w:gridSpan w:val="2"/>
          </w:tcPr>
          <w:p>
            <w:pPr>
              <w:ind w:left="380"/>
              <w:spacing w:after="0"/>
              <w:rPr>
                <w:sz w:val="20"/>
                <w:szCs w:val="20"/>
                <w:color w:val="auto"/>
              </w:rPr>
            </w:pPr>
            <w:r>
              <w:rPr>
                <w:rFonts w:ascii="Arial" w:cs="Arial" w:eastAsia="Arial" w:hAnsi="Arial"/>
                <w:sz w:val="14"/>
                <w:szCs w:val="14"/>
                <w:color w:val="auto"/>
              </w:rPr>
              <w:t>Other assets and accrued interest receivable</w:t>
            </w: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(6,206)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(385)</w:t>
            </w:r>
          </w:p>
        </w:tc>
      </w:tr>
      <w:tr>
        <w:trPr>
          <w:trHeight w:val="277"/>
        </w:trPr>
        <w:tc>
          <w:tcPr>
            <w:tcW w:w="88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Accrued expenses and other liabilities</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1,371</w:t>
            </w:r>
          </w:p>
        </w:tc>
      </w:tr>
      <w:tr>
        <w:trPr>
          <w:trHeight w:val="264"/>
        </w:trPr>
        <w:tc>
          <w:tcPr>
            <w:tcW w:w="882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Loans held for sale</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(7,406)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8,833</w:t>
            </w:r>
          </w:p>
        </w:tc>
      </w:tr>
      <w:tr>
        <w:trPr>
          <w:trHeight w:val="250"/>
        </w:trPr>
        <w:tc>
          <w:tcPr>
            <w:tcW w:w="88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operating activities</w:t>
            </w: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35,891</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72,487</w:t>
            </w:r>
          </w:p>
        </w:tc>
      </w:tr>
      <w:tr>
        <w:trPr>
          <w:trHeight w:val="230"/>
        </w:trPr>
        <w:tc>
          <w:tcPr>
            <w:tcW w:w="8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70"/>
        </w:trPr>
        <w:tc>
          <w:tcPr>
            <w:tcW w:w="88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Investing activities:</w:t>
            </w: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3"/>
        </w:trPr>
        <w:tc>
          <w:tcPr>
            <w:tcW w:w="8820" w:type="dxa"/>
            <w:vAlign w:val="bottom"/>
            <w:gridSpan w:val="2"/>
          </w:tcPr>
          <w:p>
            <w:pPr>
              <w:ind w:left="180"/>
              <w:spacing w:after="0"/>
              <w:rPr>
                <w:sz w:val="20"/>
                <w:szCs w:val="20"/>
                <w:color w:val="auto"/>
              </w:rPr>
            </w:pPr>
            <w:r>
              <w:rPr>
                <w:rFonts w:ascii="Arial" w:cs="Arial" w:eastAsia="Arial" w:hAnsi="Arial"/>
                <w:sz w:val="14"/>
                <w:szCs w:val="14"/>
                <w:color w:val="auto"/>
              </w:rPr>
              <w:t>Debt securities held to maturity:</w:t>
            </w: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7"/>
        </w:trPr>
        <w:tc>
          <w:tcPr>
            <w:tcW w:w="88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Proceeds from maturities and calls of securities held to maturity</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9,049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13,832</w:t>
            </w:r>
          </w:p>
        </w:tc>
      </w:tr>
      <w:tr>
        <w:trPr>
          <w:trHeight w:val="263"/>
        </w:trPr>
        <w:tc>
          <w:tcPr>
            <w:tcW w:w="8820" w:type="dxa"/>
            <w:vAlign w:val="bottom"/>
            <w:gridSpan w:val="2"/>
          </w:tcPr>
          <w:p>
            <w:pPr>
              <w:ind w:left="280"/>
              <w:spacing w:after="0"/>
              <w:rPr>
                <w:sz w:val="20"/>
                <w:szCs w:val="20"/>
                <w:color w:val="auto"/>
              </w:rPr>
            </w:pPr>
            <w:r>
              <w:rPr>
                <w:rFonts w:ascii="Arial" w:cs="Arial" w:eastAsia="Arial" w:hAnsi="Arial"/>
                <w:sz w:val="14"/>
                <w:szCs w:val="14"/>
                <w:color w:val="auto"/>
              </w:rPr>
              <w:t>Purchases of securities held to maturity</w:t>
            </w:r>
          </w:p>
        </w:tc>
        <w:tc>
          <w:tcPr>
            <w:tcW w:w="2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(4,781)</w:t>
            </w:r>
          </w:p>
        </w:tc>
      </w:tr>
      <w:tr>
        <w:trPr>
          <w:trHeight w:val="277"/>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Debt securities available for sale and equity securities:</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3"/>
        </w:trPr>
        <w:tc>
          <w:tcPr>
            <w:tcW w:w="8820" w:type="dxa"/>
            <w:vAlign w:val="bottom"/>
            <w:gridSpan w:val="2"/>
          </w:tcPr>
          <w:p>
            <w:pPr>
              <w:ind w:left="280"/>
              <w:spacing w:after="0"/>
              <w:rPr>
                <w:sz w:val="20"/>
                <w:szCs w:val="20"/>
                <w:color w:val="auto"/>
              </w:rPr>
            </w:pPr>
            <w:r>
              <w:rPr>
                <w:rFonts w:ascii="Arial" w:cs="Arial" w:eastAsia="Arial" w:hAnsi="Arial"/>
                <w:sz w:val="14"/>
                <w:szCs w:val="14"/>
                <w:color w:val="auto"/>
              </w:rPr>
              <w:t>Proceeds from sales of securities available for sale</w:t>
            </w:r>
          </w:p>
        </w:tc>
        <w:tc>
          <w:tcPr>
            <w:tcW w:w="240" w:type="dxa"/>
            <w:vAlign w:val="bottom"/>
          </w:tcPr>
          <w:p>
            <w:pPr>
              <w:spacing w:after="0"/>
              <w:rPr>
                <w:sz w:val="22"/>
                <w:szCs w:val="22"/>
                <w:color w:val="auto"/>
              </w:rPr>
            </w:pP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178,604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113,961</w:t>
            </w:r>
          </w:p>
        </w:tc>
      </w:tr>
      <w:tr>
        <w:trPr>
          <w:trHeight w:val="277"/>
        </w:trPr>
        <w:tc>
          <w:tcPr>
            <w:tcW w:w="88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Proceeds from maturities and calls of securities available for sale</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60,779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85,331</w:t>
            </w:r>
          </w:p>
        </w:tc>
      </w:tr>
      <w:tr>
        <w:trPr>
          <w:trHeight w:val="263"/>
        </w:trPr>
        <w:tc>
          <w:tcPr>
            <w:tcW w:w="8820" w:type="dxa"/>
            <w:vAlign w:val="bottom"/>
            <w:gridSpan w:val="2"/>
          </w:tcPr>
          <w:p>
            <w:pPr>
              <w:ind w:left="280"/>
              <w:spacing w:after="0"/>
              <w:rPr>
                <w:sz w:val="20"/>
                <w:szCs w:val="20"/>
                <w:color w:val="auto"/>
              </w:rPr>
            </w:pPr>
            <w:r>
              <w:rPr>
                <w:rFonts w:ascii="Arial" w:cs="Arial" w:eastAsia="Arial" w:hAnsi="Arial"/>
                <w:sz w:val="14"/>
                <w:szCs w:val="14"/>
                <w:color w:val="auto"/>
              </w:rPr>
              <w:t>Purchases of securities available for sale</w:t>
            </w: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(34,729)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(30,161)</w:t>
            </w:r>
          </w:p>
        </w:tc>
      </w:tr>
      <w:tr>
        <w:trPr>
          <w:trHeight w:val="277"/>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Net increase in loans</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(90,380)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(79,404)</w:t>
            </w:r>
          </w:p>
        </w:tc>
      </w:tr>
      <w:tr>
        <w:trPr>
          <w:trHeight w:val="263"/>
        </w:trPr>
        <w:tc>
          <w:tcPr>
            <w:tcW w:w="8820" w:type="dxa"/>
            <w:vAlign w:val="bottom"/>
            <w:gridSpan w:val="2"/>
          </w:tcPr>
          <w:p>
            <w:pPr>
              <w:ind w:left="180"/>
              <w:spacing w:after="0"/>
              <w:rPr>
                <w:sz w:val="20"/>
                <w:szCs w:val="20"/>
                <w:color w:val="auto"/>
              </w:rPr>
            </w:pPr>
            <w:r>
              <w:rPr>
                <w:rFonts w:ascii="Arial" w:cs="Arial" w:eastAsia="Arial" w:hAnsi="Arial"/>
                <w:sz w:val="14"/>
                <w:szCs w:val="14"/>
                <w:color w:val="auto"/>
              </w:rPr>
              <w:t>Proceeds from sales of premises and equipment</w:t>
            </w:r>
          </w:p>
        </w:tc>
        <w:tc>
          <w:tcPr>
            <w:tcW w:w="240" w:type="dxa"/>
            <w:vAlign w:val="bottom"/>
          </w:tcPr>
          <w:p>
            <w:pPr>
              <w:spacing w:after="0"/>
              <w:rPr>
                <w:sz w:val="22"/>
                <w:szCs w:val="22"/>
                <w:color w:val="auto"/>
              </w:rPr>
            </w:pP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195</w:t>
            </w:r>
          </w:p>
        </w:tc>
      </w:tr>
      <w:tr>
        <w:trPr>
          <w:trHeight w:val="277"/>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Purchases of premises and equipment</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(11,686)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(6,107)</w:t>
            </w:r>
          </w:p>
        </w:tc>
      </w:tr>
      <w:tr>
        <w:trPr>
          <w:trHeight w:val="263"/>
        </w:trPr>
        <w:tc>
          <w:tcPr>
            <w:tcW w:w="8820" w:type="dxa"/>
            <w:vAlign w:val="bottom"/>
            <w:gridSpan w:val="2"/>
          </w:tcPr>
          <w:p>
            <w:pPr>
              <w:ind w:left="180"/>
              <w:spacing w:after="0"/>
              <w:rPr>
                <w:sz w:val="20"/>
                <w:szCs w:val="20"/>
                <w:color w:val="auto"/>
              </w:rPr>
            </w:pPr>
            <w:r>
              <w:rPr>
                <w:rFonts w:ascii="Arial" w:cs="Arial" w:eastAsia="Arial" w:hAnsi="Arial"/>
                <w:sz w:val="14"/>
                <w:szCs w:val="14"/>
                <w:color w:val="auto"/>
              </w:rPr>
              <w:t>Net cash paid for acquisition</w:t>
            </w:r>
          </w:p>
        </w:tc>
        <w:tc>
          <w:tcPr>
            <w:tcW w:w="2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(56,800)</w:t>
            </w:r>
          </w:p>
        </w:tc>
      </w:tr>
      <w:tr>
        <w:trPr>
          <w:trHeight w:val="277"/>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Proceeds from sale of other real estate</w:t>
            </w:r>
          </w:p>
        </w:tc>
        <w:tc>
          <w:tcPr>
            <w:tcW w:w="2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974</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957</w:t>
            </w:r>
          </w:p>
        </w:tc>
      </w:tr>
      <w:tr>
        <w:trPr>
          <w:trHeight w:val="244"/>
        </w:trPr>
        <w:tc>
          <w:tcPr>
            <w:tcW w:w="88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Net cash provided by investing activities</w:t>
            </w: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112,716</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37,023</w:t>
            </w:r>
          </w:p>
        </w:tc>
      </w:tr>
      <w:tr>
        <w:trPr>
          <w:trHeight w:val="230"/>
        </w:trPr>
        <w:tc>
          <w:tcPr>
            <w:tcW w:w="8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63"/>
        </w:trPr>
        <w:tc>
          <w:tcPr>
            <w:tcW w:w="8820" w:type="dxa"/>
            <w:vAlign w:val="bottom"/>
            <w:gridSpan w:val="2"/>
          </w:tcPr>
          <w:p>
            <w:pPr>
              <w:ind w:left="40"/>
              <w:spacing w:after="0"/>
              <w:rPr>
                <w:sz w:val="20"/>
                <w:szCs w:val="20"/>
                <w:color w:val="auto"/>
              </w:rPr>
            </w:pPr>
            <w:r>
              <w:rPr>
                <w:rFonts w:ascii="Arial" w:cs="Arial" w:eastAsia="Arial" w:hAnsi="Arial"/>
                <w:sz w:val="14"/>
                <w:szCs w:val="14"/>
                <w:b w:val="1"/>
                <w:bCs w:val="1"/>
                <w:color w:val="auto"/>
              </w:rPr>
              <w:t>Financing activities:</w:t>
            </w: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7"/>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Net change in deposits</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117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186,089</w:t>
            </w:r>
          </w:p>
        </w:tc>
      </w:tr>
      <w:tr>
        <w:trPr>
          <w:trHeight w:val="263"/>
        </w:trPr>
        <w:tc>
          <w:tcPr>
            <w:tcW w:w="8820" w:type="dxa"/>
            <w:vAlign w:val="bottom"/>
            <w:gridSpan w:val="2"/>
          </w:tcPr>
          <w:p>
            <w:pPr>
              <w:ind w:left="180"/>
              <w:spacing w:after="0"/>
              <w:rPr>
                <w:sz w:val="20"/>
                <w:szCs w:val="20"/>
                <w:color w:val="auto"/>
              </w:rPr>
            </w:pPr>
            <w:r>
              <w:rPr>
                <w:rFonts w:ascii="Arial" w:cs="Arial" w:eastAsia="Arial" w:hAnsi="Arial"/>
                <w:sz w:val="14"/>
                <w:szCs w:val="14"/>
                <w:color w:val="auto"/>
              </w:rPr>
              <w:t>Net change in short-term borrowings</w:t>
            </w:r>
          </w:p>
        </w:tc>
        <w:tc>
          <w:tcPr>
            <w:tcW w:w="2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(264,923)</w:t>
            </w:r>
          </w:p>
        </w:tc>
      </w:tr>
      <w:tr>
        <w:trPr>
          <w:trHeight w:val="277"/>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Repayment of long-term debt</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(10,110)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(12,309)</w:t>
            </w:r>
          </w:p>
        </w:tc>
      </w:tr>
      <w:tr>
        <w:trPr>
          <w:trHeight w:val="263"/>
        </w:trPr>
        <w:tc>
          <w:tcPr>
            <w:tcW w:w="8820" w:type="dxa"/>
            <w:vAlign w:val="bottom"/>
            <w:gridSpan w:val="2"/>
          </w:tcPr>
          <w:p>
            <w:pPr>
              <w:ind w:left="180"/>
              <w:spacing w:after="0"/>
              <w:rPr>
                <w:sz w:val="20"/>
                <w:szCs w:val="20"/>
                <w:color w:val="auto"/>
              </w:rPr>
            </w:pPr>
            <w:r>
              <w:rPr>
                <w:rFonts w:ascii="Arial" w:cs="Arial" w:eastAsia="Arial" w:hAnsi="Arial"/>
                <w:sz w:val="14"/>
                <w:szCs w:val="14"/>
                <w:color w:val="auto"/>
              </w:rPr>
              <w:t>Proceeds from FHLB advances</w:t>
            </w:r>
          </w:p>
        </w:tc>
        <w:tc>
          <w:tcPr>
            <w:tcW w:w="240" w:type="dxa"/>
            <w:vAlign w:val="bottom"/>
          </w:tcPr>
          <w:p>
            <w:pPr>
              <w:spacing w:after="0"/>
              <w:rPr>
                <w:sz w:val="22"/>
                <w:szCs w:val="22"/>
                <w:color w:val="auto"/>
              </w:rPr>
            </w:pP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780,000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760,000</w:t>
            </w:r>
          </w:p>
        </w:tc>
      </w:tr>
      <w:tr>
        <w:trPr>
          <w:trHeight w:val="277"/>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Repayment of FHLB advances</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(900,000)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(830,000)</w:t>
            </w:r>
          </w:p>
        </w:tc>
      </w:tr>
      <w:tr>
        <w:trPr>
          <w:trHeight w:val="263"/>
        </w:trPr>
        <w:tc>
          <w:tcPr>
            <w:tcW w:w="8820" w:type="dxa"/>
            <w:vAlign w:val="bottom"/>
            <w:gridSpan w:val="2"/>
          </w:tcPr>
          <w:p>
            <w:pPr>
              <w:ind w:left="180"/>
              <w:spacing w:after="0"/>
              <w:rPr>
                <w:sz w:val="20"/>
                <w:szCs w:val="20"/>
                <w:color w:val="auto"/>
              </w:rPr>
            </w:pPr>
            <w:r>
              <w:rPr>
                <w:rFonts w:ascii="Arial" w:cs="Arial" w:eastAsia="Arial" w:hAnsi="Arial"/>
                <w:sz w:val="14"/>
                <w:szCs w:val="14"/>
                <w:color w:val="auto"/>
              </w:rPr>
              <w:t>Proceeds from issuance of subordinated debt, net of issuance costs</w:t>
            </w:r>
          </w:p>
        </w:tc>
        <w:tc>
          <w:tcPr>
            <w:tcW w:w="2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98,188</w:t>
            </w:r>
          </w:p>
        </w:tc>
      </w:tr>
      <w:tr>
        <w:trPr>
          <w:trHeight w:val="277"/>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Proceeds from issuance of common stock for dividend reinvestment and employee benefit plans</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186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144</w:t>
            </w:r>
          </w:p>
        </w:tc>
      </w:tr>
      <w:tr>
        <w:trPr>
          <w:trHeight w:val="263"/>
        </w:trPr>
        <w:tc>
          <w:tcPr>
            <w:tcW w:w="8820" w:type="dxa"/>
            <w:vAlign w:val="bottom"/>
            <w:gridSpan w:val="2"/>
          </w:tcPr>
          <w:p>
            <w:pPr>
              <w:ind w:left="180"/>
              <w:spacing w:after="0"/>
              <w:rPr>
                <w:sz w:val="20"/>
                <w:szCs w:val="20"/>
                <w:color w:val="auto"/>
              </w:rPr>
            </w:pPr>
            <w:r>
              <w:rPr>
                <w:rFonts w:ascii="Arial" w:cs="Arial" w:eastAsia="Arial" w:hAnsi="Arial"/>
                <w:sz w:val="14"/>
                <w:szCs w:val="14"/>
                <w:color w:val="auto"/>
              </w:rPr>
              <w:t>Proceeds from exercise of stock options</w:t>
            </w:r>
          </w:p>
        </w:tc>
        <w:tc>
          <w:tcPr>
            <w:tcW w:w="240" w:type="dxa"/>
            <w:vAlign w:val="bottom"/>
          </w:tcPr>
          <w:p>
            <w:pPr>
              <w:spacing w:after="0"/>
              <w:rPr>
                <w:sz w:val="22"/>
                <w:szCs w:val="22"/>
                <w:color w:val="auto"/>
              </w:rPr>
            </w:pP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197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7"/>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Cash paid for shares withheld to cover payroll taxes upon vesting of restricted stock</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(836)</w:t>
            </w:r>
          </w:p>
        </w:tc>
      </w:tr>
      <w:tr>
        <w:trPr>
          <w:trHeight w:val="263"/>
        </w:trPr>
        <w:tc>
          <w:tcPr>
            <w:tcW w:w="8820" w:type="dxa"/>
            <w:vAlign w:val="bottom"/>
            <w:gridSpan w:val="2"/>
          </w:tcPr>
          <w:p>
            <w:pPr>
              <w:ind w:left="180"/>
              <w:spacing w:after="0"/>
              <w:rPr>
                <w:sz w:val="20"/>
                <w:szCs w:val="20"/>
                <w:color w:val="auto"/>
              </w:rPr>
            </w:pPr>
            <w:r>
              <w:rPr>
                <w:rFonts w:ascii="Arial" w:cs="Arial" w:eastAsia="Arial" w:hAnsi="Arial"/>
                <w:sz w:val="14"/>
                <w:szCs w:val="14"/>
                <w:color w:val="auto"/>
              </w:rPr>
              <w:t>Repurchase of common stock</w:t>
            </w: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(7,342)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7"/>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Cash dividends on common stock</w:t>
            </w:r>
          </w:p>
        </w:tc>
        <w:tc>
          <w:tcPr>
            <w:tcW w:w="2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(12,876)</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(7,885)</w:t>
            </w:r>
          </w:p>
        </w:tc>
      </w:tr>
      <w:tr>
        <w:trPr>
          <w:trHeight w:val="244"/>
        </w:trPr>
        <w:tc>
          <w:tcPr>
            <w:tcW w:w="88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Net cash used in financing activities</w:t>
            </w: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(150,377)</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(71,532)</w:t>
            </w:r>
          </w:p>
        </w:tc>
      </w:tr>
      <w:tr>
        <w:trPr>
          <w:trHeight w:val="230"/>
        </w:trPr>
        <w:tc>
          <w:tcPr>
            <w:tcW w:w="8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63"/>
        </w:trPr>
        <w:tc>
          <w:tcPr>
            <w:tcW w:w="882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change in cash and cash equivalents, including restricted cash</w:t>
            </w: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(1,770)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37,978</w:t>
            </w:r>
          </w:p>
        </w:tc>
      </w:tr>
      <w:tr>
        <w:trPr>
          <w:trHeight w:val="237"/>
        </w:trPr>
        <w:tc>
          <w:tcPr>
            <w:tcW w:w="8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64"/>
        </w:trPr>
        <w:tc>
          <w:tcPr>
            <w:tcW w:w="882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Cash and cash equivalents, including restricted cash, at beginning of period</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327,265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314,275</w:t>
            </w:r>
          </w:p>
        </w:tc>
      </w:tr>
      <w:tr>
        <w:trPr>
          <w:trHeight w:val="230"/>
        </w:trPr>
        <w:tc>
          <w:tcPr>
            <w:tcW w:w="8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96"/>
        </w:trPr>
        <w:tc>
          <w:tcPr>
            <w:tcW w:w="88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Cash and cash equivalents, including restricted cash, at end of period</w:t>
            </w:r>
          </w:p>
        </w:tc>
        <w:tc>
          <w:tcPr>
            <w:tcW w:w="2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325,495</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352,253</w:t>
            </w:r>
          </w:p>
        </w:tc>
      </w:tr>
      <w:tr>
        <w:trPr>
          <w:trHeight w:val="210"/>
        </w:trPr>
        <w:tc>
          <w:tcPr>
            <w:tcW w:w="8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63"/>
        </w:trPr>
        <w:tc>
          <w:tcPr>
            <w:tcW w:w="8820" w:type="dxa"/>
            <w:vAlign w:val="bottom"/>
            <w:gridSpan w:val="2"/>
          </w:tcPr>
          <w:p>
            <w:pPr>
              <w:ind w:left="4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7"/>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Interest paid</w:t>
            </w:r>
          </w:p>
        </w:tc>
        <w:tc>
          <w:tcPr>
            <w:tcW w:w="24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22,963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13,069</w:t>
            </w:r>
          </w:p>
        </w:tc>
      </w:tr>
      <w:tr>
        <w:trPr>
          <w:trHeight w:val="263"/>
        </w:trPr>
        <w:tc>
          <w:tcPr>
            <w:tcW w:w="8820" w:type="dxa"/>
            <w:vAlign w:val="bottom"/>
            <w:gridSpan w:val="2"/>
          </w:tcPr>
          <w:p>
            <w:pPr>
              <w:ind w:left="180"/>
              <w:spacing w:after="0"/>
              <w:rPr>
                <w:sz w:val="20"/>
                <w:szCs w:val="20"/>
                <w:color w:val="auto"/>
              </w:rPr>
            </w:pPr>
            <w:r>
              <w:rPr>
                <w:rFonts w:ascii="Arial" w:cs="Arial" w:eastAsia="Arial" w:hAnsi="Arial"/>
                <w:sz w:val="14"/>
                <w:szCs w:val="14"/>
                <w:color w:val="auto"/>
              </w:rPr>
              <w:t>Income taxes paid</w:t>
            </w:r>
          </w:p>
        </w:tc>
        <w:tc>
          <w:tcPr>
            <w:tcW w:w="240" w:type="dxa"/>
            <w:vAlign w:val="bottom"/>
          </w:tcPr>
          <w:p>
            <w:pPr>
              <w:spacing w:after="0"/>
              <w:rPr>
                <w:sz w:val="22"/>
                <w:szCs w:val="22"/>
                <w:color w:val="auto"/>
              </w:rPr>
            </w:pP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939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811</w:t>
            </w:r>
          </w:p>
        </w:tc>
      </w:tr>
      <w:tr>
        <w:trPr>
          <w:trHeight w:val="277"/>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Significant non-cash investing and financing transactions:</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3"/>
        </w:trPr>
        <w:tc>
          <w:tcPr>
            <w:tcW w:w="8820" w:type="dxa"/>
            <w:vAlign w:val="bottom"/>
            <w:gridSpan w:val="2"/>
          </w:tcPr>
          <w:p>
            <w:pPr>
              <w:ind w:left="280"/>
              <w:spacing w:after="0"/>
              <w:rPr>
                <w:sz w:val="20"/>
                <w:szCs w:val="20"/>
                <w:color w:val="auto"/>
              </w:rPr>
            </w:pPr>
            <w:r>
              <w:rPr>
                <w:rFonts w:ascii="Arial" w:cs="Arial" w:eastAsia="Arial" w:hAnsi="Arial"/>
                <w:sz w:val="14"/>
                <w:szCs w:val="14"/>
                <w:color w:val="auto"/>
              </w:rPr>
              <w:t>Unsettled securities purchases</w:t>
            </w:r>
          </w:p>
        </w:tc>
        <w:tc>
          <w:tcPr>
            <w:tcW w:w="2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4,790</w:t>
            </w:r>
          </w:p>
        </w:tc>
      </w:tr>
      <w:tr>
        <w:trPr>
          <w:trHeight w:val="64"/>
        </w:trPr>
        <w:tc>
          <w:tcPr>
            <w:tcW w:w="87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r>
    </w:tbl>
    <w:p>
      <w:pPr>
        <w:sectPr>
          <w:pgSz w:w="11900" w:h="16900" w:orient="portrait"/>
          <w:cols w:equalWidth="0" w:num="1">
            <w:col w:w="11420"/>
          </w:cols>
          <w:pgMar w:left="240" w:top="720" w:right="2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Unsettled government guaranteed loan sales</w:t>
            </w:r>
          </w:p>
        </w:tc>
        <w:tc>
          <w:tcPr>
            <w:tcW w:w="4300" w:type="dxa"/>
            <w:vAlign w:val="bottom"/>
            <w:tcBorders>
              <w:bottom w:val="single" w:sz="8" w:color="CCEEFF"/>
            </w:tcBorders>
            <w:shd w:val="clear" w:color="auto" w:fill="CCEEFF"/>
          </w:tcPr>
          <w:p>
            <w:pPr>
              <w:jc w:val="right"/>
              <w:ind w:right="392"/>
              <w:spacing w:after="0"/>
              <w:rPr>
                <w:sz w:val="20"/>
                <w:szCs w:val="20"/>
                <w:color w:val="auto"/>
              </w:rPr>
            </w:pPr>
            <w:r>
              <w:rPr>
                <w:rFonts w:ascii="Arial" w:cs="Arial" w:eastAsia="Arial" w:hAnsi="Arial"/>
                <w:sz w:val="14"/>
                <w:szCs w:val="14"/>
                <w:color w:val="auto"/>
              </w:rPr>
              <w:t>13,934</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14,240</w:t>
            </w:r>
          </w:p>
        </w:tc>
      </w:tr>
      <w:tr>
        <w:trPr>
          <w:trHeight w:val="263"/>
        </w:trPr>
        <w:tc>
          <w:tcPr>
            <w:tcW w:w="6120" w:type="dxa"/>
            <w:vAlign w:val="bottom"/>
          </w:tcPr>
          <w:p>
            <w:pPr>
              <w:ind w:left="280"/>
              <w:spacing w:after="0"/>
              <w:rPr>
                <w:sz w:val="20"/>
                <w:szCs w:val="20"/>
                <w:color w:val="auto"/>
              </w:rPr>
            </w:pPr>
            <w:r>
              <w:rPr>
                <w:rFonts w:ascii="Arial" w:cs="Arial" w:eastAsia="Arial" w:hAnsi="Arial"/>
                <w:sz w:val="14"/>
                <w:szCs w:val="14"/>
                <w:color w:val="auto"/>
              </w:rPr>
              <w:t>Transfers of loans to foreclosed properties</w:t>
            </w:r>
          </w:p>
        </w:tc>
        <w:tc>
          <w:tcPr>
            <w:tcW w:w="4300" w:type="dxa"/>
            <w:vAlign w:val="bottom"/>
          </w:tcPr>
          <w:p>
            <w:pPr>
              <w:jc w:val="right"/>
              <w:ind w:right="392"/>
              <w:spacing w:after="0"/>
              <w:rPr>
                <w:sz w:val="20"/>
                <w:szCs w:val="20"/>
                <w:color w:val="auto"/>
              </w:rPr>
            </w:pPr>
            <w:r>
              <w:rPr>
                <w:rFonts w:ascii="Arial" w:cs="Arial" w:eastAsia="Arial" w:hAnsi="Arial"/>
                <w:sz w:val="14"/>
                <w:szCs w:val="14"/>
                <w:color w:val="auto"/>
              </w:rPr>
              <w:t>751</w:t>
            </w: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625</w:t>
            </w:r>
          </w:p>
        </w:tc>
      </w:tr>
      <w:tr>
        <w:trPr>
          <w:trHeight w:val="277"/>
        </w:trPr>
        <w:tc>
          <w:tcPr>
            <w:tcW w:w="6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Unsettled repurchases of common stock</w:t>
            </w:r>
          </w:p>
        </w:tc>
        <w:tc>
          <w:tcPr>
            <w:tcW w:w="4300" w:type="dxa"/>
            <w:vAlign w:val="bottom"/>
            <w:shd w:val="clear" w:color="auto" w:fill="CCEEFF"/>
          </w:tcPr>
          <w:p>
            <w:pPr>
              <w:jc w:val="right"/>
              <w:ind w:right="392"/>
              <w:spacing w:after="0"/>
              <w:rPr>
                <w:sz w:val="20"/>
                <w:szCs w:val="20"/>
                <w:color w:val="auto"/>
              </w:rPr>
            </w:pPr>
            <w:r>
              <w:rPr>
                <w:rFonts w:ascii="Arial" w:cs="Arial" w:eastAsia="Arial" w:hAnsi="Arial"/>
                <w:sz w:val="14"/>
                <w:szCs w:val="14"/>
                <w:color w:val="auto"/>
              </w:rPr>
              <w:t>498</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63"/>
        </w:trPr>
        <w:tc>
          <w:tcPr>
            <w:tcW w:w="6120" w:type="dxa"/>
            <w:vAlign w:val="bottom"/>
          </w:tcPr>
          <w:p>
            <w:pPr>
              <w:ind w:left="280"/>
              <w:spacing w:after="0"/>
              <w:rPr>
                <w:sz w:val="20"/>
                <w:szCs w:val="20"/>
                <w:color w:val="auto"/>
              </w:rPr>
            </w:pPr>
            <w:r>
              <w:rPr>
                <w:rFonts w:ascii="Arial" w:cs="Arial" w:eastAsia="Arial" w:hAnsi="Arial"/>
                <w:sz w:val="14"/>
                <w:szCs w:val="14"/>
                <w:color w:val="auto"/>
              </w:rPr>
              <w:t>Acquisitions:</w:t>
            </w:r>
          </w:p>
        </w:tc>
        <w:tc>
          <w:tcPr>
            <w:tcW w:w="43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7"/>
        </w:trPr>
        <w:tc>
          <w:tcPr>
            <w:tcW w:w="6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Assets acquired</w:t>
            </w:r>
          </w:p>
        </w:tc>
        <w:tc>
          <w:tcPr>
            <w:tcW w:w="4300" w:type="dxa"/>
            <w:vAlign w:val="bottom"/>
            <w:shd w:val="clear" w:color="auto" w:fill="CCEEFF"/>
          </w:tcPr>
          <w:p>
            <w:pPr>
              <w:jc w:val="right"/>
              <w:ind w:right="392"/>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480,679</w:t>
            </w:r>
          </w:p>
        </w:tc>
      </w:tr>
      <w:tr>
        <w:trPr>
          <w:trHeight w:val="263"/>
        </w:trPr>
        <w:tc>
          <w:tcPr>
            <w:tcW w:w="6120" w:type="dxa"/>
            <w:vAlign w:val="bottom"/>
          </w:tcPr>
          <w:p>
            <w:pPr>
              <w:ind w:left="380"/>
              <w:spacing w:after="0"/>
              <w:rPr>
                <w:sz w:val="20"/>
                <w:szCs w:val="20"/>
                <w:color w:val="auto"/>
              </w:rPr>
            </w:pPr>
            <w:r>
              <w:rPr>
                <w:rFonts w:ascii="Arial" w:cs="Arial" w:eastAsia="Arial" w:hAnsi="Arial"/>
                <w:sz w:val="14"/>
                <w:szCs w:val="14"/>
                <w:color w:val="auto"/>
              </w:rPr>
              <w:t>Liabilities assumed</w:t>
            </w:r>
          </w:p>
        </w:tc>
        <w:tc>
          <w:tcPr>
            <w:tcW w:w="4300" w:type="dxa"/>
            <w:vAlign w:val="bottom"/>
          </w:tcPr>
          <w:p>
            <w:pPr>
              <w:jc w:val="right"/>
              <w:ind w:right="392"/>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350,433</w:t>
            </w:r>
          </w:p>
        </w:tc>
      </w:tr>
      <w:tr>
        <w:trPr>
          <w:trHeight w:val="277"/>
        </w:trPr>
        <w:tc>
          <w:tcPr>
            <w:tcW w:w="6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assets acquired</w:t>
            </w:r>
          </w:p>
        </w:tc>
        <w:tc>
          <w:tcPr>
            <w:tcW w:w="4300" w:type="dxa"/>
            <w:vAlign w:val="bottom"/>
            <w:shd w:val="clear" w:color="auto" w:fill="CCEEFF"/>
          </w:tcPr>
          <w:p>
            <w:pPr>
              <w:jc w:val="right"/>
              <w:ind w:right="392"/>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130,246</w:t>
            </w:r>
          </w:p>
        </w:tc>
      </w:tr>
      <w:tr>
        <w:trPr>
          <w:trHeight w:val="256"/>
        </w:trPr>
        <w:tc>
          <w:tcPr>
            <w:tcW w:w="6120" w:type="dxa"/>
            <w:vAlign w:val="bottom"/>
          </w:tcPr>
          <w:p>
            <w:pPr>
              <w:ind w:left="380"/>
              <w:spacing w:after="0"/>
              <w:rPr>
                <w:sz w:val="20"/>
                <w:szCs w:val="20"/>
                <w:color w:val="auto"/>
              </w:rPr>
            </w:pPr>
            <w:r>
              <w:rPr>
                <w:rFonts w:ascii="Arial" w:cs="Arial" w:eastAsia="Arial" w:hAnsi="Arial"/>
                <w:sz w:val="14"/>
                <w:szCs w:val="14"/>
                <w:color w:val="auto"/>
              </w:rPr>
              <w:t>Common stock issued in acquisitions</w:t>
            </w:r>
          </w:p>
        </w:tc>
        <w:tc>
          <w:tcPr>
            <w:tcW w:w="4300" w:type="dxa"/>
            <w:vAlign w:val="bottom"/>
          </w:tcPr>
          <w:p>
            <w:pPr>
              <w:jc w:val="right"/>
              <w:ind w:right="392"/>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45,746</w:t>
            </w:r>
          </w:p>
        </w:tc>
      </w:tr>
    </w:tbl>
    <w:p>
      <w:pPr>
        <w:jc w:val="center"/>
        <w:ind w:right="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4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Accounting Policies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accounting and financial reporting policies of United Community Banks, Inc. and its subsidiaries (collectively referred to herein as “United”) conform to accounting principles generally accepted in the United States (“GAAP”) and reporting guidelines of banking regulatory authorities and regulators. The accompanying interim consolidated financial statements have not been audited. All material intercompany balances and transactions have been eliminated. A more detailed description of United’s accounting policies is included in its Annual Report on Form 10-K for the year ended December 31, 2018.</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management’s opinion, all accounting adjustments necessary to accurately reflect the financial position and results of operations on the accompanying financial statements have been made. These adjustments are normal and recurring accruals considered necessary for a fair and accurate statement. The results for interim periods are not necessarily indicative of results for the full year or any other interim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–Accounting Standards Updates and Recently Adopted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Accounting Standards Updates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In June 2016, the Financial Accounting Standards Board (“FASB”) issued Accounting Standards Update (“ASU”) No. 2016-13, </w:t>
      </w:r>
      <w:r>
        <w:rPr>
          <w:rFonts w:ascii="Arial" w:cs="Arial" w:eastAsia="Arial" w:hAnsi="Arial"/>
          <w:sz w:val="16"/>
          <w:szCs w:val="16"/>
          <w:i w:val="1"/>
          <w:iCs w:val="1"/>
          <w:color w:val="auto"/>
        </w:rPr>
        <w:t>Financial Instruments –</w:t>
      </w:r>
      <w:r>
        <w:rPr>
          <w:rFonts w:ascii="Arial" w:cs="Arial" w:eastAsia="Arial" w:hAnsi="Arial"/>
          <w:sz w:val="16"/>
          <w:szCs w:val="16"/>
          <w:color w:val="auto"/>
        </w:rPr>
        <w:t xml:space="preserve"> </w:t>
      </w:r>
      <w:r>
        <w:rPr>
          <w:rFonts w:ascii="Arial" w:cs="Arial" w:eastAsia="Arial" w:hAnsi="Arial"/>
          <w:sz w:val="16"/>
          <w:szCs w:val="16"/>
          <w:i w:val="1"/>
          <w:iCs w:val="1"/>
          <w:color w:val="auto"/>
        </w:rPr>
        <w:t>Credit Losses (Topic 326): Measurement of Credit Losses on Financial Instruments</w:t>
      </w:r>
      <w:r>
        <w:rPr>
          <w:rFonts w:ascii="Arial" w:cs="Arial" w:eastAsia="Arial" w:hAnsi="Arial"/>
          <w:sz w:val="16"/>
          <w:szCs w:val="16"/>
          <w:color w:val="auto"/>
        </w:rPr>
        <w:t>. This guidance was further modified in November 2018 by ASU No.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2018-19, </w:t>
      </w:r>
      <w:r>
        <w:rPr>
          <w:rFonts w:ascii="Arial" w:cs="Arial" w:eastAsia="Arial" w:hAnsi="Arial"/>
          <w:sz w:val="16"/>
          <w:szCs w:val="16"/>
          <w:i w:val="1"/>
          <w:iCs w:val="1"/>
          <w:color w:val="auto"/>
        </w:rPr>
        <w:t>Codification Improvements to Topic 326, Financial Instruments - Credit Losses.</w:t>
      </w:r>
      <w:r>
        <w:rPr>
          <w:rFonts w:ascii="Arial" w:cs="Arial" w:eastAsia="Arial" w:hAnsi="Arial"/>
          <w:sz w:val="16"/>
          <w:szCs w:val="16"/>
          <w:color w:val="auto"/>
        </w:rPr>
        <w:t xml:space="preserve"> The new guidance replaces the incurred loss impairment methodology in current GAAP with a current expected credit loss (“CECL”) methodology and requires consideration of a broader range of information to determine credit loss estimates. Financial assets measured at amortized cost will be presented at the net amount expected to be collected by using an allowance for credit losses. Purchased credit deteriorated loans will receive an allowance account at the acquisition date that represents a component of the purchase price allocation. Credit losses relating to available-for-sale debt securities will be recorded through an allowance for credit losses, with such allowance limited to the amount by which fair value is below amortized cost. Application of this update will primarily be on a modified retrospective approach, although the guidance for debt securities for which an other-than-temporary impairment has been recognized before the effective date and for loans previously covered by Accounting Standards Codification (“ASC”) 310-30, </w:t>
      </w:r>
      <w:r>
        <w:rPr>
          <w:rFonts w:ascii="Arial" w:cs="Arial" w:eastAsia="Arial" w:hAnsi="Arial"/>
          <w:sz w:val="16"/>
          <w:szCs w:val="16"/>
          <w:i w:val="1"/>
          <w:iCs w:val="1"/>
          <w:color w:val="auto"/>
        </w:rPr>
        <w:t>Receivables – Loans and Debt Securities Acquired with Deteriorated Credit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Quality </w:t>
      </w:r>
      <w:r>
        <w:rPr>
          <w:rFonts w:ascii="Arial" w:cs="Arial" w:eastAsia="Arial" w:hAnsi="Arial"/>
          <w:sz w:val="16"/>
          <w:szCs w:val="16"/>
          <w:color w:val="auto"/>
        </w:rPr>
        <w:t>will be applied on a prospective basis. For public entities, this update is effective for fiscal years beginning after December 15, 2019. Upon adoption,</w:t>
      </w:r>
      <w:r>
        <w:rPr>
          <w:rFonts w:ascii="Arial" w:cs="Arial" w:eastAsia="Arial" w:hAnsi="Arial"/>
          <w:sz w:val="16"/>
          <w:szCs w:val="16"/>
          <w:i w:val="1"/>
          <w:iCs w:val="1"/>
          <w:color w:val="auto"/>
        </w:rPr>
        <w:t xml:space="preserve"> </w:t>
      </w:r>
      <w:r>
        <w:rPr>
          <w:rFonts w:ascii="Arial" w:cs="Arial" w:eastAsia="Arial" w:hAnsi="Arial"/>
          <w:sz w:val="16"/>
          <w:szCs w:val="16"/>
          <w:color w:val="auto"/>
        </w:rPr>
        <w:t>United expects that the allowance for credit losses will be higher given the change to estimated losses for the estimated life of the financial asset; however, management is still in the process of determining the impact. During the first quarter 2019, management’s CECL steering committee continued the process of populating relevant data, building models and documenting processes and controls in preparation for adoption of Topic 326. During the remainder of 2019, management plans to run multiple parallel runs of the allowance model under the expected credit loss methodology, starting with a loan-focused parallel run using first quarter data. Management will incrementally widen the scope of model runs thereafter until a full CECL run is completed. During monthly steering committee meetings, management regularly reviews project status, gap remediation efforts and project priorities.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Adopted Standards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This guidance was further modified by ASU No. 2018-10, </w:t>
      </w:r>
      <w:r>
        <w:rPr>
          <w:rFonts w:ascii="Arial" w:cs="Arial" w:eastAsia="Arial" w:hAnsi="Arial"/>
          <w:sz w:val="17"/>
          <w:szCs w:val="17"/>
          <w:i w:val="1"/>
          <w:iCs w:val="1"/>
          <w:color w:val="auto"/>
        </w:rPr>
        <w:t>Codification</w:t>
      </w:r>
      <w:r>
        <w:rPr>
          <w:rFonts w:ascii="Arial" w:cs="Arial" w:eastAsia="Arial" w:hAnsi="Arial"/>
          <w:sz w:val="17"/>
          <w:szCs w:val="17"/>
          <w:color w:val="auto"/>
        </w:rPr>
        <w:t xml:space="preserve"> </w:t>
      </w:r>
      <w:r>
        <w:rPr>
          <w:rFonts w:ascii="Arial" w:cs="Arial" w:eastAsia="Arial" w:hAnsi="Arial"/>
          <w:sz w:val="17"/>
          <w:szCs w:val="17"/>
          <w:i w:val="1"/>
          <w:iCs w:val="1"/>
          <w:color w:val="auto"/>
        </w:rPr>
        <w:t>Improvements to Topic 842 Leases</w:t>
      </w:r>
      <w:r>
        <w:rPr>
          <w:rFonts w:ascii="Arial" w:cs="Arial" w:eastAsia="Arial" w:hAnsi="Arial"/>
          <w:sz w:val="17"/>
          <w:szCs w:val="17"/>
          <w:color w:val="auto"/>
        </w:rPr>
        <w:t>, ASU No. 2018-11,</w:t>
      </w:r>
      <w:r>
        <w:rPr>
          <w:rFonts w:ascii="Arial" w:cs="Arial" w:eastAsia="Arial" w:hAnsi="Arial"/>
          <w:sz w:val="17"/>
          <w:szCs w:val="17"/>
          <w:i w:val="1"/>
          <w:iCs w:val="1"/>
          <w:color w:val="auto"/>
        </w:rPr>
        <w:t xml:space="preserve"> Leases (Topic 842): Targeted Improvements</w:t>
      </w:r>
      <w:r>
        <w:rPr>
          <w:rFonts w:ascii="Arial" w:cs="Arial" w:eastAsia="Arial" w:hAnsi="Arial"/>
          <w:sz w:val="17"/>
          <w:szCs w:val="17"/>
          <w:color w:val="auto"/>
        </w:rPr>
        <w:t>, ASU No. 2018-20,</w:t>
      </w:r>
      <w:r>
        <w:rPr>
          <w:rFonts w:ascii="Arial" w:cs="Arial" w:eastAsia="Arial" w:hAnsi="Arial"/>
          <w:sz w:val="17"/>
          <w:szCs w:val="17"/>
          <w:i w:val="1"/>
          <w:iCs w:val="1"/>
          <w:color w:val="auto"/>
        </w:rPr>
        <w:t xml:space="preserve"> Leases (Topic 842): Narrow-Scope Improvements for Lessors </w:t>
      </w:r>
      <w:r>
        <w:rPr>
          <w:rFonts w:ascii="Arial" w:cs="Arial" w:eastAsia="Arial" w:hAnsi="Arial"/>
          <w:sz w:val="17"/>
          <w:szCs w:val="17"/>
          <w:color w:val="auto"/>
        </w:rPr>
        <w:t>and ASU No. 2019-01,</w:t>
      </w:r>
      <w:r>
        <w:rPr>
          <w:rFonts w:ascii="Arial" w:cs="Arial" w:eastAsia="Arial" w:hAnsi="Arial"/>
          <w:sz w:val="17"/>
          <w:szCs w:val="17"/>
          <w:i w:val="1"/>
          <w:iCs w:val="1"/>
          <w:color w:val="auto"/>
        </w:rPr>
        <w:t xml:space="preserve"> Leases (Topic 842): Codification Improvements</w:t>
      </w:r>
      <w:r>
        <w:rPr>
          <w:rFonts w:ascii="Arial" w:cs="Arial" w:eastAsia="Arial" w:hAnsi="Arial"/>
          <w:sz w:val="17"/>
          <w:szCs w:val="17"/>
          <w:color w:val="auto"/>
        </w:rPr>
        <w:t>. These standards require a lessee to recognize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balance sheet a liability to make lease payments (the lease liability) and a right-of-use asset representing its right to use the underlying asset for the lease term. United adopted the standard on January 1, 2019 using the optional transition method, which allowed for a modified retrospective method of adoption with a cumulative effect adjustment to shareholders’ equity without restating comparable periods. United also elected the relief package of practical expedients for which there is no requirement to reassess existence of leases, their classification, and initial direct costs as well as an exemption for short-term leases with a term of less than one year, whereby United does not recognize a lease liability or right-of-use asset on the consolidated balance sheet but instead recognizes lease payments as an expense over the lease term as appropriate. The adoption of this guidance resulted in recognition of a right-of-use asset of $23.8 million, a lease liability of $26.8 million and a reduction of shareholders’ equity of $549,000, net of tax, related to its operating leases. In addition, United has equipment financing leases for which it is the lessor, which were previously accounted for as capital leases. Upon adoption of Topic 842, these leases were classified as direct financing leases, which required no significant change in accounting policy or treatment. These lease agreements may include options to renew and for the lessee to purchase the leased equipment at the end of the lease term. As a lessor, United elected to exclude sales taxes from consideration in lease contracts. In the opinion of management, the changes described above resulting from the adoption of the standard did not have a material impact on the consolidated financial statements. See Notes 5 and 14 for additional information on direct financing leases and operating leases,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Balance Sheet Offsetting and Repurchase Agreements Accounted for as Secured Borrowings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United enters into reverse repurchase agreements in order to invest short-term funds. In addition, United enters into repurchase agreements and reverse repurchase agreements with the same counterparty in transactions commonly referred to as collateral swaps that are subject to master netting agreements under which the balances are netted in the balance sheet in accordance with ASC 210-20, </w:t>
      </w:r>
      <w:r>
        <w:rPr>
          <w:rFonts w:ascii="Arial" w:cs="Arial" w:eastAsia="Arial" w:hAnsi="Arial"/>
          <w:sz w:val="18"/>
          <w:szCs w:val="18"/>
          <w:i w:val="1"/>
          <w:iCs w:val="1"/>
          <w:color w:val="auto"/>
        </w:rPr>
        <w:t>Offsetting.</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following table presents a summary of amounts outstanding under reverse repurchase agreements, of which there were none as of March 31, 2019, and derivative financial instruments including those entered into in connection with the same counterparty under master netting agreements as of the dates indicated </w:t>
      </w:r>
      <w:r>
        <w:rPr>
          <w:rFonts w:ascii="Arial" w:cs="Arial" w:eastAsia="Arial" w:hAnsi="Arial"/>
          <w:sz w:val="18"/>
          <w:szCs w:val="18"/>
          <w:i w:val="1"/>
          <w:iCs w:val="1"/>
          <w:color w:val="auto"/>
        </w:rPr>
        <w:t>(in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4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0"/>
              </w:rPr>
              <w:t>Gross Amounts not Offset in the</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9"/>
              </w:rPr>
              <w:t>Gross Amounts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87"/>
              </w:rPr>
              <w:t>Balance Sheet</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8"/>
              </w:rPr>
              <w:t>Gross Amounts of</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Offset on the</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Financial</w:t>
            </w:r>
          </w:p>
        </w:tc>
        <w:tc>
          <w:tcPr>
            <w:tcW w:w="2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Collateral</w:t>
            </w:r>
          </w:p>
        </w:tc>
        <w:tc>
          <w:tcPr>
            <w:tcW w:w="260" w:type="dxa"/>
            <w:vAlign w:val="bottom"/>
          </w:tcPr>
          <w:p>
            <w:pPr>
              <w:spacing w:after="0"/>
              <w:rPr>
                <w:sz w:val="18"/>
                <w:szCs w:val="18"/>
                <w:color w:val="auto"/>
              </w:rPr>
            </w:pPr>
          </w:p>
        </w:tc>
        <w:tc>
          <w:tcPr>
            <w:tcW w:w="1100" w:type="dxa"/>
            <w:vAlign w:val="bottom"/>
          </w:tcPr>
          <w:p>
            <w:pPr>
              <w:jc w:val="center"/>
              <w:ind w:right="179"/>
              <w:spacing w:after="0"/>
              <w:rPr>
                <w:sz w:val="20"/>
                <w:szCs w:val="20"/>
                <w:color w:val="auto"/>
              </w:rPr>
            </w:pPr>
            <w:r>
              <w:rPr>
                <w:rFonts w:ascii="Arial" w:cs="Arial" w:eastAsia="Arial" w:hAnsi="Arial"/>
                <w:sz w:val="16"/>
                <w:szCs w:val="16"/>
                <w:b w:val="1"/>
                <w:bCs w:val="1"/>
                <w:color w:val="auto"/>
                <w:w w:val="92"/>
              </w:rPr>
              <w:t>Net</w:t>
            </w:r>
          </w:p>
        </w:tc>
        <w:tc>
          <w:tcPr>
            <w:tcW w:w="0" w:type="dxa"/>
            <w:vAlign w:val="bottom"/>
          </w:tcPr>
          <w:p>
            <w:pPr>
              <w:spacing w:after="0"/>
              <w:rPr>
                <w:sz w:val="1"/>
                <w:szCs w:val="1"/>
                <w:color w:val="auto"/>
              </w:rPr>
            </w:pPr>
          </w:p>
        </w:tc>
      </w:tr>
      <w:tr>
        <w:trPr>
          <w:trHeight w:val="210"/>
        </w:trPr>
        <w:tc>
          <w:tcPr>
            <w:tcW w:w="264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2019</w:t>
            </w:r>
          </w:p>
        </w:tc>
        <w:tc>
          <w:tcPr>
            <w:tcW w:w="15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5"/>
              </w:rPr>
              <w:t>Recognized Assets</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Balance Sheet</w:t>
            </w: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8"/>
              </w:rPr>
              <w:t>Net Asset Balance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Instruments</w:t>
            </w:r>
          </w:p>
        </w:tc>
        <w:tc>
          <w:tcPr>
            <w:tcW w:w="2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Received</w:t>
            </w:r>
          </w:p>
        </w:tc>
        <w:tc>
          <w:tcPr>
            <w:tcW w:w="260" w:type="dxa"/>
            <w:vAlign w:val="bottom"/>
          </w:tcPr>
          <w:p>
            <w:pPr>
              <w:spacing w:after="0"/>
              <w:rPr>
                <w:sz w:val="18"/>
                <w:szCs w:val="18"/>
                <w:color w:val="auto"/>
              </w:rPr>
            </w:pPr>
          </w:p>
        </w:tc>
        <w:tc>
          <w:tcPr>
            <w:tcW w:w="1100" w:type="dxa"/>
            <w:vAlign w:val="bottom"/>
          </w:tcPr>
          <w:p>
            <w:pPr>
              <w:jc w:val="center"/>
              <w:ind w:right="179"/>
              <w:spacing w:after="0"/>
              <w:rPr>
                <w:sz w:val="20"/>
                <w:szCs w:val="20"/>
                <w:color w:val="auto"/>
              </w:rPr>
            </w:pPr>
            <w:r>
              <w:rPr>
                <w:rFonts w:ascii="Arial" w:cs="Arial" w:eastAsia="Arial" w:hAnsi="Arial"/>
                <w:sz w:val="16"/>
                <w:szCs w:val="16"/>
                <w:b w:val="1"/>
                <w:bCs w:val="1"/>
                <w:color w:val="auto"/>
                <w:w w:val="92"/>
              </w:rPr>
              <w:t>Amount</w:t>
            </w:r>
          </w:p>
        </w:tc>
        <w:tc>
          <w:tcPr>
            <w:tcW w:w="0" w:type="dxa"/>
            <w:vAlign w:val="bottom"/>
          </w:tcPr>
          <w:p>
            <w:pPr>
              <w:spacing w:after="0"/>
              <w:rPr>
                <w:sz w:val="1"/>
                <w:szCs w:val="1"/>
                <w:color w:val="auto"/>
              </w:rPr>
            </w:pPr>
          </w:p>
        </w:tc>
      </w:tr>
      <w:tr>
        <w:trPr>
          <w:trHeight w:val="33"/>
        </w:trPr>
        <w:tc>
          <w:tcPr>
            <w:tcW w:w="2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Derivatives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25,924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25,924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21,832</w:t>
            </w:r>
          </w:p>
        </w:tc>
        <w:tc>
          <w:tcPr>
            <w:tcW w:w="0" w:type="dxa"/>
            <w:vAlign w:val="bottom"/>
          </w:tcPr>
          <w:p>
            <w:pPr>
              <w:spacing w:after="0"/>
              <w:rPr>
                <w:sz w:val="1"/>
                <w:szCs w:val="1"/>
                <w:color w:val="auto"/>
              </w:rPr>
            </w:pPr>
          </w:p>
        </w:tc>
      </w:tr>
      <w:tr>
        <w:trPr>
          <w:trHeight w:val="284"/>
        </w:trPr>
        <w:tc>
          <w:tcPr>
            <w:tcW w:w="264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25,924</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25,924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(2,295)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(1,797)</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21,832</w:t>
            </w:r>
          </w:p>
        </w:tc>
        <w:tc>
          <w:tcPr>
            <w:tcW w:w="0" w:type="dxa"/>
            <w:vAlign w:val="bottom"/>
          </w:tcPr>
          <w:p>
            <w:pPr>
              <w:spacing w:after="0"/>
              <w:rPr>
                <w:sz w:val="1"/>
                <w:szCs w:val="1"/>
                <w:color w:val="auto"/>
              </w:rPr>
            </w:pPr>
          </w:p>
        </w:tc>
      </w:tr>
      <w:tr>
        <w:trPr>
          <w:trHeight w:val="271"/>
        </w:trPr>
        <w:tc>
          <w:tcPr>
            <w:tcW w:w="2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89"/>
              </w:rPr>
              <w:t>Gross Amounts not Offset</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88"/>
              </w:rPr>
              <w:t>Gross Amounts of</w:t>
            </w:r>
          </w:p>
        </w:tc>
        <w:tc>
          <w:tcPr>
            <w:tcW w:w="140" w:type="dxa"/>
            <w:vAlign w:val="bottom"/>
          </w:tcPr>
          <w:p>
            <w:pPr>
              <w:spacing w:after="0"/>
              <w:rPr>
                <w:sz w:val="18"/>
                <w:szCs w:val="18"/>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9"/>
              </w:rPr>
              <w:t>Gross Amounts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89"/>
              </w:rPr>
              <w:t>in the Balance Sheet</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Recognized</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Offset on the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Net Liability</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Financial</w:t>
            </w:r>
          </w:p>
        </w:tc>
        <w:tc>
          <w:tcPr>
            <w:tcW w:w="2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Collateral</w:t>
            </w:r>
          </w:p>
        </w:tc>
        <w:tc>
          <w:tcPr>
            <w:tcW w:w="260" w:type="dxa"/>
            <w:vAlign w:val="bottom"/>
          </w:tcPr>
          <w:p>
            <w:pPr>
              <w:spacing w:after="0"/>
              <w:rPr>
                <w:sz w:val="18"/>
                <w:szCs w:val="18"/>
                <w:color w:val="auto"/>
              </w:rPr>
            </w:pPr>
          </w:p>
        </w:tc>
        <w:tc>
          <w:tcPr>
            <w:tcW w:w="1100" w:type="dxa"/>
            <w:vAlign w:val="bottom"/>
          </w:tcPr>
          <w:p>
            <w:pPr>
              <w:jc w:val="center"/>
              <w:ind w:right="179"/>
              <w:spacing w:after="0"/>
              <w:rPr>
                <w:sz w:val="20"/>
                <w:szCs w:val="20"/>
                <w:color w:val="auto"/>
              </w:rPr>
            </w:pPr>
            <w:r>
              <w:rPr>
                <w:rFonts w:ascii="Arial" w:cs="Arial" w:eastAsia="Arial" w:hAnsi="Arial"/>
                <w:sz w:val="16"/>
                <w:szCs w:val="16"/>
                <w:b w:val="1"/>
                <w:bCs w:val="1"/>
                <w:color w:val="auto"/>
                <w:w w:val="92"/>
              </w:rPr>
              <w:t>Net</w:t>
            </w:r>
          </w:p>
        </w:tc>
        <w:tc>
          <w:tcPr>
            <w:tcW w:w="0" w:type="dxa"/>
            <w:vAlign w:val="bottom"/>
          </w:tcPr>
          <w:p>
            <w:pPr>
              <w:spacing w:after="0"/>
              <w:rPr>
                <w:sz w:val="1"/>
                <w:szCs w:val="1"/>
                <w:color w:val="auto"/>
              </w:rPr>
            </w:pPr>
          </w:p>
        </w:tc>
      </w:tr>
      <w:tr>
        <w:trPr>
          <w:trHeight w:val="210"/>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Liabilities</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Balance Sheet</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Balance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Instruments</w:t>
            </w:r>
          </w:p>
        </w:tc>
        <w:tc>
          <w:tcPr>
            <w:tcW w:w="2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Pledged</w:t>
            </w:r>
          </w:p>
        </w:tc>
        <w:tc>
          <w:tcPr>
            <w:tcW w:w="260" w:type="dxa"/>
            <w:vAlign w:val="bottom"/>
          </w:tcPr>
          <w:p>
            <w:pPr>
              <w:spacing w:after="0"/>
              <w:rPr>
                <w:sz w:val="18"/>
                <w:szCs w:val="18"/>
                <w:color w:val="auto"/>
              </w:rPr>
            </w:pPr>
          </w:p>
        </w:tc>
        <w:tc>
          <w:tcPr>
            <w:tcW w:w="1100" w:type="dxa"/>
            <w:vAlign w:val="bottom"/>
          </w:tcPr>
          <w:p>
            <w:pPr>
              <w:jc w:val="center"/>
              <w:ind w:right="179"/>
              <w:spacing w:after="0"/>
              <w:rPr>
                <w:sz w:val="20"/>
                <w:szCs w:val="20"/>
                <w:color w:val="auto"/>
              </w:rPr>
            </w:pPr>
            <w:r>
              <w:rPr>
                <w:rFonts w:ascii="Arial" w:cs="Arial" w:eastAsia="Arial" w:hAnsi="Arial"/>
                <w:sz w:val="16"/>
                <w:szCs w:val="16"/>
                <w:b w:val="1"/>
                <w:bCs w:val="1"/>
                <w:color w:val="auto"/>
                <w:w w:val="92"/>
              </w:rPr>
              <w:t>Amount</w:t>
            </w:r>
          </w:p>
        </w:tc>
        <w:tc>
          <w:tcPr>
            <w:tcW w:w="0" w:type="dxa"/>
            <w:vAlign w:val="bottom"/>
          </w:tcPr>
          <w:p>
            <w:pPr>
              <w:spacing w:after="0"/>
              <w:rPr>
                <w:sz w:val="1"/>
                <w:szCs w:val="1"/>
                <w:color w:val="auto"/>
              </w:rPr>
            </w:pPr>
          </w:p>
        </w:tc>
      </w:tr>
      <w:tr>
        <w:trPr>
          <w:trHeight w:val="33"/>
        </w:trPr>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Derivatives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18,789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4,624</w:t>
            </w:r>
          </w:p>
        </w:tc>
        <w:tc>
          <w:tcPr>
            <w:tcW w:w="0" w:type="dxa"/>
            <w:vAlign w:val="bottom"/>
          </w:tcPr>
          <w:p>
            <w:pPr>
              <w:spacing w:after="0"/>
              <w:rPr>
                <w:sz w:val="1"/>
                <w:szCs w:val="1"/>
                <w:color w:val="auto"/>
              </w:rPr>
            </w:pPr>
          </w:p>
        </w:tc>
      </w:tr>
      <w:tr>
        <w:trPr>
          <w:trHeight w:val="284"/>
        </w:trPr>
        <w:tc>
          <w:tcPr>
            <w:tcW w:w="264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18,789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18,789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(2,295)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(11,870)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4,624</w:t>
            </w:r>
          </w:p>
        </w:tc>
        <w:tc>
          <w:tcPr>
            <w:tcW w:w="0" w:type="dxa"/>
            <w:vAlign w:val="bottom"/>
          </w:tcPr>
          <w:p>
            <w:pPr>
              <w:spacing w:after="0"/>
              <w:rPr>
                <w:sz w:val="1"/>
                <w:szCs w:val="1"/>
                <w:color w:val="auto"/>
              </w:rPr>
            </w:pPr>
          </w:p>
        </w:tc>
      </w:tr>
      <w:tr>
        <w:trPr>
          <w:trHeight w:val="271"/>
        </w:trPr>
        <w:tc>
          <w:tcPr>
            <w:tcW w:w="2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89"/>
              </w:rPr>
              <w:t>Gross Amounts not Offset</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9"/>
              </w:rPr>
              <w:t>Gross Amounts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89"/>
              </w:rPr>
              <w:t>in the Balance Sheet</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8"/>
              </w:rPr>
              <w:t>Gross Amounts of</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Offset on the</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Financial</w:t>
            </w:r>
          </w:p>
        </w:tc>
        <w:tc>
          <w:tcPr>
            <w:tcW w:w="2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Collateral</w:t>
            </w:r>
          </w:p>
        </w:tc>
        <w:tc>
          <w:tcPr>
            <w:tcW w:w="260" w:type="dxa"/>
            <w:vAlign w:val="bottom"/>
          </w:tcPr>
          <w:p>
            <w:pPr>
              <w:spacing w:after="0"/>
              <w:rPr>
                <w:sz w:val="18"/>
                <w:szCs w:val="18"/>
                <w:color w:val="auto"/>
              </w:rPr>
            </w:pPr>
          </w:p>
        </w:tc>
        <w:tc>
          <w:tcPr>
            <w:tcW w:w="1100" w:type="dxa"/>
            <w:vAlign w:val="bottom"/>
          </w:tcPr>
          <w:p>
            <w:pPr>
              <w:jc w:val="center"/>
              <w:ind w:right="179"/>
              <w:spacing w:after="0"/>
              <w:rPr>
                <w:sz w:val="20"/>
                <w:szCs w:val="20"/>
                <w:color w:val="auto"/>
              </w:rPr>
            </w:pPr>
            <w:r>
              <w:rPr>
                <w:rFonts w:ascii="Arial" w:cs="Arial" w:eastAsia="Arial" w:hAnsi="Arial"/>
                <w:sz w:val="16"/>
                <w:szCs w:val="16"/>
                <w:b w:val="1"/>
                <w:bCs w:val="1"/>
                <w:color w:val="auto"/>
                <w:w w:val="92"/>
              </w:rPr>
              <w:t>Net</w:t>
            </w:r>
          </w:p>
        </w:tc>
        <w:tc>
          <w:tcPr>
            <w:tcW w:w="0" w:type="dxa"/>
            <w:vAlign w:val="bottom"/>
          </w:tcPr>
          <w:p>
            <w:pPr>
              <w:spacing w:after="0"/>
              <w:rPr>
                <w:sz w:val="1"/>
                <w:szCs w:val="1"/>
                <w:color w:val="auto"/>
              </w:rPr>
            </w:pPr>
          </w:p>
        </w:tc>
      </w:tr>
      <w:tr>
        <w:trPr>
          <w:trHeight w:val="210"/>
        </w:trPr>
        <w:tc>
          <w:tcPr>
            <w:tcW w:w="264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2018</w:t>
            </w:r>
          </w:p>
        </w:tc>
        <w:tc>
          <w:tcPr>
            <w:tcW w:w="15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5"/>
              </w:rPr>
              <w:t>Recognized Assets</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Balance Sheet</w:t>
            </w: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8"/>
              </w:rPr>
              <w:t>Net Asset Balance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Instruments</w:t>
            </w:r>
          </w:p>
        </w:tc>
        <w:tc>
          <w:tcPr>
            <w:tcW w:w="2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Received</w:t>
            </w:r>
          </w:p>
        </w:tc>
        <w:tc>
          <w:tcPr>
            <w:tcW w:w="260" w:type="dxa"/>
            <w:vAlign w:val="bottom"/>
          </w:tcPr>
          <w:p>
            <w:pPr>
              <w:spacing w:after="0"/>
              <w:rPr>
                <w:sz w:val="18"/>
                <w:szCs w:val="18"/>
                <w:color w:val="auto"/>
              </w:rPr>
            </w:pPr>
          </w:p>
        </w:tc>
        <w:tc>
          <w:tcPr>
            <w:tcW w:w="1100" w:type="dxa"/>
            <w:vAlign w:val="bottom"/>
          </w:tcPr>
          <w:p>
            <w:pPr>
              <w:jc w:val="center"/>
              <w:ind w:right="179"/>
              <w:spacing w:after="0"/>
              <w:rPr>
                <w:sz w:val="20"/>
                <w:szCs w:val="20"/>
                <w:color w:val="auto"/>
              </w:rPr>
            </w:pPr>
            <w:r>
              <w:rPr>
                <w:rFonts w:ascii="Arial" w:cs="Arial" w:eastAsia="Arial" w:hAnsi="Arial"/>
                <w:sz w:val="16"/>
                <w:szCs w:val="16"/>
                <w:b w:val="1"/>
                <w:bCs w:val="1"/>
                <w:color w:val="auto"/>
                <w:w w:val="92"/>
              </w:rPr>
              <w:t>Amount</w:t>
            </w:r>
          </w:p>
        </w:tc>
        <w:tc>
          <w:tcPr>
            <w:tcW w:w="0" w:type="dxa"/>
            <w:vAlign w:val="bottom"/>
          </w:tcPr>
          <w:p>
            <w:pPr>
              <w:spacing w:after="0"/>
              <w:rPr>
                <w:sz w:val="1"/>
                <w:szCs w:val="1"/>
                <w:color w:val="auto"/>
              </w:rPr>
            </w:pPr>
          </w:p>
        </w:tc>
      </w:tr>
      <w:tr>
        <w:trPr>
          <w:trHeight w:val="33"/>
        </w:trPr>
        <w:tc>
          <w:tcPr>
            <w:tcW w:w="2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Repurchase agreements / reverse</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repurchase agreements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50,000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40" w:type="dxa"/>
            <w:vAlign w:val="bottom"/>
            <w:gridSpan w:val="2"/>
          </w:tcPr>
          <w:p>
            <w:pPr>
              <w:ind w:left="40"/>
              <w:spacing w:after="0"/>
              <w:rPr>
                <w:sz w:val="20"/>
                <w:szCs w:val="20"/>
                <w:color w:val="auto"/>
              </w:rPr>
            </w:pPr>
            <w:r>
              <w:rPr>
                <w:rFonts w:ascii="Arial" w:cs="Arial" w:eastAsia="Arial" w:hAnsi="Arial"/>
                <w:sz w:val="16"/>
                <w:szCs w:val="16"/>
                <w:color w:val="auto"/>
              </w:rPr>
              <w:t>Derivatives</w:t>
            </w:r>
          </w:p>
        </w:tc>
        <w:tc>
          <w:tcPr>
            <w:tcW w:w="22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24,705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24,705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(973)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(8,029)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15,703</w:t>
            </w:r>
          </w:p>
        </w:tc>
        <w:tc>
          <w:tcPr>
            <w:tcW w:w="0" w:type="dxa"/>
            <w:vAlign w:val="bottom"/>
          </w:tcPr>
          <w:p>
            <w:pPr>
              <w:spacing w:after="0"/>
              <w:rPr>
                <w:sz w:val="1"/>
                <w:szCs w:val="1"/>
                <w:color w:val="auto"/>
              </w:rPr>
            </w:pPr>
          </w:p>
        </w:tc>
      </w:tr>
      <w:tr>
        <w:trPr>
          <w:trHeight w:val="33"/>
        </w:trPr>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74,705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24,705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15,703</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 average interest rate of</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reverse repurchase agreements</w:t>
            </w: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99"/>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4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89"/>
              </w:rPr>
              <w:t>Gross Amounts not Offset</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88"/>
              </w:rPr>
              <w:t>Gross Amounts of</w:t>
            </w:r>
          </w:p>
        </w:tc>
        <w:tc>
          <w:tcPr>
            <w:tcW w:w="140" w:type="dxa"/>
            <w:vAlign w:val="bottom"/>
          </w:tcPr>
          <w:p>
            <w:pPr>
              <w:spacing w:after="0"/>
              <w:rPr>
                <w:sz w:val="18"/>
                <w:szCs w:val="18"/>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9"/>
              </w:rPr>
              <w:t>Gross Amounts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89"/>
              </w:rPr>
              <w:t>in the Balance Sheet</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Recognized</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Offset on the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Net Liability</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Financial</w:t>
            </w:r>
          </w:p>
        </w:tc>
        <w:tc>
          <w:tcPr>
            <w:tcW w:w="2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Collateral</w:t>
            </w:r>
          </w:p>
        </w:tc>
        <w:tc>
          <w:tcPr>
            <w:tcW w:w="260" w:type="dxa"/>
            <w:vAlign w:val="bottom"/>
          </w:tcPr>
          <w:p>
            <w:pPr>
              <w:spacing w:after="0"/>
              <w:rPr>
                <w:sz w:val="18"/>
                <w:szCs w:val="18"/>
                <w:color w:val="auto"/>
              </w:rPr>
            </w:pPr>
          </w:p>
        </w:tc>
        <w:tc>
          <w:tcPr>
            <w:tcW w:w="1100" w:type="dxa"/>
            <w:vAlign w:val="bottom"/>
          </w:tcPr>
          <w:p>
            <w:pPr>
              <w:jc w:val="center"/>
              <w:ind w:right="179"/>
              <w:spacing w:after="0"/>
              <w:rPr>
                <w:sz w:val="20"/>
                <w:szCs w:val="20"/>
                <w:color w:val="auto"/>
              </w:rPr>
            </w:pPr>
            <w:r>
              <w:rPr>
                <w:rFonts w:ascii="Arial" w:cs="Arial" w:eastAsia="Arial" w:hAnsi="Arial"/>
                <w:sz w:val="16"/>
                <w:szCs w:val="16"/>
                <w:b w:val="1"/>
                <w:bCs w:val="1"/>
                <w:color w:val="auto"/>
                <w:w w:val="92"/>
              </w:rPr>
              <w:t>Net</w:t>
            </w:r>
          </w:p>
        </w:tc>
        <w:tc>
          <w:tcPr>
            <w:tcW w:w="0" w:type="dxa"/>
            <w:vAlign w:val="bottom"/>
          </w:tcPr>
          <w:p>
            <w:pPr>
              <w:spacing w:after="0"/>
              <w:rPr>
                <w:sz w:val="1"/>
                <w:szCs w:val="1"/>
                <w:color w:val="auto"/>
              </w:rPr>
            </w:pPr>
          </w:p>
        </w:tc>
      </w:tr>
      <w:tr>
        <w:trPr>
          <w:trHeight w:val="210"/>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Liabilities</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Balance Sheet</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Balance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Instruments</w:t>
            </w:r>
          </w:p>
        </w:tc>
        <w:tc>
          <w:tcPr>
            <w:tcW w:w="2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Pledged</w:t>
            </w:r>
          </w:p>
        </w:tc>
        <w:tc>
          <w:tcPr>
            <w:tcW w:w="260" w:type="dxa"/>
            <w:vAlign w:val="bottom"/>
          </w:tcPr>
          <w:p>
            <w:pPr>
              <w:spacing w:after="0"/>
              <w:rPr>
                <w:sz w:val="18"/>
                <w:szCs w:val="18"/>
                <w:color w:val="auto"/>
              </w:rPr>
            </w:pPr>
          </w:p>
        </w:tc>
        <w:tc>
          <w:tcPr>
            <w:tcW w:w="1100" w:type="dxa"/>
            <w:vAlign w:val="bottom"/>
          </w:tcPr>
          <w:p>
            <w:pPr>
              <w:jc w:val="center"/>
              <w:ind w:right="179"/>
              <w:spacing w:after="0"/>
              <w:rPr>
                <w:sz w:val="20"/>
                <w:szCs w:val="20"/>
                <w:color w:val="auto"/>
              </w:rPr>
            </w:pPr>
            <w:r>
              <w:rPr>
                <w:rFonts w:ascii="Arial" w:cs="Arial" w:eastAsia="Arial" w:hAnsi="Arial"/>
                <w:sz w:val="16"/>
                <w:szCs w:val="16"/>
                <w:b w:val="1"/>
                <w:bCs w:val="1"/>
                <w:color w:val="auto"/>
                <w:w w:val="92"/>
              </w:rPr>
              <w:t>Amount</w:t>
            </w:r>
          </w:p>
        </w:tc>
        <w:tc>
          <w:tcPr>
            <w:tcW w:w="0" w:type="dxa"/>
            <w:vAlign w:val="bottom"/>
          </w:tcPr>
          <w:p>
            <w:pPr>
              <w:spacing w:after="0"/>
              <w:rPr>
                <w:sz w:val="1"/>
                <w:szCs w:val="1"/>
                <w:color w:val="auto"/>
              </w:rPr>
            </w:pPr>
          </w:p>
        </w:tc>
      </w:tr>
      <w:tr>
        <w:trPr>
          <w:trHeight w:val="33"/>
        </w:trPr>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Repurchase agreements / reverse</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repurchase agreements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50,000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40" w:type="dxa"/>
            <w:vAlign w:val="bottom"/>
            <w:gridSpan w:val="2"/>
          </w:tcPr>
          <w:p>
            <w:pPr>
              <w:ind w:left="40"/>
              <w:spacing w:after="0"/>
              <w:rPr>
                <w:sz w:val="20"/>
                <w:szCs w:val="20"/>
                <w:color w:val="auto"/>
              </w:rPr>
            </w:pPr>
            <w:r>
              <w:rPr>
                <w:rFonts w:ascii="Arial" w:cs="Arial" w:eastAsia="Arial" w:hAnsi="Arial"/>
                <w:sz w:val="16"/>
                <w:szCs w:val="16"/>
                <w:color w:val="auto"/>
              </w:rPr>
              <w:t>Derivatives</w:t>
            </w:r>
          </w:p>
        </w:tc>
        <w:tc>
          <w:tcPr>
            <w:tcW w:w="22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26,433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26,433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(973)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(16,126)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9,334</w:t>
            </w:r>
          </w:p>
        </w:tc>
        <w:tc>
          <w:tcPr>
            <w:tcW w:w="0" w:type="dxa"/>
            <w:vAlign w:val="bottom"/>
          </w:tcPr>
          <w:p>
            <w:pPr>
              <w:spacing w:after="0"/>
              <w:rPr>
                <w:sz w:val="1"/>
                <w:szCs w:val="1"/>
                <w:color w:val="auto"/>
              </w:rPr>
            </w:pPr>
          </w:p>
        </w:tc>
      </w:tr>
      <w:tr>
        <w:trPr>
          <w:trHeight w:val="33"/>
        </w:trPr>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76,433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26,433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9,334</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 average interest rate of</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repurchase agreements</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2019, United recognized the right to reclaim cash collateral of $11.9 million and the obligation to return cash collateral of $1.80 million. At December 31, 2018, United recognized the right to reclaim cash collateral of $16.1 million and the obligation to return cash collateral of $8.03 million. The right to reclaim cash collateral and the obligation to return cash collateral were included in the consolidated balance sheets in other assets and other liabilities, respectively.</w:t>
      </w:r>
    </w:p>
    <w:p>
      <w:pPr>
        <w:sectPr>
          <w:pgSz w:w="11900" w:h="16838" w:orient="portrait"/>
          <w:cols w:equalWidth="0" w:num="1">
            <w:col w:w="11420"/>
          </w:cols>
          <w:pgMar w:left="240" w:top="121"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1" w:right="2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 xml:space="preserve">The following table presents additional detail regarding repurchase agreements accounted for as secured borrowings and the securities underlying these agreements as of December 31, 2018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0" w:type="dxa"/>
            <w:vAlign w:val="bottom"/>
            <w:gridSpan w:val="8"/>
          </w:tcPr>
          <w:p>
            <w:pPr>
              <w:ind w:left="340"/>
              <w:spacing w:after="0"/>
              <w:rPr>
                <w:sz w:val="20"/>
                <w:szCs w:val="20"/>
                <w:color w:val="auto"/>
              </w:rPr>
            </w:pPr>
            <w:r>
              <w:rPr>
                <w:rFonts w:ascii="Arial" w:cs="Arial" w:eastAsia="Arial" w:hAnsi="Arial"/>
                <w:sz w:val="16"/>
                <w:szCs w:val="16"/>
                <w:b w:val="1"/>
                <w:bCs w:val="1"/>
                <w:color w:val="auto"/>
              </w:rPr>
              <w:t>Remaining Contractual Maturity of the Agreements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Overnight and</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Continuous</w:t>
            </w:r>
          </w:p>
        </w:tc>
        <w:tc>
          <w:tcPr>
            <w:tcW w:w="180" w:type="dxa"/>
            <w:vAlign w:val="bottom"/>
          </w:tcPr>
          <w:p>
            <w:pPr>
              <w:spacing w:after="0"/>
              <w:rPr>
                <w:sz w:val="18"/>
                <w:szCs w:val="18"/>
                <w:color w:val="auto"/>
              </w:rPr>
            </w:pPr>
          </w:p>
        </w:tc>
        <w:tc>
          <w:tcPr>
            <w:tcW w:w="1440" w:type="dxa"/>
            <w:vAlign w:val="bottom"/>
            <w:gridSpan w:val="2"/>
          </w:tcPr>
          <w:p>
            <w:pPr>
              <w:ind w:left="80"/>
              <w:spacing w:after="0"/>
              <w:rPr>
                <w:sz w:val="20"/>
                <w:szCs w:val="20"/>
                <w:color w:val="auto"/>
              </w:rPr>
            </w:pPr>
            <w:r>
              <w:rPr>
                <w:rFonts w:ascii="Arial" w:cs="Arial" w:eastAsia="Arial" w:hAnsi="Arial"/>
                <w:sz w:val="16"/>
                <w:szCs w:val="16"/>
                <w:b w:val="1"/>
                <w:bCs w:val="1"/>
                <w:color w:val="auto"/>
              </w:rPr>
              <w:t>Up to 30 Days</w:t>
            </w:r>
          </w:p>
        </w:tc>
        <w:tc>
          <w:tcPr>
            <w:tcW w:w="20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Arial" w:cs="Arial" w:eastAsia="Arial" w:hAnsi="Arial"/>
                <w:sz w:val="16"/>
                <w:szCs w:val="16"/>
                <w:b w:val="1"/>
                <w:bCs w:val="1"/>
                <w:color w:val="auto"/>
              </w:rPr>
              <w:t>30 to 90 Days</w:t>
            </w:r>
          </w:p>
        </w:tc>
        <w:tc>
          <w:tcPr>
            <w:tcW w:w="180" w:type="dxa"/>
            <w:vAlign w:val="bottom"/>
          </w:tcPr>
          <w:p>
            <w:pPr>
              <w:spacing w:after="0"/>
              <w:rPr>
                <w:sz w:val="18"/>
                <w:szCs w:val="18"/>
                <w:color w:val="auto"/>
              </w:rPr>
            </w:pPr>
          </w:p>
        </w:tc>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91 to 110 days</w:t>
            </w: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Total</w:t>
            </w:r>
          </w:p>
        </w:tc>
      </w:tr>
      <w:tr>
        <w:trPr>
          <w:trHeight w:val="33"/>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Mortgage-backed securities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50,000</w:t>
            </w:r>
          </w:p>
        </w:tc>
      </w:tr>
      <w:tr>
        <w:trPr>
          <w:trHeight w:val="33"/>
        </w:trPr>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3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r>
      <w:tr>
        <w:trPr>
          <w:trHeight w:val="284"/>
        </w:trPr>
        <w:tc>
          <w:tcPr>
            <w:tcW w:w="356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ind w:left="10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ind w:left="10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50,000</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ind w:left="10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50,000</w:t>
            </w:r>
          </w:p>
        </w:tc>
      </w:tr>
      <w:tr>
        <w:trPr>
          <w:trHeight w:val="257"/>
        </w:trPr>
        <w:tc>
          <w:tcPr>
            <w:tcW w:w="3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r>
      <w:tr>
        <w:trPr>
          <w:trHeight w:val="20"/>
        </w:trPr>
        <w:tc>
          <w:tcPr>
            <w:tcW w:w="344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71"/>
        </w:trPr>
        <w:tc>
          <w:tcPr>
            <w:tcW w:w="6800" w:type="dxa"/>
            <w:vAlign w:val="bottom"/>
            <w:tcBorders>
              <w:bottom w:val="single" w:sz="8" w:color="CCEEFF"/>
            </w:tcBorders>
            <w:gridSpan w:val="8"/>
          </w:tcPr>
          <w:p>
            <w:pPr>
              <w:ind w:left="40"/>
              <w:spacing w:after="0"/>
              <w:rPr>
                <w:sz w:val="20"/>
                <w:szCs w:val="20"/>
                <w:color w:val="auto"/>
              </w:rPr>
            </w:pPr>
            <w:r>
              <w:rPr>
                <w:rFonts w:ascii="Arial" w:cs="Arial" w:eastAsia="Arial" w:hAnsi="Arial"/>
                <w:sz w:val="16"/>
                <w:szCs w:val="16"/>
                <w:color w:val="auto"/>
              </w:rPr>
              <w:t>Gross amount of recognized liabilities for repurchase agreements in offsetting disclosure</w:t>
            </w:r>
          </w:p>
        </w:tc>
        <w:tc>
          <w:tcPr>
            <w:tcW w:w="200" w:type="dxa"/>
            <w:vAlign w:val="bottom"/>
            <w:tcBorders>
              <w:bottom w:val="single" w:sz="8" w:color="CCEEFF"/>
            </w:tcBorders>
          </w:tcPr>
          <w:p>
            <w:pPr>
              <w:spacing w:after="0"/>
              <w:rPr>
                <w:sz w:val="23"/>
                <w:szCs w:val="23"/>
                <w:color w:val="auto"/>
              </w:rPr>
            </w:pPr>
          </w:p>
        </w:tc>
        <w:tc>
          <w:tcPr>
            <w:tcW w:w="128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2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50,000</w:t>
            </w:r>
          </w:p>
        </w:tc>
      </w:tr>
      <w:tr>
        <w:trPr>
          <w:trHeight w:val="237"/>
        </w:trPr>
        <w:tc>
          <w:tcPr>
            <w:tcW w:w="51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Amounts related to agreements not included in offsetting disclosure</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is obligated to promptly transfer additional securities if the market value of the securities falls below the repurchase agreement price. United manages this risk by maintaining an unpledged securities portfolio that it believes is sufficient to cover a decline in the market value of the securities sold under agreements to repurchase.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amortized cost basis, unrealized gains and losses and fair value of debt securities held-to-maturity as of the dates indicated are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Amortized</w:t>
            </w:r>
          </w:p>
        </w:tc>
        <w:tc>
          <w:tcPr>
            <w:tcW w:w="160" w:type="dxa"/>
            <w:vAlign w:val="bottom"/>
          </w:tcPr>
          <w:p>
            <w:pPr>
              <w:spacing w:after="0"/>
              <w:rPr>
                <w:sz w:val="17"/>
                <w:szCs w:val="17"/>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Gross Unrealized</w:t>
            </w:r>
          </w:p>
        </w:tc>
        <w:tc>
          <w:tcPr>
            <w:tcW w:w="140" w:type="dxa"/>
            <w:vAlign w:val="bottom"/>
          </w:tcPr>
          <w:p>
            <w:pPr>
              <w:spacing w:after="0"/>
              <w:rPr>
                <w:sz w:val="17"/>
                <w:szCs w:val="17"/>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Gross Unrealized</w:t>
            </w:r>
          </w:p>
        </w:tc>
        <w:tc>
          <w:tcPr>
            <w:tcW w:w="360" w:type="dxa"/>
            <w:vAlign w:val="bottom"/>
          </w:tcPr>
          <w:p>
            <w:pPr>
              <w:spacing w:after="0"/>
              <w:rPr>
                <w:sz w:val="17"/>
                <w:szCs w:val="17"/>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Fair</w:t>
            </w:r>
          </w:p>
        </w:tc>
      </w:tr>
      <w:tr>
        <w:trPr>
          <w:trHeight w:val="210"/>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Cost</w:t>
            </w:r>
          </w:p>
        </w:tc>
        <w:tc>
          <w:tcPr>
            <w:tcW w:w="16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Gains</w:t>
            </w:r>
          </w:p>
        </w:tc>
        <w:tc>
          <w:tcPr>
            <w:tcW w:w="14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9"/>
              </w:rPr>
              <w:t>Losses</w:t>
            </w:r>
          </w:p>
        </w:tc>
        <w:tc>
          <w:tcPr>
            <w:tcW w:w="360" w:type="dxa"/>
            <w:vAlign w:val="bottom"/>
          </w:tcPr>
          <w:p>
            <w:pPr>
              <w:spacing w:after="0"/>
              <w:rPr>
                <w:sz w:val="18"/>
                <w:szCs w:val="18"/>
                <w:color w:val="auto"/>
              </w:rPr>
            </w:pPr>
          </w:p>
        </w:tc>
        <w:tc>
          <w:tcPr>
            <w:tcW w:w="1220" w:type="dxa"/>
            <w:vAlign w:val="bottom"/>
          </w:tcPr>
          <w:p>
            <w:pPr>
              <w:jc w:val="right"/>
              <w:ind w:right="519"/>
              <w:spacing w:after="0"/>
              <w:rPr>
                <w:sz w:val="20"/>
                <w:szCs w:val="20"/>
                <w:color w:val="auto"/>
              </w:rPr>
            </w:pPr>
            <w:r>
              <w:rPr>
                <w:rFonts w:ascii="Arial" w:cs="Arial" w:eastAsia="Arial" w:hAnsi="Arial"/>
                <w:sz w:val="16"/>
                <w:szCs w:val="16"/>
                <w:b w:val="1"/>
                <w:bCs w:val="1"/>
                <w:color w:val="auto"/>
              </w:rPr>
              <w:t>Value</w:t>
            </w:r>
          </w:p>
        </w:tc>
      </w:tr>
      <w:tr>
        <w:trPr>
          <w:trHeight w:val="33"/>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March 31, 2019</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77"/>
        </w:trPr>
        <w:tc>
          <w:tcPr>
            <w:tcW w:w="47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State and political subdivisions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65,519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66,506</w:t>
            </w: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Residential mortgage-backed securities</w:t>
            </w: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170,980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1,078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2,532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169,526</w:t>
            </w: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Commercial mortgage-backed securities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28,830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29,085</w:t>
            </w:r>
          </w:p>
        </w:tc>
      </w:tr>
      <w:tr>
        <w:trPr>
          <w:trHeight w:val="284"/>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265,329</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2,844</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3,056</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265,117</w:t>
            </w:r>
          </w:p>
        </w:tc>
      </w:tr>
      <w:tr>
        <w:trPr>
          <w:trHeight w:val="271"/>
        </w:trPr>
        <w:tc>
          <w:tcPr>
            <w:tcW w:w="47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2018</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47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r>
      <w:tr>
        <w:trPr>
          <w:trHeight w:val="277"/>
        </w:trPr>
        <w:tc>
          <w:tcPr>
            <w:tcW w:w="47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State and political subdivisions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68,551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952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2,191</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67,312</w:t>
            </w: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Residential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176,488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172,046</w:t>
            </w: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Commercial mortgage-backed securities</w:t>
            </w: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29,368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29,445</w:t>
            </w:r>
          </w:p>
        </w:tc>
      </w:tr>
      <w:tr>
        <w:trPr>
          <w:trHeight w:val="33"/>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274,407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7,381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268,803</w:t>
            </w: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cost basis, unrealized gains and losses, and fair value of debt securities available-for-sale as of the dates indicated are presented below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Amortized</w:t>
            </w:r>
          </w:p>
        </w:tc>
        <w:tc>
          <w:tcPr>
            <w:tcW w:w="160" w:type="dxa"/>
            <w:vAlign w:val="bottom"/>
          </w:tcPr>
          <w:p>
            <w:pPr>
              <w:spacing w:after="0"/>
              <w:rPr>
                <w:sz w:val="17"/>
                <w:szCs w:val="17"/>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Gross Unrealized</w:t>
            </w:r>
          </w:p>
        </w:tc>
        <w:tc>
          <w:tcPr>
            <w:tcW w:w="140" w:type="dxa"/>
            <w:vAlign w:val="bottom"/>
          </w:tcPr>
          <w:p>
            <w:pPr>
              <w:spacing w:after="0"/>
              <w:rPr>
                <w:sz w:val="17"/>
                <w:szCs w:val="17"/>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Gross Unrealized</w:t>
            </w:r>
          </w:p>
        </w:tc>
        <w:tc>
          <w:tcPr>
            <w:tcW w:w="360" w:type="dxa"/>
            <w:vAlign w:val="bottom"/>
          </w:tcPr>
          <w:p>
            <w:pPr>
              <w:spacing w:after="0"/>
              <w:rPr>
                <w:sz w:val="17"/>
                <w:szCs w:val="17"/>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Fair</w:t>
            </w:r>
          </w:p>
        </w:tc>
      </w:tr>
      <w:tr>
        <w:trPr>
          <w:trHeight w:val="210"/>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Cost</w:t>
            </w:r>
          </w:p>
        </w:tc>
        <w:tc>
          <w:tcPr>
            <w:tcW w:w="16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Gains</w:t>
            </w:r>
          </w:p>
        </w:tc>
        <w:tc>
          <w:tcPr>
            <w:tcW w:w="14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9"/>
              </w:rPr>
              <w:t>Losses</w:t>
            </w:r>
          </w:p>
        </w:tc>
        <w:tc>
          <w:tcPr>
            <w:tcW w:w="360" w:type="dxa"/>
            <w:vAlign w:val="bottom"/>
          </w:tcPr>
          <w:p>
            <w:pPr>
              <w:spacing w:after="0"/>
              <w:rPr>
                <w:sz w:val="18"/>
                <w:szCs w:val="18"/>
                <w:color w:val="auto"/>
              </w:rPr>
            </w:pPr>
          </w:p>
        </w:tc>
        <w:tc>
          <w:tcPr>
            <w:tcW w:w="1220" w:type="dxa"/>
            <w:vAlign w:val="bottom"/>
          </w:tcPr>
          <w:p>
            <w:pPr>
              <w:jc w:val="right"/>
              <w:ind w:right="519"/>
              <w:spacing w:after="0"/>
              <w:rPr>
                <w:sz w:val="20"/>
                <w:szCs w:val="20"/>
                <w:color w:val="auto"/>
              </w:rPr>
            </w:pPr>
            <w:r>
              <w:rPr>
                <w:rFonts w:ascii="Arial" w:cs="Arial" w:eastAsia="Arial" w:hAnsi="Arial"/>
                <w:sz w:val="16"/>
                <w:szCs w:val="16"/>
                <w:b w:val="1"/>
                <w:bCs w:val="1"/>
                <w:color w:val="auto"/>
              </w:rPr>
              <w:t>Value</w:t>
            </w:r>
          </w:p>
        </w:tc>
      </w:tr>
      <w:tr>
        <w:trPr>
          <w:trHeight w:val="33"/>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March 31, 2019</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77"/>
        </w:trPr>
        <w:tc>
          <w:tcPr>
            <w:tcW w:w="47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 Treasuries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142,409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141,855</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4,812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5,101</w:t>
            </w: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State and political subdivisions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217,120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222,180</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Residential mortgage-backed securities</w:t>
            </w: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1,414,612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9,222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9,749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1,414,085</w:t>
            </w: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345,198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343,339</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Corporate bonds</w:t>
            </w: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200,471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506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200,676</w:t>
            </w: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Asset-backed securities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128,359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127,389</w:t>
            </w:r>
          </w:p>
        </w:tc>
      </w:tr>
      <w:tr>
        <w:trPr>
          <w:trHeight w:val="284"/>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2,452,981</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15,781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14,137</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2,454,625</w:t>
            </w:r>
          </w:p>
        </w:tc>
      </w:tr>
      <w:tr>
        <w:trPr>
          <w:trHeight w:val="271"/>
        </w:trPr>
        <w:tc>
          <w:tcPr>
            <w:tcW w:w="47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2018</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47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r>
      <w:tr>
        <w:trPr>
          <w:trHeight w:val="277"/>
        </w:trPr>
        <w:tc>
          <w:tcPr>
            <w:tcW w:w="47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U.S. Treasuries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150,712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767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2,172</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149,307</w:t>
            </w: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 Government agencies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25,553</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State and political subdivisions</w:t>
            </w: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234,750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907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1,716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233,941</w:t>
            </w: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Residential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1,464,380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21,898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1,445,910</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Commercial mortgage-backed securities</w:t>
            </w: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399,663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7,933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391,917</w:t>
            </w: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200,582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199,163</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Asset-backed securities</w:t>
            </w: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184,683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328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2,335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182,676</w:t>
            </w:r>
          </w:p>
        </w:tc>
      </w:tr>
      <w:tr>
        <w:trPr>
          <w:trHeight w:val="33"/>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2,660,263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38,250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2,628,467</w:t>
            </w: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Securities with a carrying value of $842 million and $925 million were pledged to secure public deposits, derivatives and other secured borrowings at March 31, 2019 and December 31, 2018, respectively.</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 summarizes debt securities held-to-maturity in an unrealized loss position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gridSpan w:val="5"/>
          </w:tcPr>
          <w:p>
            <w:pPr>
              <w:ind w:left="440"/>
              <w:spacing w:after="0"/>
              <w:rPr>
                <w:sz w:val="20"/>
                <w:szCs w:val="20"/>
                <w:color w:val="auto"/>
              </w:rPr>
            </w:pPr>
            <w:r>
              <w:rPr>
                <w:rFonts w:ascii="Arial" w:cs="Arial" w:eastAsia="Arial" w:hAnsi="Arial"/>
                <w:sz w:val="16"/>
                <w:szCs w:val="16"/>
                <w:b w:val="1"/>
                <w:bCs w:val="1"/>
                <w:color w:val="auto"/>
              </w:rPr>
              <w:t>Less than 12 Months</w:t>
            </w:r>
          </w:p>
        </w:tc>
        <w:tc>
          <w:tcPr>
            <w:tcW w:w="180" w:type="dxa"/>
            <w:vAlign w:val="bottom"/>
          </w:tcPr>
          <w:p>
            <w:pPr>
              <w:spacing w:after="0"/>
              <w:rPr>
                <w:sz w:val="18"/>
                <w:szCs w:val="18"/>
                <w:color w:val="auto"/>
              </w:rPr>
            </w:pPr>
          </w:p>
        </w:tc>
        <w:tc>
          <w:tcPr>
            <w:tcW w:w="2520" w:type="dxa"/>
            <w:vAlign w:val="bottom"/>
            <w:gridSpan w:val="5"/>
          </w:tcPr>
          <w:p>
            <w:pPr>
              <w:ind w:left="460"/>
              <w:spacing w:after="0"/>
              <w:rPr>
                <w:sz w:val="20"/>
                <w:szCs w:val="20"/>
                <w:color w:val="auto"/>
              </w:rPr>
            </w:pPr>
            <w:r>
              <w:rPr>
                <w:rFonts w:ascii="Arial" w:cs="Arial" w:eastAsia="Arial" w:hAnsi="Arial"/>
                <w:sz w:val="16"/>
                <w:szCs w:val="16"/>
                <w:b w:val="1"/>
                <w:bCs w:val="1"/>
                <w:color w:val="auto"/>
              </w:rPr>
              <w:t>12 Months or More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6"/>
                <w:szCs w:val="16"/>
                <w:b w:val="1"/>
                <w:bCs w:val="1"/>
                <w:color w:val="auto"/>
                <w:w w:val="88"/>
              </w:rPr>
              <w:t>Total</w:t>
            </w:r>
          </w:p>
        </w:tc>
        <w:tc>
          <w:tcPr>
            <w:tcW w:w="10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Unrealized</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Unrealized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Unrealized</w:t>
            </w:r>
          </w:p>
        </w:tc>
      </w:tr>
      <w:tr>
        <w:trPr>
          <w:trHeight w:val="210"/>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Arial" w:cs="Arial" w:eastAsia="Arial" w:hAnsi="Arial"/>
                <w:sz w:val="16"/>
                <w:szCs w:val="16"/>
                <w:b w:val="1"/>
                <w:bCs w:val="1"/>
                <w:color w:val="auto"/>
              </w:rPr>
              <w:t>Fair Value</w:t>
            </w: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5"/>
              </w:rPr>
              <w:t>Loss</w:t>
            </w:r>
          </w:p>
        </w:tc>
        <w:tc>
          <w:tcPr>
            <w:tcW w:w="18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Fair Value</w:t>
            </w: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5"/>
              </w:rPr>
              <w:t>Loss</w:t>
            </w:r>
          </w:p>
        </w:tc>
        <w:tc>
          <w:tcPr>
            <w:tcW w:w="18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79"/>
              <w:spacing w:after="0"/>
              <w:rPr>
                <w:sz w:val="20"/>
                <w:szCs w:val="20"/>
                <w:color w:val="auto"/>
              </w:rPr>
            </w:pPr>
            <w:r>
              <w:rPr>
                <w:rFonts w:ascii="Arial" w:cs="Arial" w:eastAsia="Arial" w:hAnsi="Arial"/>
                <w:sz w:val="16"/>
                <w:szCs w:val="16"/>
                <w:b w:val="1"/>
                <w:bCs w:val="1"/>
                <w:color w:val="auto"/>
              </w:rPr>
              <w:t>Loss</w:t>
            </w:r>
          </w:p>
        </w:tc>
      </w:tr>
      <w:tr>
        <w:trPr>
          <w:trHeight w:val="33"/>
        </w:trPr>
        <w:tc>
          <w:tcPr>
            <w:tcW w:w="3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March 31, 2019</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77"/>
        </w:trPr>
        <w:tc>
          <w:tcPr>
            <w:tcW w:w="33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State and political subdivisions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22,356</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456</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Residential mortgage-backed securities</w:t>
            </w:r>
          </w:p>
        </w:tc>
        <w:tc>
          <w:tcPr>
            <w:tcW w:w="1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112,921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2,532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112,921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2,532</w:t>
            </w:r>
          </w:p>
        </w:tc>
      </w:tr>
      <w:tr>
        <w:trPr>
          <w:trHeight w:val="33"/>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 mortgage-backed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4,095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4,095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r>
      <w:tr>
        <w:trPr>
          <w:trHeight w:val="284"/>
        </w:trPr>
        <w:tc>
          <w:tcPr>
            <w:tcW w:w="33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unrealized loss position</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139,372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3,056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139,372</w:t>
            </w:r>
          </w:p>
        </w:tc>
        <w:tc>
          <w:tcPr>
            <w:tcW w:w="10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3,056</w:t>
            </w:r>
          </w:p>
        </w:tc>
      </w:tr>
      <w:tr>
        <w:trPr>
          <w:trHeight w:val="271"/>
        </w:trPr>
        <w:tc>
          <w:tcPr>
            <w:tcW w:w="33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2018</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33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77"/>
        </w:trPr>
        <w:tc>
          <w:tcPr>
            <w:tcW w:w="33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State and political subdivisions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7,062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34,146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2,145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41,208</w:t>
            </w:r>
          </w:p>
        </w:tc>
        <w:tc>
          <w:tcPr>
            <w:tcW w:w="4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2,191</w:t>
            </w:r>
          </w:p>
        </w:tc>
      </w:tr>
      <w:tr>
        <w:trPr>
          <w:trHeight w:val="33"/>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Residential mortgage-backed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136,376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142,955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5,094</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Commercial mortgage-backed securities</w:t>
            </w:r>
          </w:p>
        </w:tc>
        <w:tc>
          <w:tcPr>
            <w:tcW w:w="1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4,290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4,290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96</w:t>
            </w:r>
          </w:p>
        </w:tc>
      </w:tr>
      <w:tr>
        <w:trPr>
          <w:trHeight w:val="33"/>
        </w:trPr>
        <w:tc>
          <w:tcPr>
            <w:tcW w:w="3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unrealized loss position</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13,641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174,812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7,274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188,453</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7,381</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1" w:right="2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summarizes debt securities available-for-sale in an unrealized loss position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gridSpan w:val="5"/>
          </w:tcPr>
          <w:p>
            <w:pPr>
              <w:ind w:left="440"/>
              <w:spacing w:after="0"/>
              <w:rPr>
                <w:sz w:val="20"/>
                <w:szCs w:val="20"/>
                <w:color w:val="auto"/>
              </w:rPr>
            </w:pPr>
            <w:r>
              <w:rPr>
                <w:rFonts w:ascii="Arial" w:cs="Arial" w:eastAsia="Arial" w:hAnsi="Arial"/>
                <w:sz w:val="16"/>
                <w:szCs w:val="16"/>
                <w:b w:val="1"/>
                <w:bCs w:val="1"/>
                <w:color w:val="auto"/>
              </w:rPr>
              <w:t>Less than 12 Months</w:t>
            </w:r>
          </w:p>
        </w:tc>
        <w:tc>
          <w:tcPr>
            <w:tcW w:w="180" w:type="dxa"/>
            <w:vAlign w:val="bottom"/>
          </w:tcPr>
          <w:p>
            <w:pPr>
              <w:spacing w:after="0"/>
              <w:rPr>
                <w:sz w:val="18"/>
                <w:szCs w:val="18"/>
                <w:color w:val="auto"/>
              </w:rPr>
            </w:pPr>
          </w:p>
        </w:tc>
        <w:tc>
          <w:tcPr>
            <w:tcW w:w="2520" w:type="dxa"/>
            <w:vAlign w:val="bottom"/>
            <w:gridSpan w:val="5"/>
          </w:tcPr>
          <w:p>
            <w:pPr>
              <w:ind w:left="460"/>
              <w:spacing w:after="0"/>
              <w:rPr>
                <w:sz w:val="20"/>
                <w:szCs w:val="20"/>
                <w:color w:val="auto"/>
              </w:rPr>
            </w:pPr>
            <w:r>
              <w:rPr>
                <w:rFonts w:ascii="Arial" w:cs="Arial" w:eastAsia="Arial" w:hAnsi="Arial"/>
                <w:sz w:val="16"/>
                <w:szCs w:val="16"/>
                <w:b w:val="1"/>
                <w:bCs w:val="1"/>
                <w:color w:val="auto"/>
              </w:rPr>
              <w:t>12 Months or More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6"/>
                <w:szCs w:val="16"/>
                <w:b w:val="1"/>
                <w:bCs w:val="1"/>
                <w:color w:val="auto"/>
                <w:w w:val="88"/>
              </w:rPr>
              <w:t>Total</w:t>
            </w:r>
          </w:p>
        </w:tc>
        <w:tc>
          <w:tcPr>
            <w:tcW w:w="10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Unrealized</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Unrealized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Unrealized</w:t>
            </w:r>
          </w:p>
        </w:tc>
      </w:tr>
      <w:tr>
        <w:trPr>
          <w:trHeight w:val="210"/>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Arial" w:cs="Arial" w:eastAsia="Arial" w:hAnsi="Arial"/>
                <w:sz w:val="16"/>
                <w:szCs w:val="16"/>
                <w:b w:val="1"/>
                <w:bCs w:val="1"/>
                <w:color w:val="auto"/>
              </w:rPr>
              <w:t>Fair Value</w:t>
            </w: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5"/>
              </w:rPr>
              <w:t>Loss</w:t>
            </w:r>
          </w:p>
        </w:tc>
        <w:tc>
          <w:tcPr>
            <w:tcW w:w="18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Fair Value</w:t>
            </w: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5"/>
              </w:rPr>
              <w:t>Loss</w:t>
            </w:r>
          </w:p>
        </w:tc>
        <w:tc>
          <w:tcPr>
            <w:tcW w:w="18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79"/>
              <w:spacing w:after="0"/>
              <w:rPr>
                <w:sz w:val="20"/>
                <w:szCs w:val="20"/>
                <w:color w:val="auto"/>
              </w:rPr>
            </w:pPr>
            <w:r>
              <w:rPr>
                <w:rFonts w:ascii="Arial" w:cs="Arial" w:eastAsia="Arial" w:hAnsi="Arial"/>
                <w:sz w:val="16"/>
                <w:szCs w:val="16"/>
                <w:b w:val="1"/>
                <w:bCs w:val="1"/>
                <w:color w:val="auto"/>
              </w:rPr>
              <w:t>Loss</w:t>
            </w:r>
          </w:p>
        </w:tc>
      </w:tr>
      <w:tr>
        <w:trPr>
          <w:trHeight w:val="33"/>
        </w:trPr>
        <w:tc>
          <w:tcPr>
            <w:tcW w:w="3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March 31, 2019</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77"/>
        </w:trPr>
        <w:tc>
          <w:tcPr>
            <w:tcW w:w="33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 Treasuries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122,122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122,122</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576</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1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471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471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33"/>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State and political subdivisions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Residential mortgage-backed securities</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47,263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665,525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9,105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712,788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9,749</w:t>
            </w:r>
          </w:p>
        </w:tc>
      </w:tr>
      <w:tr>
        <w:trPr>
          <w:trHeight w:val="33"/>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 mortgage-backed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237,883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237,883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2,291</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Corporate bonds</w:t>
            </w:r>
          </w:p>
        </w:tc>
        <w:tc>
          <w:tcPr>
            <w:tcW w:w="1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108,272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108,272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301</w:t>
            </w:r>
          </w:p>
        </w:tc>
      </w:tr>
      <w:tr>
        <w:trPr>
          <w:trHeight w:val="33"/>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Asset-backed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71,224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17,825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89,049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1,153</w:t>
            </w:r>
          </w:p>
        </w:tc>
      </w:tr>
      <w:tr>
        <w:trPr>
          <w:trHeight w:val="284"/>
        </w:trPr>
        <w:tc>
          <w:tcPr>
            <w:tcW w:w="33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unrealized loss position</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118,902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1,365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1,170,284</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12,772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1,289,186</w:t>
            </w:r>
          </w:p>
        </w:tc>
        <w:tc>
          <w:tcPr>
            <w:tcW w:w="10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14,137</w:t>
            </w:r>
          </w:p>
        </w:tc>
      </w:tr>
      <w:tr>
        <w:trPr>
          <w:trHeight w:val="271"/>
        </w:trPr>
        <w:tc>
          <w:tcPr>
            <w:tcW w:w="33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2018</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33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77"/>
        </w:trPr>
        <w:tc>
          <w:tcPr>
            <w:tcW w:w="33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U.S. Treasuries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120,391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2,172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120,391</w:t>
            </w:r>
          </w:p>
        </w:tc>
        <w:tc>
          <w:tcPr>
            <w:tcW w:w="4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2,172</w:t>
            </w:r>
          </w:p>
        </w:tc>
      </w:tr>
      <w:tr>
        <w:trPr>
          <w:trHeight w:val="33"/>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 Government agencies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State and political subdivisions</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15,160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133,500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1,688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148,660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1,716</w:t>
            </w:r>
          </w:p>
        </w:tc>
      </w:tr>
      <w:tr>
        <w:trPr>
          <w:trHeight w:val="33"/>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Residential mortgage-backed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234,583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775,360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1,009,943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21,898</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Commercial mortgage-backed securities</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4,552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594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355,292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7,339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359,844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7,933</w:t>
            </w:r>
          </w:p>
        </w:tc>
      </w:tr>
      <w:tr>
        <w:trPr>
          <w:trHeight w:val="33"/>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117,296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117,296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1,921</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Asset-backed securities</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74,492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1,879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31,968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106,460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2,335</w:t>
            </w:r>
          </w:p>
        </w:tc>
      </w:tr>
      <w:tr>
        <w:trPr>
          <w:trHeight w:val="33"/>
        </w:trPr>
        <w:tc>
          <w:tcPr>
            <w:tcW w:w="3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unrealized loss position</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328,787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3,309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1,555,326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34,941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1,884,113</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38,250</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March 31, 2019, there were 174 debt securities available-for-sale and 56 debt securities held-to-maturity that were in an unrealized loss position. United does not intend to sell nor believes it will be required to sell securities in an unrealized loss position prior to the recovery of their amortized cost basis. Unrealized losses at March 31, 2019 were primarily attributable to changes in interest rates.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evaluates securities for other-than-temporary impairment on a quarterly basis, and more frequently when economic or market concerns warrant such evaluation. Consideration is given to the length of time and the extent to which the fair value has been less than cost, the financial condition and near-term prospects of the issuer, among other factors. In analyzing an issuer’s financial condition, management considers whether the securities are issued by the federal government or its agencies, whether downgrades by bond rating agencies have occurred, and industry analysts’ reports. No impairment charges were recognized during the three months ended March 31, 2019 or 2018.</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Realized gains and losses are derived using the specific identification method for determining the cost of securities sold. The following table summarizes available-for-sale securities sales activity for the three months ended March 31, 2019 and 2018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80" w:type="dxa"/>
            <w:vAlign w:val="bottom"/>
          </w:tcPr>
          <w:p>
            <w:pPr>
              <w:spacing w:after="0"/>
              <w:rPr>
                <w:sz w:val="18"/>
                <w:szCs w:val="18"/>
                <w:color w:val="auto"/>
              </w:rPr>
            </w:pPr>
          </w:p>
        </w:tc>
        <w:tc>
          <w:tcPr>
            <w:tcW w:w="4540" w:type="dxa"/>
            <w:vAlign w:val="bottom"/>
            <w:gridSpan w:val="6"/>
          </w:tcPr>
          <w:p>
            <w:pPr>
              <w:ind w:left="100"/>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68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160" w:type="dxa"/>
            <w:vAlign w:val="bottom"/>
          </w:tcPr>
          <w:p>
            <w:pPr>
              <w:spacing w:after="0"/>
              <w:rPr>
                <w:sz w:val="2"/>
                <w:szCs w:val="2"/>
                <w:color w:val="auto"/>
              </w:rPr>
            </w:pPr>
          </w:p>
        </w:tc>
      </w:tr>
      <w:tr>
        <w:trPr>
          <w:trHeight w:val="231"/>
        </w:trPr>
        <w:tc>
          <w:tcPr>
            <w:tcW w:w="6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2160" w:type="dxa"/>
            <w:vAlign w:val="bottom"/>
          </w:tcPr>
          <w:p>
            <w:pPr>
              <w:spacing w:after="0"/>
              <w:rPr>
                <w:sz w:val="20"/>
                <w:szCs w:val="20"/>
                <w:color w:val="auto"/>
              </w:rPr>
            </w:pPr>
          </w:p>
        </w:tc>
      </w:tr>
      <w:tr>
        <w:trPr>
          <w:trHeight w:val="33"/>
        </w:trPr>
        <w:tc>
          <w:tcPr>
            <w:tcW w:w="6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r>
      <w:tr>
        <w:trPr>
          <w:trHeight w:val="277"/>
        </w:trPr>
        <w:tc>
          <w:tcPr>
            <w:tcW w:w="68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r>
      <w:tr>
        <w:trPr>
          <w:trHeight w:val="290"/>
        </w:trPr>
        <w:tc>
          <w:tcPr>
            <w:tcW w:w="6880" w:type="dxa"/>
            <w:vAlign w:val="bottom"/>
            <w:tcBorders>
              <w:bottom w:val="single" w:sz="8" w:color="CCEEFF"/>
            </w:tcBorders>
          </w:tcPr>
          <w:p>
            <w:pPr>
              <w:ind w:left="2340"/>
              <w:spacing w:after="0"/>
              <w:rPr>
                <w:sz w:val="20"/>
                <w:szCs w:val="20"/>
                <w:color w:val="auto"/>
              </w:rPr>
            </w:pPr>
            <w:r>
              <w:rPr>
                <w:rFonts w:ascii="Arial" w:cs="Arial" w:eastAsia="Arial" w:hAnsi="Arial"/>
                <w:sz w:val="16"/>
                <w:szCs w:val="16"/>
                <w:color w:val="auto"/>
              </w:rPr>
              <w:t>Proceeds from sales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178,604</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113,961</w:t>
            </w:r>
          </w:p>
        </w:tc>
        <w:tc>
          <w:tcPr>
            <w:tcW w:w="2160" w:type="dxa"/>
            <w:vAlign w:val="bottom"/>
            <w:tcBorders>
              <w:bottom w:val="single" w:sz="8" w:color="CCEEFF"/>
            </w:tcBorders>
          </w:tcPr>
          <w:p>
            <w:pPr>
              <w:spacing w:after="0"/>
              <w:rPr>
                <w:sz w:val="24"/>
                <w:szCs w:val="24"/>
                <w:color w:val="auto"/>
              </w:rPr>
            </w:pPr>
          </w:p>
        </w:tc>
      </w:tr>
      <w:tr>
        <w:trPr>
          <w:trHeight w:val="271"/>
        </w:trPr>
        <w:tc>
          <w:tcPr>
            <w:tcW w:w="68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160" w:type="dxa"/>
            <w:vAlign w:val="bottom"/>
            <w:shd w:val="clear" w:color="auto" w:fill="CCEEFF"/>
          </w:tcPr>
          <w:p>
            <w:pPr>
              <w:spacing w:after="0"/>
              <w:rPr>
                <w:sz w:val="23"/>
                <w:szCs w:val="23"/>
                <w:color w:val="auto"/>
              </w:rPr>
            </w:pPr>
          </w:p>
        </w:tc>
      </w:tr>
      <w:tr>
        <w:trPr>
          <w:trHeight w:val="237"/>
        </w:trPr>
        <w:tc>
          <w:tcPr>
            <w:tcW w:w="6880" w:type="dxa"/>
            <w:vAlign w:val="bottom"/>
          </w:tcPr>
          <w:p>
            <w:pPr>
              <w:ind w:left="2340"/>
              <w:spacing w:after="0"/>
              <w:rPr>
                <w:sz w:val="20"/>
                <w:szCs w:val="20"/>
                <w:color w:val="auto"/>
              </w:rPr>
            </w:pPr>
            <w:r>
              <w:rPr>
                <w:rFonts w:ascii="Arial" w:cs="Arial" w:eastAsia="Arial" w:hAnsi="Arial"/>
                <w:sz w:val="16"/>
                <w:szCs w:val="16"/>
                <w:color w:val="auto"/>
              </w:rPr>
              <w:t>Gross gains on sales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1,287</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417</w:t>
            </w:r>
          </w:p>
        </w:tc>
        <w:tc>
          <w:tcPr>
            <w:tcW w:w="2160" w:type="dxa"/>
            <w:vAlign w:val="bottom"/>
          </w:tcPr>
          <w:p>
            <w:pPr>
              <w:spacing w:after="0"/>
              <w:rPr>
                <w:sz w:val="20"/>
                <w:szCs w:val="20"/>
                <w:color w:val="auto"/>
              </w:rPr>
            </w:pPr>
          </w:p>
        </w:tc>
      </w:tr>
      <w:tr>
        <w:trPr>
          <w:trHeight w:val="33"/>
        </w:trPr>
        <w:tc>
          <w:tcPr>
            <w:tcW w:w="6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6880" w:type="dxa"/>
            <w:vAlign w:val="bottom"/>
            <w:tcBorders>
              <w:bottom w:val="single" w:sz="8" w:color="CCEEFF"/>
            </w:tcBorders>
            <w:shd w:val="clear" w:color="auto" w:fill="CCEEFF"/>
          </w:tcPr>
          <w:p>
            <w:pPr>
              <w:ind w:left="2340"/>
              <w:spacing w:after="0"/>
              <w:rPr>
                <w:sz w:val="20"/>
                <w:szCs w:val="20"/>
                <w:color w:val="auto"/>
              </w:rPr>
            </w:pPr>
            <w:r>
              <w:rPr>
                <w:rFonts w:ascii="Arial" w:cs="Arial" w:eastAsia="Arial" w:hAnsi="Arial"/>
                <w:sz w:val="16"/>
                <w:szCs w:val="16"/>
                <w:color w:val="auto"/>
              </w:rPr>
              <w:t>Gross losses on sales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(1,357)</w:t>
            </w:r>
          </w:p>
        </w:tc>
        <w:tc>
          <w:tcPr>
            <w:tcW w:w="2160" w:type="dxa"/>
            <w:vAlign w:val="bottom"/>
            <w:tcBorders>
              <w:bottom w:val="single" w:sz="8" w:color="CCEEFF"/>
            </w:tcBorders>
            <w:shd w:val="clear" w:color="auto" w:fill="CCEEFF"/>
          </w:tcPr>
          <w:p>
            <w:pPr>
              <w:spacing w:after="0"/>
              <w:rPr>
                <w:sz w:val="23"/>
                <w:szCs w:val="23"/>
                <w:color w:val="auto"/>
              </w:rPr>
            </w:pPr>
          </w:p>
        </w:tc>
      </w:tr>
      <w:tr>
        <w:trPr>
          <w:trHeight w:val="284"/>
        </w:trPr>
        <w:tc>
          <w:tcPr>
            <w:tcW w:w="6880" w:type="dxa"/>
            <w:vAlign w:val="bottom"/>
            <w:tcBorders>
              <w:bottom w:val="single" w:sz="8" w:color="CCEEFF"/>
            </w:tcBorders>
          </w:tcPr>
          <w:p>
            <w:pPr>
              <w:ind w:left="2460"/>
              <w:spacing w:after="0"/>
              <w:rPr>
                <w:sz w:val="20"/>
                <w:szCs w:val="20"/>
                <w:color w:val="auto"/>
              </w:rPr>
            </w:pPr>
            <w:r>
              <w:rPr>
                <w:rFonts w:ascii="Arial" w:cs="Arial" w:eastAsia="Arial" w:hAnsi="Arial"/>
                <w:sz w:val="16"/>
                <w:szCs w:val="16"/>
                <w:color w:val="auto"/>
              </w:rPr>
              <w:t>Net losses on sales of securities</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(940)</w:t>
            </w:r>
          </w:p>
        </w:tc>
        <w:tc>
          <w:tcPr>
            <w:tcW w:w="2160" w:type="dxa"/>
            <w:vAlign w:val="bottom"/>
            <w:tcBorders>
              <w:bottom w:val="single" w:sz="8" w:color="CCEEFF"/>
            </w:tcBorders>
          </w:tcPr>
          <w:p>
            <w:pPr>
              <w:spacing w:after="0"/>
              <w:rPr>
                <w:sz w:val="24"/>
                <w:szCs w:val="24"/>
                <w:color w:val="auto"/>
              </w:rPr>
            </w:pPr>
          </w:p>
        </w:tc>
      </w:tr>
      <w:tr>
        <w:trPr>
          <w:trHeight w:val="271"/>
        </w:trPr>
        <w:tc>
          <w:tcPr>
            <w:tcW w:w="68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160" w:type="dxa"/>
            <w:vAlign w:val="bottom"/>
            <w:shd w:val="clear" w:color="auto" w:fill="CCEEFF"/>
          </w:tcPr>
          <w:p>
            <w:pPr>
              <w:spacing w:after="0"/>
              <w:rPr>
                <w:sz w:val="23"/>
                <w:szCs w:val="23"/>
                <w:color w:val="auto"/>
              </w:rPr>
            </w:pPr>
          </w:p>
        </w:tc>
      </w:tr>
      <w:tr>
        <w:trPr>
          <w:trHeight w:val="250"/>
        </w:trPr>
        <w:tc>
          <w:tcPr>
            <w:tcW w:w="6880" w:type="dxa"/>
            <w:vAlign w:val="bottom"/>
          </w:tcPr>
          <w:p>
            <w:pPr>
              <w:ind w:left="2340"/>
              <w:spacing w:after="0"/>
              <w:rPr>
                <w:sz w:val="20"/>
                <w:szCs w:val="20"/>
                <w:color w:val="auto"/>
              </w:rPr>
            </w:pPr>
            <w:r>
              <w:rPr>
                <w:rFonts w:ascii="Arial" w:cs="Arial" w:eastAsia="Arial" w:hAnsi="Arial"/>
                <w:sz w:val="16"/>
                <w:szCs w:val="16"/>
                <w:color w:val="auto"/>
              </w:rPr>
              <w:t>Income tax benefit attributable to sales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w:t>
            </w:r>
          </w:p>
        </w:tc>
        <w:tc>
          <w:tcPr>
            <w:tcW w:w="2160" w:type="dxa"/>
            <w:vAlign w:val="bottom"/>
          </w:tcPr>
          <w:p>
            <w:pPr>
              <w:spacing w:after="0"/>
              <w:rPr>
                <w:sz w:val="21"/>
                <w:szCs w:val="21"/>
                <w:color w:val="auto"/>
              </w:rPr>
            </w:pPr>
          </w:p>
        </w:tc>
      </w:tr>
      <w:tr>
        <w:trPr>
          <w:trHeight w:val="20"/>
        </w:trPr>
        <w:tc>
          <w:tcPr>
            <w:tcW w:w="6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1" w:right="2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amortized cost and fair value of debt securities available-for-sale and held-to-maturity at March 31, 2019, by contractual maturity, are presented in the following table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80" w:type="dxa"/>
            <w:vAlign w:val="bottom"/>
            <w:gridSpan w:val="5"/>
          </w:tcPr>
          <w:p>
            <w:pPr>
              <w:ind w:left="920"/>
              <w:spacing w:after="0"/>
              <w:rPr>
                <w:sz w:val="20"/>
                <w:szCs w:val="20"/>
                <w:color w:val="auto"/>
              </w:rPr>
            </w:pPr>
            <w:r>
              <w:rPr>
                <w:rFonts w:ascii="Arial" w:cs="Arial" w:eastAsia="Arial" w:hAnsi="Arial"/>
                <w:sz w:val="18"/>
                <w:szCs w:val="18"/>
                <w:b w:val="1"/>
                <w:bCs w:val="1"/>
                <w:color w:val="auto"/>
              </w:rPr>
              <w:t>Available-for-Sale</w:t>
            </w:r>
          </w:p>
        </w:tc>
        <w:tc>
          <w:tcPr>
            <w:tcW w:w="180" w:type="dxa"/>
            <w:vAlign w:val="bottom"/>
          </w:tcPr>
          <w:p>
            <w:pPr>
              <w:spacing w:after="0"/>
              <w:rPr>
                <w:sz w:val="20"/>
                <w:szCs w:val="20"/>
                <w:color w:val="auto"/>
              </w:rPr>
            </w:pPr>
          </w:p>
        </w:tc>
        <w:tc>
          <w:tcPr>
            <w:tcW w:w="3340" w:type="dxa"/>
            <w:vAlign w:val="bottom"/>
            <w:gridSpan w:val="4"/>
          </w:tcPr>
          <w:p>
            <w:pPr>
              <w:jc w:val="right"/>
              <w:ind w:right="990"/>
              <w:spacing w:after="0"/>
              <w:rPr>
                <w:sz w:val="20"/>
                <w:szCs w:val="20"/>
                <w:color w:val="auto"/>
              </w:rPr>
            </w:pPr>
            <w:r>
              <w:rPr>
                <w:rFonts w:ascii="Arial" w:cs="Arial" w:eastAsia="Arial" w:hAnsi="Arial"/>
                <w:sz w:val="18"/>
                <w:szCs w:val="18"/>
                <w:b w:val="1"/>
                <w:bCs w:val="1"/>
                <w:color w:val="auto"/>
              </w:rPr>
              <w:t>Held-to-Maturity</w:t>
            </w:r>
          </w:p>
        </w:tc>
      </w:tr>
      <w:tr>
        <w:trPr>
          <w:trHeight w:val="27"/>
        </w:trPr>
        <w:tc>
          <w:tcPr>
            <w:tcW w:w="4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Amortized Cost</w:t>
            </w:r>
          </w:p>
        </w:tc>
        <w:tc>
          <w:tcPr>
            <w:tcW w:w="280" w:type="dxa"/>
            <w:vAlign w:val="bottom"/>
          </w:tcPr>
          <w:p>
            <w:pPr>
              <w:spacing w:after="0"/>
              <w:rPr>
                <w:sz w:val="20"/>
                <w:szCs w:val="20"/>
                <w:color w:val="auto"/>
              </w:rPr>
            </w:pPr>
          </w:p>
        </w:tc>
        <w:tc>
          <w:tcPr>
            <w:tcW w:w="1520" w:type="dxa"/>
            <w:vAlign w:val="bottom"/>
            <w:gridSpan w:val="2"/>
          </w:tcPr>
          <w:p>
            <w:pPr>
              <w:ind w:left="16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20"/>
                <w:szCs w:val="20"/>
                <w:color w:val="auto"/>
              </w:rPr>
            </w:pPr>
          </w:p>
        </w:tc>
        <w:tc>
          <w:tcPr>
            <w:tcW w:w="1640" w:type="dxa"/>
            <w:vAlign w:val="bottom"/>
            <w:gridSpan w:val="2"/>
          </w:tcPr>
          <w:p>
            <w:pPr>
              <w:ind w:left="80"/>
              <w:spacing w:after="0"/>
              <w:rPr>
                <w:sz w:val="20"/>
                <w:szCs w:val="20"/>
                <w:color w:val="auto"/>
              </w:rPr>
            </w:pPr>
            <w:r>
              <w:rPr>
                <w:rFonts w:ascii="Arial" w:cs="Arial" w:eastAsia="Arial" w:hAnsi="Arial"/>
                <w:sz w:val="18"/>
                <w:szCs w:val="18"/>
                <w:b w:val="1"/>
                <w:bCs w:val="1"/>
                <w:color w:val="auto"/>
              </w:rPr>
              <w:t>Amortized Cost</w:t>
            </w:r>
          </w:p>
        </w:tc>
        <w:tc>
          <w:tcPr>
            <w:tcW w:w="280" w:type="dxa"/>
            <w:vAlign w:val="bottom"/>
          </w:tcPr>
          <w:p>
            <w:pPr>
              <w:spacing w:after="0"/>
              <w:rPr>
                <w:sz w:val="20"/>
                <w:szCs w:val="20"/>
                <w:color w:val="auto"/>
              </w:rPr>
            </w:pPr>
          </w:p>
        </w:tc>
        <w:tc>
          <w:tcPr>
            <w:tcW w:w="1420" w:type="dxa"/>
            <w:vAlign w:val="bottom"/>
          </w:tcPr>
          <w:p>
            <w:pPr>
              <w:jc w:val="right"/>
              <w:ind w:right="35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4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Treasuries:</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1 to 5 years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142,409</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141,855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4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142,409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141,855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4"/>
        </w:trPr>
        <w:tc>
          <w:tcPr>
            <w:tcW w:w="424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5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agencies:</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1 to 5 years</w:t>
            </w:r>
          </w:p>
        </w:tc>
        <w:tc>
          <w:tcPr>
            <w:tcW w:w="18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More than 10 years</w:t>
            </w:r>
          </w:p>
        </w:tc>
        <w:tc>
          <w:tcPr>
            <w:tcW w:w="1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4,338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2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4,812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5,101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42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State and political subdivisions:</w:t>
            </w:r>
          </w:p>
        </w:tc>
        <w:tc>
          <w:tcPr>
            <w:tcW w:w="1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Within 1 year</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3,262</w:t>
            </w: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1 to 5 years</w:t>
            </w:r>
          </w:p>
        </w:tc>
        <w:tc>
          <w:tcPr>
            <w:tcW w:w="18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36,058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36,060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11,567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12,024</w:t>
            </w: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 to 10 years</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35,888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8,423</w:t>
            </w: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More than 10 years</w:t>
            </w:r>
          </w:p>
        </w:tc>
        <w:tc>
          <w:tcPr>
            <w:tcW w:w="18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144,674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148,875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42,949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42,797</w:t>
            </w:r>
          </w:p>
        </w:tc>
      </w:tr>
      <w:tr>
        <w:trPr>
          <w:trHeight w:val="27"/>
        </w:trPr>
        <w:tc>
          <w:tcPr>
            <w:tcW w:w="4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4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217,120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222,180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65,519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66,506</w:t>
            </w:r>
          </w:p>
        </w:tc>
      </w:tr>
      <w:tr>
        <w:trPr>
          <w:trHeight w:val="264"/>
        </w:trPr>
        <w:tc>
          <w:tcPr>
            <w:tcW w:w="424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5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Within 1 year</w:t>
            </w:r>
          </w:p>
        </w:tc>
        <w:tc>
          <w:tcPr>
            <w:tcW w:w="18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10,239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10,219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 to 5 years</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187,732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187,948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5 to 10 years</w:t>
            </w:r>
          </w:p>
        </w:tc>
        <w:tc>
          <w:tcPr>
            <w:tcW w:w="18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1,514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More than 10 years</w:t>
            </w:r>
          </w:p>
        </w:tc>
        <w:tc>
          <w:tcPr>
            <w:tcW w:w="1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2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200,471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200,676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42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1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 to 5 years</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More than 10 years</w:t>
            </w:r>
          </w:p>
        </w:tc>
        <w:tc>
          <w:tcPr>
            <w:tcW w:w="18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126,238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125,282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4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128,359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127,389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4"/>
        </w:trPr>
        <w:tc>
          <w:tcPr>
            <w:tcW w:w="424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5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Total securities other than mortgage-backed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Within 1 year</w:t>
            </w:r>
          </w:p>
        </w:tc>
        <w:tc>
          <w:tcPr>
            <w:tcW w:w="18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10,739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10,721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3,250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3,262</w:t>
            </w: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 to 5 years</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368,794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368,441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12,024</w:t>
            </w: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5 to 10 years</w:t>
            </w:r>
          </w:p>
        </w:tc>
        <w:tc>
          <w:tcPr>
            <w:tcW w:w="18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37,388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38,257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7,753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8,423</w:t>
            </w: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More than 10 years</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276,250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279,782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42,949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42,797</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Residential mortgage-backed securities</w:t>
            </w:r>
          </w:p>
        </w:tc>
        <w:tc>
          <w:tcPr>
            <w:tcW w:w="18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1,414,612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1,414,085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170,980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169,526</w:t>
            </w: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mortgage-backed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345,198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343,339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28,830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29,085</w:t>
            </w:r>
          </w:p>
        </w:tc>
      </w:tr>
      <w:tr>
        <w:trPr>
          <w:trHeight w:val="237"/>
        </w:trPr>
        <w:tc>
          <w:tcPr>
            <w:tcW w:w="42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2,452,981</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2,454,625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265,329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265,117</w:t>
            </w:r>
          </w:p>
        </w:tc>
      </w:tr>
      <w:tr>
        <w:trPr>
          <w:trHeight w:val="27"/>
        </w:trPr>
        <w:tc>
          <w:tcPr>
            <w:tcW w:w="4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4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Expected maturities may differ from contractual maturities because issuers and borrowers may have the right to call or prepay obligations.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Loans and Leases and Allowance for Credit Losses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Major classifications of the loan and lease portfolio (collectively referred to as the “loan portfolio” or “loans”) are summarized as of the dates indicated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 2019</w:t>
            </w: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2018</w:t>
            </w: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Owner occupied commercial real estate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1,620,068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1,647,904</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Income producing commercial real estate</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1,867,425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1,812,420</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&amp; industrial</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1,283,865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1,278,347</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Commercial construction</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865,666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796,158</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financing</w:t>
            </w: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605,984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564,614</w:t>
            </w:r>
          </w:p>
        </w:tc>
      </w:tr>
      <w:tr>
        <w:trPr>
          <w:trHeight w:val="237"/>
        </w:trPr>
        <w:tc>
          <w:tcPr>
            <w:tcW w:w="7200" w:type="dxa"/>
            <w:vAlign w:val="bottom"/>
          </w:tcPr>
          <w:p>
            <w:pPr>
              <w:ind w:left="280"/>
              <w:spacing w:after="0"/>
              <w:rPr>
                <w:sz w:val="20"/>
                <w:szCs w:val="20"/>
                <w:color w:val="auto"/>
              </w:rPr>
            </w:pPr>
            <w:r>
              <w:rPr>
                <w:rFonts w:ascii="Arial" w:cs="Arial" w:eastAsia="Arial" w:hAnsi="Arial"/>
                <w:sz w:val="18"/>
                <w:szCs w:val="18"/>
                <w:color w:val="auto"/>
              </w:rPr>
              <w:t>Total commercial</w:t>
            </w:r>
          </w:p>
        </w:tc>
        <w:tc>
          <w:tcPr>
            <w:tcW w:w="2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6,243,008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6,099,443</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mortgage</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1,063,840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1,049,232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Home equity lines of credit</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683,771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694,010</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construction</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200,708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211,011</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Consumer direct</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121,174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122,013</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Indirect auto</w:t>
            </w: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180,753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207,692</w:t>
            </w:r>
          </w:p>
        </w:tc>
      </w:tr>
      <w:tr>
        <w:trPr>
          <w:trHeight w:val="318"/>
        </w:trPr>
        <w:tc>
          <w:tcPr>
            <w:tcW w:w="72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loans</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8,493,254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8,383,401</w:t>
            </w:r>
          </w:p>
        </w:tc>
      </w:tr>
      <w:tr>
        <w:trPr>
          <w:trHeight w:val="324"/>
        </w:trPr>
        <w:tc>
          <w:tcPr>
            <w:tcW w:w="7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allowance for loan losses</w:t>
            </w: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(61,642)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(61,203)</w:t>
            </w:r>
          </w:p>
        </w:tc>
      </w:tr>
      <w:tr>
        <w:trPr>
          <w:trHeight w:val="318"/>
        </w:trPr>
        <w:tc>
          <w:tcPr>
            <w:tcW w:w="72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r>
      <w:tr>
        <w:trPr>
          <w:trHeight w:val="264"/>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8,431,612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8,322,198</w:t>
            </w:r>
          </w:p>
        </w:tc>
      </w:tr>
      <w:tr>
        <w:trPr>
          <w:trHeight w:val="20"/>
        </w:trPr>
        <w:tc>
          <w:tcPr>
            <w:tcW w:w="7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March 31, 2019 and December 31, 2018, loans totaling $4.03 billion and $3.98 billion, respectively, were pledged as collateral to secure Federal Home Loan Bank advances, securitized notes payable and other contingent funding sources.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At March 31, 2019, the carrying value and outstanding balance of purchased credit impaired (“PCI”) loans accounted for under ASC 310-30, </w:t>
      </w:r>
      <w:r>
        <w:rPr>
          <w:rFonts w:ascii="Arial" w:cs="Arial" w:eastAsia="Arial" w:hAnsi="Arial"/>
          <w:sz w:val="18"/>
          <w:szCs w:val="18"/>
          <w:i w:val="1"/>
          <w:iCs w:val="1"/>
          <w:color w:val="auto"/>
        </w:rPr>
        <w:t>Loans and Debt</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 Acquired with Deteriorated Credit Quality</w:t>
      </w:r>
      <w:r>
        <w:rPr>
          <w:rFonts w:ascii="Arial" w:cs="Arial" w:eastAsia="Arial" w:hAnsi="Arial"/>
          <w:sz w:val="18"/>
          <w:szCs w:val="18"/>
          <w:color w:val="auto"/>
        </w:rPr>
        <w:t>, were $68.7 million and $100 million, respectively. At December 31, 2018, the carrying value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outstanding balance of PCI loans were $74.4 million and $109 million, respectively. The following table presents changes in the balance of the accretable yield for PCI loans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29" w:lineRule="exact"/>
        <w:rPr>
          <w:sz w:val="20"/>
          <w:szCs w:val="20"/>
          <w:color w:val="auto"/>
        </w:rPr>
      </w:pPr>
    </w:p>
    <w:p>
      <w:pPr>
        <w:jc w:val="center"/>
        <w:ind w:left="6320"/>
        <w:spacing w:after="0"/>
        <w:rPr>
          <w:sz w:val="20"/>
          <w:szCs w:val="20"/>
          <w:color w:val="auto"/>
        </w:rPr>
      </w:pPr>
      <w:r>
        <w:rPr>
          <w:rFonts w:ascii="Arial" w:cs="Arial" w:eastAsia="Arial" w:hAnsi="Arial"/>
          <w:sz w:val="18"/>
          <w:szCs w:val="18"/>
          <w:b w:val="1"/>
          <w:bCs w:val="1"/>
          <w:color w:val="auto"/>
        </w:rPr>
        <w:t>Three Months Ended March</w:t>
      </w:r>
    </w:p>
    <w:p>
      <w:pPr>
        <w:spacing w:after="0" w:line="27" w:lineRule="exact"/>
        <w:rPr>
          <w:sz w:val="20"/>
          <w:szCs w:val="20"/>
          <w:color w:val="auto"/>
        </w:rPr>
      </w:pPr>
    </w:p>
    <w:p>
      <w:pPr>
        <w:jc w:val="center"/>
        <w:ind w:left="632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22860</wp:posOffset>
            </wp:positionV>
            <wp:extent cx="1517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360" w:type="dxa"/>
            <w:vAlign w:val="bottom"/>
          </w:tcPr>
          <w:p>
            <w:pPr>
              <w:spacing w:after="0"/>
              <w:rPr>
                <w:sz w:val="20"/>
                <w:szCs w:val="20"/>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Balance at beginning of period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17,686</w:t>
            </w: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1300"/>
              <w:spacing w:after="0"/>
              <w:rPr>
                <w:sz w:val="20"/>
                <w:szCs w:val="20"/>
                <w:color w:val="auto"/>
              </w:rPr>
            </w:pPr>
            <w:r>
              <w:rPr>
                <w:rFonts w:ascii="Arial" w:cs="Arial" w:eastAsia="Arial" w:hAnsi="Arial"/>
                <w:sz w:val="18"/>
                <w:szCs w:val="18"/>
                <w:color w:val="auto"/>
              </w:rPr>
              <w:t>Additions due to acquisitions</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1,830</w:t>
            </w:r>
          </w:p>
        </w:tc>
        <w:tc>
          <w:tcPr>
            <w:tcW w:w="136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Accretion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1300"/>
              <w:spacing w:after="0"/>
              <w:rPr>
                <w:sz w:val="20"/>
                <w:szCs w:val="20"/>
                <w:color w:val="auto"/>
              </w:rPr>
            </w:pPr>
            <w:r>
              <w:rPr>
                <w:rFonts w:ascii="Arial" w:cs="Arial" w:eastAsia="Arial" w:hAnsi="Arial"/>
                <w:sz w:val="18"/>
                <w:szCs w:val="18"/>
                <w:color w:val="auto"/>
              </w:rPr>
              <w:t>Reclassification from nonaccretable difference</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2,706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591</w:t>
            </w:r>
          </w:p>
        </w:tc>
        <w:tc>
          <w:tcPr>
            <w:tcW w:w="136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Changes in expected cash flows that do not affect nonaccretable difference</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475</w:t>
            </w:r>
          </w:p>
        </w:tc>
        <w:tc>
          <w:tcPr>
            <w:tcW w:w="1360" w:type="dxa"/>
            <w:vAlign w:val="bottom"/>
            <w:tcBorders>
              <w:bottom w:val="single" w:sz="8" w:color="CCEEFF"/>
            </w:tcBorders>
            <w:shd w:val="clear" w:color="auto" w:fill="CCEEFF"/>
          </w:tcPr>
          <w:p>
            <w:pPr>
              <w:spacing w:after="0"/>
              <w:rPr>
                <w:sz w:val="23"/>
                <w:szCs w:val="23"/>
                <w:color w:val="auto"/>
              </w:rPr>
            </w:pPr>
          </w:p>
        </w:tc>
      </w:tr>
      <w:tr>
        <w:trPr>
          <w:trHeight w:val="257"/>
        </w:trPr>
        <w:tc>
          <w:tcPr>
            <w:tcW w:w="7660" w:type="dxa"/>
            <w:vAlign w:val="bottom"/>
          </w:tcPr>
          <w:p>
            <w:pPr>
              <w:ind w:left="1300"/>
              <w:spacing w:after="0"/>
              <w:rPr>
                <w:sz w:val="20"/>
                <w:szCs w:val="20"/>
                <w:color w:val="auto"/>
              </w:rPr>
            </w:pPr>
            <w:r>
              <w:rPr>
                <w:rFonts w:ascii="Arial" w:cs="Arial" w:eastAsia="Arial" w:hAnsi="Arial"/>
                <w:sz w:val="18"/>
                <w:szCs w:val="18"/>
                <w:color w:val="auto"/>
              </w:rPr>
              <w:t>Balance at end of period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26,624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18,036</w:t>
            </w:r>
          </w:p>
        </w:tc>
        <w:tc>
          <w:tcPr>
            <w:tcW w:w="1360" w:type="dxa"/>
            <w:vAlign w:val="bottom"/>
          </w:tcPr>
          <w:p>
            <w:pPr>
              <w:spacing w:after="0"/>
              <w:rPr>
                <w:sz w:val="22"/>
                <w:szCs w:val="22"/>
                <w:color w:val="auto"/>
              </w:rPr>
            </w:pPr>
          </w:p>
        </w:tc>
      </w:tr>
      <w:tr>
        <w:trPr>
          <w:trHeight w:val="20"/>
        </w:trPr>
        <w:tc>
          <w:tcPr>
            <w:tcW w:w="7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to the accretable yield on PCI loans, the fair value adjustments on purchased loans outside the scope of ASC 310-30 are also accreted to interest revenue over the life of the loans. At March 31, 2019 and December 31, 2018, the remaining accretable net fair value discount on loans acquired through a business combination and not accounted for under ASC 310-30 was $4.44 million and $4.31 million, respectively. At March 31, 2019, the net fair value discount of $4.44 million included a net premium on acquired equipment financing loans. In addition, indirect auto loans purchased at a premium outside of a business combination had a remaining premium of $3.03 million and $3.72 million, respectively, as of March 31, 2019 and December 31, 2018.</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At March 31, 2019 and December 31, 2018, equipment financing assets included direct financing leases of $33.5 million and $30.4 million, respectively. The components of the net investment in leases are presented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2019</w:t>
            </w:r>
          </w:p>
        </w:tc>
        <w:tc>
          <w:tcPr>
            <w:tcW w:w="180" w:type="dxa"/>
            <w:vAlign w:val="bottom"/>
          </w:tcPr>
          <w:p>
            <w:pPr>
              <w:spacing w:after="0"/>
              <w:rPr>
                <w:sz w:val="20"/>
                <w:szCs w:val="20"/>
                <w:color w:val="auto"/>
              </w:rPr>
            </w:pPr>
          </w:p>
        </w:tc>
        <w:tc>
          <w:tcPr>
            <w:tcW w:w="334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2018</w:t>
            </w:r>
          </w:p>
        </w:tc>
      </w:tr>
      <w:tr>
        <w:trPr>
          <w:trHeight w:val="27"/>
        </w:trPr>
        <w:tc>
          <w:tcPr>
            <w:tcW w:w="5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8"/>
                <w:szCs w:val="18"/>
                <w:color w:val="auto"/>
              </w:rPr>
              <w:t>Minimum future lease payments receivable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31,915</w:t>
            </w: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5840" w:type="dxa"/>
            <w:vAlign w:val="bottom"/>
          </w:tcPr>
          <w:p>
            <w:pPr>
              <w:ind w:left="1640"/>
              <w:spacing w:after="0"/>
              <w:rPr>
                <w:sz w:val="20"/>
                <w:szCs w:val="20"/>
                <w:color w:val="auto"/>
              </w:rPr>
            </w:pPr>
            <w:r>
              <w:rPr>
                <w:rFonts w:ascii="Arial" w:cs="Arial" w:eastAsia="Arial" w:hAnsi="Arial"/>
                <w:sz w:val="18"/>
                <w:szCs w:val="18"/>
                <w:color w:val="auto"/>
              </w:rPr>
              <w:t>Estimated residual value of leased equipment</w:t>
            </w:r>
          </w:p>
        </w:tc>
        <w:tc>
          <w:tcPr>
            <w:tcW w:w="2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3,791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3,593</w:t>
            </w:r>
          </w:p>
        </w:tc>
        <w:tc>
          <w:tcPr>
            <w:tcW w:w="1600" w:type="dxa"/>
            <w:vAlign w:val="bottom"/>
          </w:tcPr>
          <w:p>
            <w:pPr>
              <w:spacing w:after="0"/>
              <w:rPr>
                <w:sz w:val="21"/>
                <w:szCs w:val="21"/>
                <w:color w:val="auto"/>
              </w:rPr>
            </w:pPr>
          </w:p>
        </w:tc>
      </w:tr>
      <w:tr>
        <w:trPr>
          <w:trHeight w:val="27"/>
        </w:trPr>
        <w:tc>
          <w:tcPr>
            <w:tcW w:w="5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8"/>
                <w:szCs w:val="18"/>
                <w:color w:val="auto"/>
              </w:rPr>
              <w:t>Initial direct costs</w:t>
            </w: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827</w:t>
            </w: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5840" w:type="dxa"/>
            <w:vAlign w:val="bottom"/>
          </w:tcPr>
          <w:p>
            <w:pPr>
              <w:ind w:left="1640"/>
              <w:spacing w:after="0"/>
              <w:rPr>
                <w:sz w:val="20"/>
                <w:szCs w:val="20"/>
                <w:color w:val="auto"/>
              </w:rPr>
            </w:pPr>
            <w:r>
              <w:rPr>
                <w:rFonts w:ascii="Arial" w:cs="Arial" w:eastAsia="Arial" w:hAnsi="Arial"/>
                <w:sz w:val="18"/>
                <w:szCs w:val="18"/>
                <w:color w:val="auto"/>
              </w:rPr>
              <w:t>Security deposits</w:t>
            </w:r>
          </w:p>
        </w:tc>
        <w:tc>
          <w:tcPr>
            <w:tcW w:w="2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(1,189)</w:t>
            </w:r>
          </w:p>
        </w:tc>
        <w:tc>
          <w:tcPr>
            <w:tcW w:w="1600" w:type="dxa"/>
            <w:vAlign w:val="bottom"/>
          </w:tcPr>
          <w:p>
            <w:pPr>
              <w:spacing w:after="0"/>
              <w:rPr>
                <w:sz w:val="21"/>
                <w:szCs w:val="21"/>
                <w:color w:val="auto"/>
              </w:rPr>
            </w:pPr>
          </w:p>
        </w:tc>
      </w:tr>
      <w:tr>
        <w:trPr>
          <w:trHeight w:val="27"/>
        </w:trPr>
        <w:tc>
          <w:tcPr>
            <w:tcW w:w="5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8"/>
                <w:szCs w:val="18"/>
                <w:color w:val="auto"/>
              </w:rPr>
              <w:t>Purchase accounting premium</w:t>
            </w: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806</w:t>
            </w: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5840" w:type="dxa"/>
            <w:vAlign w:val="bottom"/>
          </w:tcPr>
          <w:p>
            <w:pPr>
              <w:ind w:left="1640"/>
              <w:spacing w:after="0"/>
              <w:rPr>
                <w:sz w:val="20"/>
                <w:szCs w:val="20"/>
                <w:color w:val="auto"/>
              </w:rPr>
            </w:pPr>
            <w:r>
              <w:rPr>
                <w:rFonts w:ascii="Arial" w:cs="Arial" w:eastAsia="Arial" w:hAnsi="Arial"/>
                <w:sz w:val="18"/>
                <w:szCs w:val="18"/>
                <w:color w:val="auto"/>
              </w:rPr>
              <w:t>Unearned income</w:t>
            </w:r>
          </w:p>
        </w:tc>
        <w:tc>
          <w:tcPr>
            <w:tcW w:w="2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(6,011)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(5,568)</w:t>
            </w:r>
          </w:p>
        </w:tc>
        <w:tc>
          <w:tcPr>
            <w:tcW w:w="1600" w:type="dxa"/>
            <w:vAlign w:val="bottom"/>
          </w:tcPr>
          <w:p>
            <w:pPr>
              <w:spacing w:after="0"/>
              <w:rPr>
                <w:sz w:val="21"/>
                <w:szCs w:val="21"/>
                <w:color w:val="auto"/>
              </w:rPr>
            </w:pPr>
          </w:p>
        </w:tc>
      </w:tr>
      <w:tr>
        <w:trPr>
          <w:trHeight w:val="27"/>
        </w:trPr>
        <w:tc>
          <w:tcPr>
            <w:tcW w:w="5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5840" w:type="dxa"/>
            <w:vAlign w:val="bottom"/>
            <w:tcBorders>
              <w:bottom w:val="single" w:sz="8" w:color="CCEEFF"/>
            </w:tcBorders>
            <w:shd w:val="clear" w:color="auto" w:fill="CCEEFF"/>
          </w:tcPr>
          <w:p>
            <w:pPr>
              <w:ind w:left="1880"/>
              <w:spacing w:after="0"/>
              <w:rPr>
                <w:sz w:val="20"/>
                <w:szCs w:val="20"/>
                <w:color w:val="auto"/>
              </w:rPr>
            </w:pPr>
            <w:r>
              <w:rPr>
                <w:rFonts w:ascii="Arial" w:cs="Arial" w:eastAsia="Arial" w:hAnsi="Arial"/>
                <w:sz w:val="18"/>
                <w:szCs w:val="18"/>
                <w:color w:val="auto"/>
              </w:rPr>
              <w:t>Net investment in leases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33,492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30,384</w:t>
            </w:r>
          </w:p>
        </w:tc>
        <w:tc>
          <w:tcPr>
            <w:tcW w:w="1600" w:type="dxa"/>
            <w:vAlign w:val="bottom"/>
            <w:tcBorders>
              <w:bottom w:val="single" w:sz="8" w:color="CCEEFF"/>
            </w:tcBorders>
            <w:shd w:val="clear" w:color="auto" w:fill="CCEEFF"/>
          </w:tcPr>
          <w:p>
            <w:pPr>
              <w:spacing w:after="0"/>
              <w:rPr>
                <w:sz w:val="22"/>
                <w:szCs w:val="22"/>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Minimum future lease payments expected to be received from lease contracts as of March 31, 2019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Year</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740" w:type="dxa"/>
            <w:vAlign w:val="bottom"/>
            <w:tcBorders>
              <w:top w:val="single" w:sz="8" w:color="CCEEFF"/>
              <w:bottom w:val="single" w:sz="8" w:color="CCEEFF"/>
            </w:tcBorders>
            <w:shd w:val="clear" w:color="auto" w:fill="CCEEFF"/>
          </w:tcPr>
          <w:p>
            <w:pPr>
              <w:spacing w:after="0"/>
              <w:rPr>
                <w:sz w:val="22"/>
                <w:szCs w:val="22"/>
                <w:color w:val="auto"/>
              </w:rPr>
            </w:pPr>
          </w:p>
        </w:tc>
        <w:tc>
          <w:tcPr>
            <w:tcW w:w="21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2019</w:t>
            </w:r>
          </w:p>
        </w:tc>
        <w:tc>
          <w:tcPr>
            <w:tcW w:w="2200" w:type="dxa"/>
            <w:vAlign w:val="bottom"/>
            <w:tcBorders>
              <w:top w:val="single" w:sz="8" w:color="auto"/>
              <w:bottom w:val="single" w:sz="8" w:color="CCEEFF"/>
            </w:tcBorders>
            <w:shd w:val="clear" w:color="auto" w:fill="CCEEFF"/>
          </w:tcPr>
          <w:p>
            <w:pPr>
              <w:spacing w:after="0"/>
              <w:rPr>
                <w:sz w:val="22"/>
                <w:szCs w:val="22"/>
                <w:color w:val="auto"/>
              </w:rPr>
            </w:pPr>
          </w:p>
        </w:tc>
        <w:tc>
          <w:tcPr>
            <w:tcW w:w="560" w:type="dxa"/>
            <w:vAlign w:val="bottom"/>
            <w:tcBorders>
              <w:top w:val="single" w:sz="8" w:color="CCEEFF"/>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10,384</w:t>
            </w:r>
          </w:p>
        </w:tc>
        <w:tc>
          <w:tcPr>
            <w:tcW w:w="2720" w:type="dxa"/>
            <w:vAlign w:val="bottom"/>
            <w:tcBorders>
              <w:top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00" w:type="dxa"/>
            <w:vAlign w:val="bottom"/>
            <w:gridSpan w:val="2"/>
          </w:tcPr>
          <w:p>
            <w:pPr>
              <w:ind w:left="2780"/>
              <w:spacing w:after="0"/>
              <w:rPr>
                <w:sz w:val="20"/>
                <w:szCs w:val="20"/>
                <w:color w:val="auto"/>
              </w:rPr>
            </w:pPr>
            <w:r>
              <w:rPr>
                <w:rFonts w:ascii="Arial" w:cs="Arial" w:eastAsia="Arial" w:hAnsi="Arial"/>
                <w:sz w:val="18"/>
                <w:szCs w:val="18"/>
                <w:color w:val="auto"/>
              </w:rPr>
              <w:t>2020</w:t>
            </w:r>
          </w:p>
        </w:tc>
        <w:tc>
          <w:tcPr>
            <w:tcW w:w="2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10,960</w:t>
            </w:r>
          </w:p>
        </w:tc>
        <w:tc>
          <w:tcPr>
            <w:tcW w:w="2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gridSpan w:val="2"/>
            <w:shd w:val="clear" w:color="auto" w:fill="CCEEFF"/>
          </w:tcPr>
          <w:p>
            <w:pPr>
              <w:ind w:left="2780"/>
              <w:spacing w:after="0"/>
              <w:rPr>
                <w:sz w:val="20"/>
                <w:szCs w:val="20"/>
                <w:color w:val="auto"/>
              </w:rPr>
            </w:pPr>
            <w:r>
              <w:rPr>
                <w:rFonts w:ascii="Arial" w:cs="Arial" w:eastAsia="Arial" w:hAnsi="Arial"/>
                <w:sz w:val="18"/>
                <w:szCs w:val="18"/>
                <w:color w:val="auto"/>
              </w:rPr>
              <w:t>2021</w:t>
            </w:r>
          </w:p>
        </w:tc>
        <w:tc>
          <w:tcPr>
            <w:tcW w:w="2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7,156</w:t>
            </w:r>
          </w:p>
        </w:tc>
        <w:tc>
          <w:tcPr>
            <w:tcW w:w="2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gridSpan w:val="2"/>
          </w:tcPr>
          <w:p>
            <w:pPr>
              <w:ind w:left="2780"/>
              <w:spacing w:after="0"/>
              <w:rPr>
                <w:sz w:val="20"/>
                <w:szCs w:val="20"/>
                <w:color w:val="auto"/>
              </w:rPr>
            </w:pPr>
            <w:r>
              <w:rPr>
                <w:rFonts w:ascii="Arial" w:cs="Arial" w:eastAsia="Arial" w:hAnsi="Arial"/>
                <w:sz w:val="18"/>
                <w:szCs w:val="18"/>
                <w:color w:val="auto"/>
              </w:rPr>
              <w:t>2022</w:t>
            </w:r>
          </w:p>
        </w:tc>
        <w:tc>
          <w:tcPr>
            <w:tcW w:w="2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4,249</w:t>
            </w:r>
          </w:p>
        </w:tc>
        <w:tc>
          <w:tcPr>
            <w:tcW w:w="2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gridSpan w:val="2"/>
            <w:shd w:val="clear" w:color="auto" w:fill="CCEEFF"/>
          </w:tcPr>
          <w:p>
            <w:pPr>
              <w:ind w:left="2780"/>
              <w:spacing w:after="0"/>
              <w:rPr>
                <w:sz w:val="20"/>
                <w:szCs w:val="20"/>
                <w:color w:val="auto"/>
              </w:rPr>
            </w:pPr>
            <w:r>
              <w:rPr>
                <w:rFonts w:ascii="Arial" w:cs="Arial" w:eastAsia="Arial" w:hAnsi="Arial"/>
                <w:sz w:val="18"/>
                <w:szCs w:val="18"/>
                <w:color w:val="auto"/>
              </w:rPr>
              <w:t>2023</w:t>
            </w:r>
          </w:p>
        </w:tc>
        <w:tc>
          <w:tcPr>
            <w:tcW w:w="2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2,046</w:t>
            </w:r>
          </w:p>
        </w:tc>
        <w:tc>
          <w:tcPr>
            <w:tcW w:w="2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spacing w:after="0"/>
              <w:rPr>
                <w:sz w:val="21"/>
                <w:szCs w:val="21"/>
                <w:color w:val="auto"/>
              </w:rPr>
            </w:pPr>
          </w:p>
        </w:tc>
        <w:tc>
          <w:tcPr>
            <w:tcW w:w="21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590</w:t>
            </w:r>
          </w:p>
        </w:tc>
        <w:tc>
          <w:tcPr>
            <w:tcW w:w="2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740" w:type="dxa"/>
            <w:vAlign w:val="bottom"/>
            <w:shd w:val="clear" w:color="auto" w:fill="CCEEFF"/>
          </w:tcPr>
          <w:p>
            <w:pPr>
              <w:spacing w:after="0"/>
              <w:rPr>
                <w:sz w:val="22"/>
                <w:szCs w:val="22"/>
                <w:color w:val="auto"/>
              </w:rPr>
            </w:pPr>
          </w:p>
        </w:tc>
        <w:tc>
          <w:tcPr>
            <w:tcW w:w="2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76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35,385</w:t>
            </w:r>
          </w:p>
        </w:tc>
        <w:tc>
          <w:tcPr>
            <w:tcW w:w="27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CCEEFF"/>
            </w:tcBorders>
            <w:vMerge w:val="restart"/>
          </w:tcPr>
          <w:p>
            <w:pPr>
              <w:jc w:val="right"/>
              <w:ind w:right="1210"/>
              <w:spacing w:after="0"/>
              <w:rPr>
                <w:sz w:val="20"/>
                <w:szCs w:val="20"/>
                <w:color w:val="auto"/>
              </w:rPr>
            </w:pPr>
            <w:r>
              <w:rPr>
                <w:rFonts w:ascii="Arial" w:cs="Arial" w:eastAsia="Arial" w:hAnsi="Arial"/>
                <w:sz w:val="18"/>
                <w:szCs w:val="18"/>
                <w:color w:val="auto"/>
              </w:rPr>
              <w:t>15</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7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Allowance for Credit Losses and Loans Individually Evaluated for Impairment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allowance for loan losses represents management’s estimate of probable incurred losses in the loan portfolio as of the end of the period. The allowance for unfunded commitments is included in other liabilities in the consolidated balance sheet. Combined, the allowance for loan losses and allowance for unfunded commitments are referred to as the allowance for credit losses.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following table presents the balance and activity in the allowance for credit losses by portfolio segment for the periods indicated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208"/>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4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5"/>
              </w:rPr>
              <w:t>Three Months Ended March 31,</w:t>
            </w: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20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Beginning</w:t>
            </w:r>
          </w:p>
        </w:tc>
        <w:tc>
          <w:tcPr>
            <w:tcW w:w="12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Charge-</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Ending</w:t>
            </w: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Beginning</w:t>
            </w:r>
          </w:p>
        </w:tc>
        <w:tc>
          <w:tcPr>
            <w:tcW w:w="12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Charge-</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(Release)</w:t>
            </w:r>
          </w:p>
        </w:tc>
        <w:tc>
          <w:tcPr>
            <w:tcW w:w="120" w:type="dxa"/>
            <w:vAlign w:val="bottom"/>
          </w:tcPr>
          <w:p>
            <w:pPr>
              <w:spacing w:after="0"/>
              <w:rPr>
                <w:sz w:val="14"/>
                <w:szCs w:val="14"/>
                <w:color w:val="auto"/>
              </w:rPr>
            </w:pPr>
          </w:p>
        </w:tc>
        <w:tc>
          <w:tcPr>
            <w:tcW w:w="660" w:type="dxa"/>
            <w:vAlign w:val="bottom"/>
          </w:tcPr>
          <w:p>
            <w:pPr>
              <w:jc w:val="right"/>
              <w:ind w:right="109"/>
              <w:spacing w:after="0"/>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88"/>
        </w:trPr>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Balance</w:t>
            </w:r>
          </w:p>
        </w:tc>
        <w:tc>
          <w:tcPr>
            <w:tcW w:w="12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Offs</w:t>
            </w:r>
          </w:p>
        </w:tc>
        <w:tc>
          <w:tcPr>
            <w:tcW w:w="100" w:type="dxa"/>
            <w:vAlign w:val="bottom"/>
          </w:tcPr>
          <w:p>
            <w:pPr>
              <w:spacing w:after="0"/>
              <w:rPr>
                <w:sz w:val="16"/>
                <w:szCs w:val="16"/>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Recoveries</w:t>
            </w: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(Release)Provision</w:t>
            </w:r>
          </w:p>
        </w:tc>
        <w:tc>
          <w:tcPr>
            <w:tcW w:w="120" w:type="dxa"/>
            <w:vAlign w:val="bottom"/>
          </w:tcPr>
          <w:p>
            <w:pPr>
              <w:spacing w:after="0"/>
              <w:rPr>
                <w:sz w:val="16"/>
                <w:szCs w:val="16"/>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tcPr>
          <w:p>
            <w:pPr>
              <w:spacing w:after="0"/>
              <w:rPr>
                <w:sz w:val="16"/>
                <w:szCs w:val="16"/>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Balance</w:t>
            </w:r>
          </w:p>
        </w:tc>
        <w:tc>
          <w:tcPr>
            <w:tcW w:w="12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Offs</w:t>
            </w:r>
          </w:p>
        </w:tc>
        <w:tc>
          <w:tcPr>
            <w:tcW w:w="120" w:type="dxa"/>
            <w:vAlign w:val="bottom"/>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Recoveries</w:t>
            </w:r>
          </w:p>
        </w:tc>
        <w:tc>
          <w:tcPr>
            <w:tcW w:w="10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Provision</w:t>
            </w:r>
          </w:p>
        </w:tc>
        <w:tc>
          <w:tcPr>
            <w:tcW w:w="120" w:type="dxa"/>
            <w:vAlign w:val="bottom"/>
          </w:tcPr>
          <w:p>
            <w:pPr>
              <w:spacing w:after="0"/>
              <w:rPr>
                <w:sz w:val="16"/>
                <w:szCs w:val="16"/>
                <w:color w:val="auto"/>
              </w:rPr>
            </w:pPr>
          </w:p>
        </w:tc>
        <w:tc>
          <w:tcPr>
            <w:tcW w:w="660" w:type="dxa"/>
            <w:vAlign w:val="bottom"/>
          </w:tcPr>
          <w:p>
            <w:pPr>
              <w:jc w:val="right"/>
              <w:ind w:right="89"/>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43"/>
        </w:trPr>
        <w:tc>
          <w:tcPr>
            <w:tcW w:w="204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Owner occupied commercial</w:t>
            </w: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12,207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11,874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14,776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14,561</w:t>
            </w:r>
          </w:p>
        </w:tc>
        <w:tc>
          <w:tcPr>
            <w:tcW w:w="0" w:type="dxa"/>
            <w:vAlign w:val="bottom"/>
          </w:tcPr>
          <w:p>
            <w:pPr>
              <w:spacing w:after="0"/>
              <w:rPr>
                <w:sz w:val="1"/>
                <w:szCs w:val="1"/>
                <w:color w:val="auto"/>
              </w:rPr>
            </w:pPr>
          </w:p>
        </w:tc>
      </w:tr>
      <w:tr>
        <w:trPr>
          <w:trHeight w:val="157"/>
        </w:trPr>
        <w:tc>
          <w:tcPr>
            <w:tcW w:w="2040" w:type="dxa"/>
            <w:vAlign w:val="bottom"/>
          </w:tcPr>
          <w:p>
            <w:pPr>
              <w:ind w:left="40"/>
              <w:spacing w:after="0" w:line="157" w:lineRule="exact"/>
              <w:rPr>
                <w:sz w:val="20"/>
                <w:szCs w:val="20"/>
                <w:color w:val="auto"/>
              </w:rPr>
            </w:pPr>
            <w:r>
              <w:rPr>
                <w:rFonts w:ascii="Arial" w:cs="Arial" w:eastAsia="Arial" w:hAnsi="Arial"/>
                <w:sz w:val="14"/>
                <w:szCs w:val="14"/>
                <w:color w:val="auto"/>
              </w:rPr>
              <w:t>Income producing commercial</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40" w:type="dxa"/>
            <w:vAlign w:val="bottom"/>
          </w:tcPr>
          <w:p>
            <w:pPr>
              <w:ind w:left="40"/>
              <w:spacing w:after="0"/>
              <w:rPr>
                <w:sz w:val="20"/>
                <w:szCs w:val="20"/>
                <w:color w:val="auto"/>
              </w:rPr>
            </w:pPr>
            <w:r>
              <w:rPr>
                <w:rFonts w:ascii="Arial" w:cs="Arial" w:eastAsia="Arial" w:hAnsi="Arial"/>
                <w:sz w:val="14"/>
                <w:szCs w:val="14"/>
                <w:color w:val="auto"/>
              </w:rPr>
              <w:t>real estate</w:t>
            </w:r>
          </w:p>
        </w:tc>
        <w:tc>
          <w:tcPr>
            <w:tcW w:w="120" w:type="dxa"/>
            <w:vAlign w:val="bottom"/>
          </w:tcPr>
          <w:p>
            <w:pPr>
              <w:spacing w:after="0"/>
              <w:rPr>
                <w:sz w:val="16"/>
                <w:szCs w:val="16"/>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11,073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11,126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9,381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(657)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817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9,776</w:t>
            </w:r>
          </w:p>
        </w:tc>
        <w:tc>
          <w:tcPr>
            <w:tcW w:w="0" w:type="dxa"/>
            <w:vAlign w:val="bottom"/>
          </w:tcPr>
          <w:p>
            <w:pPr>
              <w:spacing w:after="0"/>
              <w:rPr>
                <w:sz w:val="1"/>
                <w:szCs w:val="1"/>
                <w:color w:val="auto"/>
              </w:rPr>
            </w:pPr>
          </w:p>
        </w:tc>
      </w:tr>
      <w:tr>
        <w:trPr>
          <w:trHeight w:val="276"/>
        </w:trPr>
        <w:tc>
          <w:tcPr>
            <w:tcW w:w="2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Commercial &amp; industrial</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4,802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1,449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4,895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3,971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4,075</w:t>
            </w:r>
          </w:p>
        </w:tc>
        <w:tc>
          <w:tcPr>
            <w:tcW w:w="0" w:type="dxa"/>
            <w:vAlign w:val="bottom"/>
          </w:tcPr>
          <w:p>
            <w:pPr>
              <w:spacing w:after="0"/>
              <w:rPr>
                <w:sz w:val="1"/>
                <w:szCs w:val="1"/>
                <w:color w:val="auto"/>
              </w:rPr>
            </w:pPr>
          </w:p>
        </w:tc>
      </w:tr>
      <w:tr>
        <w:trPr>
          <w:trHeight w:val="264"/>
        </w:trPr>
        <w:tc>
          <w:tcPr>
            <w:tcW w:w="2040" w:type="dxa"/>
            <w:vAlign w:val="bottom"/>
          </w:tcPr>
          <w:p>
            <w:pPr>
              <w:ind w:left="40"/>
              <w:spacing w:after="0"/>
              <w:rPr>
                <w:sz w:val="20"/>
                <w:szCs w:val="20"/>
                <w:color w:val="auto"/>
              </w:rPr>
            </w:pPr>
            <w:r>
              <w:rPr>
                <w:rFonts w:ascii="Arial" w:cs="Arial" w:eastAsia="Arial" w:hAnsi="Arial"/>
                <w:sz w:val="14"/>
                <w:szCs w:val="14"/>
                <w:color w:val="auto"/>
              </w:rPr>
              <w:t>Commercial construction</w:t>
            </w:r>
          </w:p>
        </w:tc>
        <w:tc>
          <w:tcPr>
            <w:tcW w:w="120" w:type="dxa"/>
            <w:vAlign w:val="bottom"/>
          </w:tcPr>
          <w:p>
            <w:pPr>
              <w:spacing w:after="0"/>
              <w:rPr>
                <w:sz w:val="22"/>
                <w:szCs w:val="22"/>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10,337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394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(387)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10,275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10,523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(363)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10,034</w:t>
            </w:r>
          </w:p>
        </w:tc>
        <w:tc>
          <w:tcPr>
            <w:tcW w:w="0" w:type="dxa"/>
            <w:vAlign w:val="bottom"/>
          </w:tcPr>
          <w:p>
            <w:pPr>
              <w:spacing w:after="0"/>
              <w:rPr>
                <w:sz w:val="1"/>
                <w:szCs w:val="1"/>
                <w:color w:val="auto"/>
              </w:rPr>
            </w:pPr>
          </w:p>
        </w:tc>
      </w:tr>
      <w:tr>
        <w:trPr>
          <w:trHeight w:val="276"/>
        </w:trPr>
        <w:tc>
          <w:tcPr>
            <w:tcW w:w="2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Equipment financing</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5,452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2,060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6,231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2,333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2,291</w:t>
            </w:r>
          </w:p>
        </w:tc>
        <w:tc>
          <w:tcPr>
            <w:tcW w:w="0" w:type="dxa"/>
            <w:vAlign w:val="bottom"/>
          </w:tcPr>
          <w:p>
            <w:pPr>
              <w:spacing w:after="0"/>
              <w:rPr>
                <w:sz w:val="1"/>
                <w:szCs w:val="1"/>
                <w:color w:val="auto"/>
              </w:rPr>
            </w:pPr>
          </w:p>
        </w:tc>
      </w:tr>
      <w:tr>
        <w:trPr>
          <w:trHeight w:val="264"/>
        </w:trPr>
        <w:tc>
          <w:tcPr>
            <w:tcW w:w="2040" w:type="dxa"/>
            <w:vAlign w:val="bottom"/>
          </w:tcPr>
          <w:p>
            <w:pPr>
              <w:ind w:left="40"/>
              <w:spacing w:after="0"/>
              <w:rPr>
                <w:sz w:val="20"/>
                <w:szCs w:val="20"/>
                <w:color w:val="auto"/>
              </w:rPr>
            </w:pPr>
            <w:r>
              <w:rPr>
                <w:rFonts w:ascii="Arial" w:cs="Arial" w:eastAsia="Arial" w:hAnsi="Arial"/>
                <w:sz w:val="14"/>
                <w:szCs w:val="14"/>
                <w:color w:val="auto"/>
              </w:rPr>
              <w:t>Residential mortgage</w:t>
            </w:r>
          </w:p>
        </w:tc>
        <w:tc>
          <w:tcPr>
            <w:tcW w:w="120" w:type="dxa"/>
            <w:vAlign w:val="bottom"/>
          </w:tcPr>
          <w:p>
            <w:pPr>
              <w:spacing w:after="0"/>
              <w:rPr>
                <w:sz w:val="22"/>
                <w:szCs w:val="22"/>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8,295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8,345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10,097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10,221</w:t>
            </w:r>
          </w:p>
        </w:tc>
        <w:tc>
          <w:tcPr>
            <w:tcW w:w="0" w:type="dxa"/>
            <w:vAlign w:val="bottom"/>
          </w:tcPr>
          <w:p>
            <w:pPr>
              <w:spacing w:after="0"/>
              <w:rPr>
                <w:sz w:val="1"/>
                <w:szCs w:val="1"/>
                <w:color w:val="auto"/>
              </w:rPr>
            </w:pPr>
          </w:p>
        </w:tc>
      </w:tr>
      <w:tr>
        <w:trPr>
          <w:trHeight w:val="276"/>
        </w:trPr>
        <w:tc>
          <w:tcPr>
            <w:tcW w:w="2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Home equity lines of credit</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4,752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4,797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5,177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4,932</w:t>
            </w:r>
          </w:p>
        </w:tc>
        <w:tc>
          <w:tcPr>
            <w:tcW w:w="0" w:type="dxa"/>
            <w:vAlign w:val="bottom"/>
          </w:tcPr>
          <w:p>
            <w:pPr>
              <w:spacing w:after="0"/>
              <w:rPr>
                <w:sz w:val="1"/>
                <w:szCs w:val="1"/>
                <w:color w:val="auto"/>
              </w:rPr>
            </w:pPr>
          </w:p>
        </w:tc>
      </w:tr>
      <w:tr>
        <w:trPr>
          <w:trHeight w:val="264"/>
        </w:trPr>
        <w:tc>
          <w:tcPr>
            <w:tcW w:w="2040" w:type="dxa"/>
            <w:vAlign w:val="bottom"/>
          </w:tcPr>
          <w:p>
            <w:pPr>
              <w:ind w:left="40"/>
              <w:spacing w:after="0"/>
              <w:rPr>
                <w:sz w:val="20"/>
                <w:szCs w:val="20"/>
                <w:color w:val="auto"/>
              </w:rPr>
            </w:pPr>
            <w:r>
              <w:rPr>
                <w:rFonts w:ascii="Arial" w:cs="Arial" w:eastAsia="Arial" w:hAnsi="Arial"/>
                <w:sz w:val="14"/>
                <w:szCs w:val="14"/>
                <w:color w:val="auto"/>
              </w:rPr>
              <w:t>Residential construction</w:t>
            </w:r>
          </w:p>
        </w:tc>
        <w:tc>
          <w:tcPr>
            <w:tcW w:w="120" w:type="dxa"/>
            <w:vAlign w:val="bottom"/>
          </w:tcPr>
          <w:p>
            <w:pPr>
              <w:spacing w:after="0"/>
              <w:rPr>
                <w:sz w:val="22"/>
                <w:szCs w:val="22"/>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2,433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2,390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2,729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251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3,044</w:t>
            </w:r>
          </w:p>
        </w:tc>
        <w:tc>
          <w:tcPr>
            <w:tcW w:w="0" w:type="dxa"/>
            <w:vAlign w:val="bottom"/>
          </w:tcPr>
          <w:p>
            <w:pPr>
              <w:spacing w:after="0"/>
              <w:rPr>
                <w:sz w:val="1"/>
                <w:szCs w:val="1"/>
                <w:color w:val="auto"/>
              </w:rPr>
            </w:pPr>
          </w:p>
        </w:tc>
      </w:tr>
      <w:tr>
        <w:trPr>
          <w:trHeight w:val="276"/>
        </w:trPr>
        <w:tc>
          <w:tcPr>
            <w:tcW w:w="2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Consumer direct</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853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324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710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733</w:t>
            </w:r>
          </w:p>
        </w:tc>
        <w:tc>
          <w:tcPr>
            <w:tcW w:w="0" w:type="dxa"/>
            <w:vAlign w:val="bottom"/>
          </w:tcPr>
          <w:p>
            <w:pPr>
              <w:spacing w:after="0"/>
              <w:rPr>
                <w:sz w:val="1"/>
                <w:szCs w:val="1"/>
                <w:color w:val="auto"/>
              </w:rPr>
            </w:pPr>
          </w:p>
        </w:tc>
      </w:tr>
      <w:tr>
        <w:trPr>
          <w:trHeight w:val="264"/>
        </w:trPr>
        <w:tc>
          <w:tcPr>
            <w:tcW w:w="20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Indirect auto</w:t>
            </w: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999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872</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1,550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1,418</w:t>
            </w:r>
          </w:p>
        </w:tc>
        <w:tc>
          <w:tcPr>
            <w:tcW w:w="0" w:type="dxa"/>
            <w:vAlign w:val="bottom"/>
          </w:tcPr>
          <w:p>
            <w:pPr>
              <w:spacing w:after="0"/>
              <w:rPr>
                <w:sz w:val="1"/>
                <w:szCs w:val="1"/>
                <w:color w:val="auto"/>
              </w:rPr>
            </w:pPr>
          </w:p>
        </w:tc>
      </w:tr>
      <w:tr>
        <w:trPr>
          <w:trHeight w:val="143"/>
        </w:trPr>
        <w:tc>
          <w:tcPr>
            <w:tcW w:w="2040" w:type="dxa"/>
            <w:vAlign w:val="bottom"/>
            <w:shd w:val="clear" w:color="auto" w:fill="CCEEFF"/>
          </w:tcPr>
          <w:p>
            <w:pPr>
              <w:ind w:left="280"/>
              <w:spacing w:after="0" w:line="143" w:lineRule="exact"/>
              <w:rPr>
                <w:sz w:val="20"/>
                <w:szCs w:val="20"/>
                <w:color w:val="auto"/>
              </w:rPr>
            </w:pPr>
            <w:r>
              <w:rPr>
                <w:rFonts w:ascii="Arial" w:cs="Arial" w:eastAsia="Arial" w:hAnsi="Arial"/>
                <w:sz w:val="14"/>
                <w:szCs w:val="14"/>
                <w:color w:val="auto"/>
              </w:rPr>
              <w:t>Total allowance for loan</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losses</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61,203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1,230</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3,569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61,642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58,914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1,383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3,672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61,085</w:t>
            </w:r>
          </w:p>
        </w:tc>
        <w:tc>
          <w:tcPr>
            <w:tcW w:w="0" w:type="dxa"/>
            <w:vAlign w:val="bottom"/>
          </w:tcPr>
          <w:p>
            <w:pPr>
              <w:spacing w:after="0"/>
              <w:rPr>
                <w:sz w:val="1"/>
                <w:szCs w:val="1"/>
                <w:color w:val="auto"/>
              </w:rPr>
            </w:pPr>
          </w:p>
        </w:tc>
      </w:tr>
      <w:tr>
        <w:trPr>
          <w:trHeight w:val="157"/>
        </w:trPr>
        <w:tc>
          <w:tcPr>
            <w:tcW w:w="2040" w:type="dxa"/>
            <w:vAlign w:val="bottom"/>
          </w:tcPr>
          <w:p>
            <w:pPr>
              <w:ind w:left="40"/>
              <w:spacing w:after="0" w:line="157" w:lineRule="exact"/>
              <w:rPr>
                <w:sz w:val="20"/>
                <w:szCs w:val="20"/>
                <w:color w:val="auto"/>
              </w:rPr>
            </w:pPr>
            <w:r>
              <w:rPr>
                <w:rFonts w:ascii="Arial" w:cs="Arial" w:eastAsia="Arial" w:hAnsi="Arial"/>
                <w:sz w:val="14"/>
                <w:szCs w:val="14"/>
                <w:color w:val="auto"/>
              </w:rPr>
              <w:t>Allowance for unfunded</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40" w:type="dxa"/>
            <w:vAlign w:val="bottom"/>
          </w:tcPr>
          <w:p>
            <w:pPr>
              <w:ind w:left="40"/>
              <w:spacing w:after="0"/>
              <w:rPr>
                <w:sz w:val="20"/>
                <w:szCs w:val="20"/>
                <w:color w:val="auto"/>
              </w:rPr>
            </w:pPr>
            <w:r>
              <w:rPr>
                <w:rFonts w:ascii="Arial" w:cs="Arial" w:eastAsia="Arial" w:hAnsi="Arial"/>
                <w:sz w:val="14"/>
                <w:szCs w:val="14"/>
                <w:color w:val="auto"/>
              </w:rPr>
              <w:t>commitments</w:t>
            </w:r>
          </w:p>
        </w:tc>
        <w:tc>
          <w:tcPr>
            <w:tcW w:w="120" w:type="dxa"/>
            <w:vAlign w:val="bottom"/>
          </w:tcPr>
          <w:p>
            <w:pPr>
              <w:spacing w:after="0"/>
              <w:rPr>
                <w:sz w:val="16"/>
                <w:szCs w:val="16"/>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3,410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(269)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3,141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2,312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2,440</w:t>
            </w:r>
          </w:p>
        </w:tc>
        <w:tc>
          <w:tcPr>
            <w:tcW w:w="0" w:type="dxa"/>
            <w:vAlign w:val="bottom"/>
          </w:tcPr>
          <w:p>
            <w:pPr>
              <w:spacing w:after="0"/>
              <w:rPr>
                <w:sz w:val="1"/>
                <w:szCs w:val="1"/>
                <w:color w:val="auto"/>
              </w:rPr>
            </w:pPr>
          </w:p>
        </w:tc>
      </w:tr>
      <w:tr>
        <w:trPr>
          <w:trHeight w:val="143"/>
        </w:trPr>
        <w:tc>
          <w:tcPr>
            <w:tcW w:w="2040" w:type="dxa"/>
            <w:vAlign w:val="bottom"/>
            <w:tcBorders>
              <w:top w:val="single" w:sz="8" w:color="CCEEFF"/>
            </w:tcBorders>
            <w:shd w:val="clear" w:color="auto" w:fill="CCEEFF"/>
          </w:tcPr>
          <w:p>
            <w:pPr>
              <w:ind w:left="280"/>
              <w:spacing w:after="0" w:line="143" w:lineRule="exact"/>
              <w:rPr>
                <w:sz w:val="20"/>
                <w:szCs w:val="20"/>
                <w:color w:val="auto"/>
              </w:rPr>
            </w:pPr>
            <w:r>
              <w:rPr>
                <w:rFonts w:ascii="Arial" w:cs="Arial" w:eastAsia="Arial" w:hAnsi="Arial"/>
                <w:sz w:val="14"/>
                <w:szCs w:val="14"/>
                <w:color w:val="auto"/>
              </w:rPr>
              <w:t>Total allowance for credit</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64,613</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(4,360)</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1,230</w:t>
            </w:r>
          </w:p>
        </w:tc>
        <w:tc>
          <w:tcPr>
            <w:tcW w:w="1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3,300</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64,783</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61,226</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(2,884)</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1,383</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3,800</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63,525</w:t>
            </w:r>
          </w:p>
        </w:tc>
        <w:tc>
          <w:tcPr>
            <w:tcW w:w="0" w:type="dxa"/>
            <w:vAlign w:val="bottom"/>
          </w:tcPr>
          <w:p>
            <w:pPr>
              <w:spacing w:after="0"/>
              <w:rPr>
                <w:sz w:val="1"/>
                <w:szCs w:val="1"/>
                <w:color w:val="auto"/>
              </w:rPr>
            </w:pPr>
          </w:p>
        </w:tc>
      </w:tr>
      <w:tr>
        <w:trPr>
          <w:trHeight w:val="181"/>
        </w:trPr>
        <w:tc>
          <w:tcPr>
            <w:tcW w:w="2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losses</w:t>
            </w: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vMerge w:val="continue"/>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following tables represent the recorded investment in loans by portfolio segment and the balance of the allowance for loan losses assigned to each segment based on the method of evaluating the loans for impairment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Allowance for Credit Losses</w:t>
            </w: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4"/>
                <w:szCs w:val="14"/>
                <w:b w:val="1"/>
                <w:bCs w:val="1"/>
                <w:color w:val="auto"/>
              </w:rPr>
              <w:t>March 31, 2019</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December 31, 2018</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8"/>
              </w:rPr>
              <w:t>Individually</w:t>
            </w:r>
          </w:p>
        </w:tc>
        <w:tc>
          <w:tcPr>
            <w:tcW w:w="120" w:type="dxa"/>
            <w:vAlign w:val="bottom"/>
          </w:tcPr>
          <w:p>
            <w:pPr>
              <w:spacing w:after="0"/>
              <w:rPr>
                <w:sz w:val="13"/>
                <w:szCs w:val="13"/>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Collectively</w:t>
            </w: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6"/>
              </w:rPr>
              <w:t>Individually</w:t>
            </w:r>
          </w:p>
        </w:tc>
        <w:tc>
          <w:tcPr>
            <w:tcW w:w="100" w:type="dxa"/>
            <w:vAlign w:val="bottom"/>
          </w:tcPr>
          <w:p>
            <w:pPr>
              <w:spacing w:after="0"/>
              <w:rPr>
                <w:sz w:val="13"/>
                <w:szCs w:val="13"/>
                <w:color w:val="auto"/>
              </w:rPr>
            </w:pP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Collectively</w:t>
            </w: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evaluated</w:t>
            </w: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Ending</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evaluated</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for</w:t>
            </w: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evaluated for</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PCI</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for</w:t>
            </w: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evaluated for</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PCI</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impairment</w:t>
            </w:r>
          </w:p>
        </w:tc>
        <w:tc>
          <w:tcPr>
            <w:tcW w:w="12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impairment</w:t>
            </w:r>
          </w:p>
        </w:tc>
        <w:tc>
          <w:tcPr>
            <w:tcW w:w="6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Balance</w:t>
            </w: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impairment</w:t>
            </w: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impairment</w:t>
            </w:r>
          </w:p>
        </w:tc>
        <w:tc>
          <w:tcPr>
            <w:tcW w:w="6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88"/>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56"/>
        </w:trPr>
        <w:tc>
          <w:tcPr>
            <w:tcW w:w="2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w w:val="95"/>
              </w:rPr>
              <w:t>Owner occupied commercial real estate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825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10,894</w:t>
            </w:r>
          </w:p>
        </w:tc>
        <w:tc>
          <w:tcPr>
            <w:tcW w:w="12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155</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11,874</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862</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11,328</w:t>
            </w:r>
          </w:p>
        </w:tc>
        <w:tc>
          <w:tcPr>
            <w:tcW w:w="10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12,207</w:t>
            </w:r>
          </w:p>
        </w:tc>
        <w:tc>
          <w:tcPr>
            <w:tcW w:w="0" w:type="dxa"/>
            <w:vAlign w:val="bottom"/>
          </w:tcPr>
          <w:p>
            <w:pPr>
              <w:spacing w:after="0"/>
              <w:rPr>
                <w:sz w:val="1"/>
                <w:szCs w:val="1"/>
                <w:color w:val="auto"/>
              </w:rPr>
            </w:pPr>
          </w:p>
        </w:tc>
      </w:tr>
      <w:tr>
        <w:trPr>
          <w:trHeight w:val="157"/>
        </w:trPr>
        <w:tc>
          <w:tcPr>
            <w:tcW w:w="2420" w:type="dxa"/>
            <w:vAlign w:val="bottom"/>
          </w:tcPr>
          <w:p>
            <w:pPr>
              <w:ind w:left="40"/>
              <w:spacing w:after="0" w:line="157" w:lineRule="exact"/>
              <w:rPr>
                <w:sz w:val="20"/>
                <w:szCs w:val="20"/>
                <w:color w:val="auto"/>
              </w:rPr>
            </w:pPr>
            <w:r>
              <w:rPr>
                <w:rFonts w:ascii="Arial" w:cs="Arial" w:eastAsia="Arial" w:hAnsi="Arial"/>
                <w:sz w:val="14"/>
                <w:szCs w:val="14"/>
                <w:color w:val="auto"/>
              </w:rPr>
              <w:t>Income producing commercial real</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420" w:type="dxa"/>
            <w:vAlign w:val="bottom"/>
          </w:tcPr>
          <w:p>
            <w:pPr>
              <w:ind w:left="40"/>
              <w:spacing w:after="0"/>
              <w:rPr>
                <w:sz w:val="20"/>
                <w:szCs w:val="20"/>
                <w:color w:val="auto"/>
              </w:rPr>
            </w:pPr>
            <w:r>
              <w:rPr>
                <w:rFonts w:ascii="Arial" w:cs="Arial" w:eastAsia="Arial" w:hAnsi="Arial"/>
                <w:sz w:val="14"/>
                <w:szCs w:val="14"/>
                <w:color w:val="auto"/>
              </w:rPr>
              <w:t>estate</w:t>
            </w:r>
          </w:p>
        </w:tc>
        <w:tc>
          <w:tcPr>
            <w:tcW w:w="12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280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10,846</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11,126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402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10,671</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11,073</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Commercial &amp; industrial</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4,855</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4,895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4,761</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4,802</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Commercial construction</w:t>
            </w:r>
          </w:p>
        </w:tc>
        <w:tc>
          <w:tcPr>
            <w:tcW w:w="1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10,001</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10,275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9,974</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292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10,337</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Equipment financing</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5,988</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6,231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5,045</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5,452</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Residential mortgage</w:t>
            </w:r>
          </w:p>
        </w:tc>
        <w:tc>
          <w:tcPr>
            <w:tcW w:w="1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916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7,403</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8,345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861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7,410</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8,295</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Home equity lines of credit</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4,796</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4,797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4,740</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4,752</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Residential construction</w:t>
            </w:r>
          </w:p>
        </w:tc>
        <w:tc>
          <w:tcPr>
            <w:tcW w:w="1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2,327</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2,390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2,382</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2,433</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Consumer direct</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832</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847</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853</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Indirect auto</w:t>
            </w:r>
          </w:p>
        </w:tc>
        <w:tc>
          <w:tcPr>
            <w:tcW w:w="1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847</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872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973</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999</w:t>
            </w:r>
          </w:p>
        </w:tc>
        <w:tc>
          <w:tcPr>
            <w:tcW w:w="0" w:type="dxa"/>
            <w:vAlign w:val="bottom"/>
          </w:tcPr>
          <w:p>
            <w:pPr>
              <w:spacing w:after="0"/>
              <w:rPr>
                <w:sz w:val="1"/>
                <w:szCs w:val="1"/>
                <w:color w:val="auto"/>
              </w:rPr>
            </w:pPr>
          </w:p>
        </w:tc>
      </w:tr>
      <w:tr>
        <w:trPr>
          <w:trHeight w:val="256"/>
        </w:trPr>
        <w:tc>
          <w:tcPr>
            <w:tcW w:w="24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allowance for loan losses</w:t>
            </w:r>
          </w:p>
        </w:tc>
        <w:tc>
          <w:tcPr>
            <w:tcW w:w="12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2,219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58,789</w:t>
            </w:r>
          </w:p>
        </w:tc>
        <w:tc>
          <w:tcPr>
            <w:tcW w:w="12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634</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61,642</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2,312</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58,131</w:t>
            </w:r>
          </w:p>
        </w:tc>
        <w:tc>
          <w:tcPr>
            <w:tcW w:w="10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760</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61,203</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Allowance for unfunded commitments</w:t>
            </w:r>
          </w:p>
        </w:tc>
        <w:tc>
          <w:tcPr>
            <w:tcW w:w="12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3,141</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3,141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3,410</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3,410</w:t>
            </w:r>
          </w:p>
        </w:tc>
        <w:tc>
          <w:tcPr>
            <w:tcW w:w="0" w:type="dxa"/>
            <w:vAlign w:val="bottom"/>
          </w:tcPr>
          <w:p>
            <w:pPr>
              <w:spacing w:after="0"/>
              <w:rPr>
                <w:sz w:val="1"/>
                <w:szCs w:val="1"/>
                <w:color w:val="auto"/>
              </w:rPr>
            </w:pPr>
          </w:p>
        </w:tc>
      </w:tr>
      <w:tr>
        <w:trPr>
          <w:trHeight w:val="243"/>
        </w:trPr>
        <w:tc>
          <w:tcPr>
            <w:tcW w:w="24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allowance for credit losses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61,930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64,783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61,541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64,613</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1" w:right="2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Loans Outstanding</w:t>
            </w: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2019</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8"/>
              </w:rPr>
              <w:t>Individually</w:t>
            </w:r>
          </w:p>
        </w:tc>
        <w:tc>
          <w:tcPr>
            <w:tcW w:w="120" w:type="dxa"/>
            <w:vAlign w:val="bottom"/>
          </w:tcPr>
          <w:p>
            <w:pPr>
              <w:spacing w:after="0"/>
              <w:rPr>
                <w:sz w:val="13"/>
                <w:szCs w:val="13"/>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Collectively</w:t>
            </w:r>
          </w:p>
        </w:tc>
        <w:tc>
          <w:tcPr>
            <w:tcW w:w="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Individually</w:t>
            </w:r>
          </w:p>
        </w:tc>
        <w:tc>
          <w:tcPr>
            <w:tcW w:w="100" w:type="dxa"/>
            <w:vAlign w:val="bottom"/>
          </w:tcPr>
          <w:p>
            <w:pPr>
              <w:spacing w:after="0"/>
              <w:rPr>
                <w:sz w:val="13"/>
                <w:szCs w:val="13"/>
                <w:color w:val="auto"/>
              </w:rPr>
            </w:pP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Collectively</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evaluated</w:t>
            </w: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Ending</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for</w:t>
            </w: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evaluated for</w:t>
            </w:r>
          </w:p>
        </w:tc>
        <w:tc>
          <w:tcPr>
            <w:tcW w:w="400" w:type="dxa"/>
            <w:vAlign w:val="bottom"/>
          </w:tcPr>
          <w:p>
            <w:pPr>
              <w:spacing w:after="0"/>
              <w:rPr>
                <w:sz w:val="12"/>
                <w:szCs w:val="12"/>
                <w:color w:val="auto"/>
              </w:rPr>
            </w:pP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PCI</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evaluated</w:t>
            </w: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evaluated for</w:t>
            </w:r>
          </w:p>
        </w:tc>
        <w:tc>
          <w:tcPr>
            <w:tcW w:w="240" w:type="dxa"/>
            <w:vAlign w:val="bottom"/>
          </w:tcPr>
          <w:p>
            <w:pPr>
              <w:spacing w:after="0"/>
              <w:rPr>
                <w:sz w:val="12"/>
                <w:szCs w:val="12"/>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PCI</w:t>
            </w: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impairment</w:t>
            </w:r>
          </w:p>
        </w:tc>
        <w:tc>
          <w:tcPr>
            <w:tcW w:w="12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impairment</w:t>
            </w:r>
          </w:p>
        </w:tc>
        <w:tc>
          <w:tcPr>
            <w:tcW w:w="4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for impairment</w:t>
            </w: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impairment</w:t>
            </w: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88"/>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56"/>
        </w:trPr>
        <w:tc>
          <w:tcPr>
            <w:tcW w:w="2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w w:val="95"/>
              </w:rPr>
              <w:t>Owner occupied commercial real estate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17,238</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1,594,226</w:t>
            </w:r>
          </w:p>
        </w:tc>
        <w:tc>
          <w:tcPr>
            <w:tcW w:w="12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8,604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1,620,068</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17,602</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1,620,450</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9,852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1,647,904</w:t>
            </w:r>
          </w:p>
        </w:tc>
        <w:tc>
          <w:tcPr>
            <w:tcW w:w="0" w:type="dxa"/>
            <w:vAlign w:val="bottom"/>
          </w:tcPr>
          <w:p>
            <w:pPr>
              <w:spacing w:after="0"/>
              <w:rPr>
                <w:sz w:val="1"/>
                <w:szCs w:val="1"/>
                <w:color w:val="auto"/>
              </w:rPr>
            </w:pPr>
          </w:p>
        </w:tc>
      </w:tr>
      <w:tr>
        <w:trPr>
          <w:trHeight w:val="157"/>
        </w:trPr>
        <w:tc>
          <w:tcPr>
            <w:tcW w:w="2420" w:type="dxa"/>
            <w:vAlign w:val="bottom"/>
          </w:tcPr>
          <w:p>
            <w:pPr>
              <w:ind w:left="40"/>
              <w:spacing w:after="0" w:line="157" w:lineRule="exact"/>
              <w:rPr>
                <w:sz w:val="20"/>
                <w:szCs w:val="20"/>
                <w:color w:val="auto"/>
              </w:rPr>
            </w:pPr>
            <w:r>
              <w:rPr>
                <w:rFonts w:ascii="Arial" w:cs="Arial" w:eastAsia="Arial" w:hAnsi="Arial"/>
                <w:sz w:val="14"/>
                <w:szCs w:val="14"/>
                <w:color w:val="auto"/>
              </w:rPr>
              <w:t>Income producing commercial real</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420" w:type="dxa"/>
            <w:vAlign w:val="bottom"/>
          </w:tcPr>
          <w:p>
            <w:pPr>
              <w:ind w:left="40"/>
              <w:spacing w:after="0"/>
              <w:rPr>
                <w:sz w:val="20"/>
                <w:szCs w:val="20"/>
                <w:color w:val="auto"/>
              </w:rPr>
            </w:pPr>
            <w:r>
              <w:rPr>
                <w:rFonts w:ascii="Arial" w:cs="Arial" w:eastAsia="Arial" w:hAnsi="Arial"/>
                <w:sz w:val="14"/>
                <w:szCs w:val="14"/>
                <w:color w:val="auto"/>
              </w:rPr>
              <w:t>estate</w:t>
            </w:r>
          </w:p>
        </w:tc>
        <w:tc>
          <w:tcPr>
            <w:tcW w:w="12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14,125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1,817,203</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36,097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1,867,425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16,584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1,757,525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38,311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1,812,420</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Commercial &amp; industrial</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1,701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1,281,823</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1,283,865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1,621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1,276,318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1,278,347</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Commercial construction</w:t>
            </w:r>
          </w:p>
        </w:tc>
        <w:tc>
          <w:tcPr>
            <w:tcW w:w="1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2,379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857,683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5,604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865,666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2,491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787,760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5,907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796,158</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Equipment financing</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599,243</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6,741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605,984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556,672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7,942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564,614</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Residential mortgage</w:t>
            </w:r>
          </w:p>
        </w:tc>
        <w:tc>
          <w:tcPr>
            <w:tcW w:w="1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15,453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1,039,582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8,805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1,063,840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14,220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1,025,862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9,150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1,049,232</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Home equity lines of credit</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682,047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1,469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683,771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692,122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1,612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694,010</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Residential construction</w:t>
            </w:r>
          </w:p>
        </w:tc>
        <w:tc>
          <w:tcPr>
            <w:tcW w:w="1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1,340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198,787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581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200,708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1,207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209,070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734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211,011</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Consumer direct</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120,499</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121,174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121,269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122,013</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Indirect auto</w:t>
            </w:r>
          </w:p>
        </w:tc>
        <w:tc>
          <w:tcPr>
            <w:tcW w:w="1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1,104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179,649</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180,753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1,237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206,455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207,692</w:t>
            </w:r>
          </w:p>
        </w:tc>
        <w:tc>
          <w:tcPr>
            <w:tcW w:w="0" w:type="dxa"/>
            <w:vAlign w:val="bottom"/>
          </w:tcPr>
          <w:p>
            <w:pPr>
              <w:spacing w:after="0"/>
              <w:rPr>
                <w:sz w:val="1"/>
                <w:szCs w:val="1"/>
                <w:color w:val="auto"/>
              </w:rPr>
            </w:pPr>
          </w:p>
        </w:tc>
      </w:tr>
      <w:tr>
        <w:trPr>
          <w:trHeight w:val="243"/>
        </w:trPr>
        <w:tc>
          <w:tcPr>
            <w:tcW w:w="24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loans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53,794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8,370,742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68,718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8,493,254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55,449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8,253,503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74,449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8,383,401</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 loan is considered impaired when, based on current events and circumstances, it is probable that all amounts due according to the original contractual terms of the loan will not be collected. Management individually evaluates certain impaired loans, including all non-PCI relationships that are on nonaccrual with a balance of $500,000 or greater and all troubled debt restructurings (“TDRs”) regardless of accrual status, for impairment. Impairment is measured based on the present value of expected future cash flows, discounted at the loan’s effective interest rate, the loan’s observable market price, or the fair value of the collateral if the loan is collateral dependent. A specific reserve is established for impaired loans for the amount of calculated impairment, if any. Interest payments received on impaired nonaccrual loans are applied as a reduction of the recorded investment in the loan. For impaired loans not on nonaccrual status, interest is accrued according to the terms of the loan agreement. Loans are evaluated for impairment quarterly and specific reserves are established in the allowance for loan losses for any measured impairment.</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quarter, management prepares an analysis of the allowance for credit losses to determine the appropriate balance that measures and quantifies the amount of probable incurred losses in the loan portfolio and unfunded loan commitments. The allowance is comprised of specific reserves on individually impaired loans, which are determined as described above, and general reserves which are determined based on historical loss experience as adjusted for current trends and economic conditions multiplied by a loss emergence period factor.</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calculates the loss emergence period for each pool in the loan portfolio based on the weighted average length of time between the date a loan first exceeds 30 days past due and the date the loan is charged off.</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junior lien home equity loans, management has limited ability to monitor the delinquency status of the first lien unless the first lien is also held by United. As a result, management applies the weighted average historical loss factor for this category and appropriately adjusts it to reflect the increased risk of loss from these credits.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Management carefully reviews the resulting loss factors for each category of the loan portfolio and evaluates whether qualitative adjustments are necessary to take into consideration recent credit trends such as increases or decreases in past due, nonaccrual, criticized and classified loans, and other macro environmental factors such as changes in unemployment rates, employment rates, debt per capita, home price indices, and trends in real estate value indices.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believes that its method of determining the balance of the allowance for credit losses provides a reasonable and reliable basis for measuring and reporting losses that are incurred in the loan portfolio as of the reporting date.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When a loan officer determines that a loan is uncollectible, he or she is responsible for recommending that the loan be placed on nonaccrual status and evaluated for impairment, which, if necessary, could result in fully or partially charging off the loan or establishing a specific reserve. Full or partial charge-offs may also be recommended by the Collections Department, the Special Assets Department, the Loss Mitigation Department and the Foreclosure/OREO Department. Nonaccrual real estate loans are generally charged down to fair value of collateral less costs to sell at the time they are placed on nonaccrual status.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Commercial and consumer asset quality committees meet monthly to review charge-offs that have occurred during the previous month. Participants include the respective Chief Credit Officer, Senior Risk Officers and Senior Credit Officers.</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1" w:right="2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Generally, closed-end retail loans (installment and residential mortgage loans) past due 90 cumulative days are written down to their collateral value less estimated selling costs. Open-end (revolving) unsecured retail loans which are past due 90 cumulative days from their contractual due date are generally charged-off.</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loans individually evaluated for impairment by class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4"/>
              </w:rPr>
              <w:t>March 31, 2019</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December 31, 2018</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Allowance</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99"/>
              <w:spacing w:after="0"/>
              <w:rPr>
                <w:sz w:val="20"/>
                <w:szCs w:val="20"/>
                <w:color w:val="auto"/>
              </w:rPr>
            </w:pPr>
            <w:r>
              <w:rPr>
                <w:rFonts w:ascii="Arial" w:cs="Arial" w:eastAsia="Arial" w:hAnsi="Arial"/>
                <w:sz w:val="16"/>
                <w:szCs w:val="16"/>
                <w:b w:val="1"/>
                <w:bCs w:val="1"/>
                <w:color w:val="auto"/>
                <w:w w:val="90"/>
              </w:rPr>
              <w:t>Allowance</w:t>
            </w:r>
          </w:p>
        </w:tc>
      </w:tr>
      <w:tr>
        <w:trPr>
          <w:trHeight w:val="203"/>
        </w:trPr>
        <w:tc>
          <w:tcPr>
            <w:tcW w:w="3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6"/>
              </w:rPr>
              <w:t>for Loan</w:t>
            </w:r>
          </w:p>
        </w:tc>
        <w:tc>
          <w:tcPr>
            <w:tcW w:w="200" w:type="dxa"/>
            <w:vAlign w:val="bottom"/>
          </w:tcPr>
          <w:p>
            <w:pPr>
              <w:spacing w:after="0"/>
              <w:rPr>
                <w:sz w:val="17"/>
                <w:szCs w:val="17"/>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95"/>
              </w:rPr>
              <w:t>Unpaid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ind w:right="99"/>
              <w:spacing w:after="0"/>
              <w:rPr>
                <w:sz w:val="20"/>
                <w:szCs w:val="20"/>
                <w:color w:val="auto"/>
              </w:rPr>
            </w:pPr>
            <w:r>
              <w:rPr>
                <w:rFonts w:ascii="Arial" w:cs="Arial" w:eastAsia="Arial" w:hAnsi="Arial"/>
                <w:sz w:val="16"/>
                <w:szCs w:val="16"/>
                <w:b w:val="1"/>
                <w:bCs w:val="1"/>
                <w:color w:val="auto"/>
                <w:w w:val="93"/>
              </w:rPr>
              <w:t>for Loan</w:t>
            </w:r>
          </w:p>
        </w:tc>
      </w:tr>
      <w:tr>
        <w:trPr>
          <w:trHeight w:val="203"/>
        </w:trPr>
        <w:tc>
          <w:tcPr>
            <w:tcW w:w="3340" w:type="dxa"/>
            <w:vAlign w:val="bottom"/>
          </w:tcPr>
          <w:p>
            <w:pPr>
              <w:spacing w:after="0"/>
              <w:rPr>
                <w:sz w:val="17"/>
                <w:szCs w:val="17"/>
                <w:color w:val="auto"/>
              </w:rPr>
            </w:pPr>
          </w:p>
        </w:tc>
        <w:tc>
          <w:tcPr>
            <w:tcW w:w="1400" w:type="dxa"/>
            <w:vAlign w:val="bottom"/>
            <w:gridSpan w:val="3"/>
          </w:tcPr>
          <w:p>
            <w:pPr>
              <w:ind w:left="40"/>
              <w:spacing w:after="0"/>
              <w:rPr>
                <w:sz w:val="20"/>
                <w:szCs w:val="20"/>
                <w:color w:val="auto"/>
              </w:rPr>
            </w:pPr>
            <w:r>
              <w:rPr>
                <w:rFonts w:ascii="Arial" w:cs="Arial" w:eastAsia="Arial" w:hAnsi="Arial"/>
                <w:sz w:val="16"/>
                <w:szCs w:val="16"/>
                <w:b w:val="1"/>
                <w:bCs w:val="1"/>
                <w:color w:val="auto"/>
              </w:rPr>
              <w:t>Unpaid Principal</w:t>
            </w: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Recorded</w:t>
            </w:r>
          </w:p>
        </w:tc>
        <w:tc>
          <w:tcPr>
            <w:tcW w:w="20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3"/>
              </w:rPr>
              <w:t>Losses</w:t>
            </w:r>
          </w:p>
        </w:tc>
        <w:tc>
          <w:tcPr>
            <w:tcW w:w="200" w:type="dxa"/>
            <w:vAlign w:val="bottom"/>
          </w:tcPr>
          <w:p>
            <w:pPr>
              <w:spacing w:after="0"/>
              <w:rPr>
                <w:sz w:val="17"/>
                <w:szCs w:val="17"/>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94"/>
              </w:rPr>
              <w:t>Principal</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Recorded</w:t>
            </w:r>
          </w:p>
        </w:tc>
        <w:tc>
          <w:tcPr>
            <w:tcW w:w="180" w:type="dxa"/>
            <w:vAlign w:val="bottom"/>
          </w:tcPr>
          <w:p>
            <w:pPr>
              <w:spacing w:after="0"/>
              <w:rPr>
                <w:sz w:val="17"/>
                <w:szCs w:val="17"/>
                <w:color w:val="auto"/>
              </w:rPr>
            </w:pPr>
          </w:p>
        </w:tc>
        <w:tc>
          <w:tcPr>
            <w:tcW w:w="1060" w:type="dxa"/>
            <w:vAlign w:val="bottom"/>
          </w:tcPr>
          <w:p>
            <w:pPr>
              <w:jc w:val="center"/>
              <w:ind w:right="99"/>
              <w:spacing w:after="0"/>
              <w:rPr>
                <w:sz w:val="20"/>
                <w:szCs w:val="20"/>
                <w:color w:val="auto"/>
              </w:rPr>
            </w:pPr>
            <w:r>
              <w:rPr>
                <w:rFonts w:ascii="Arial" w:cs="Arial" w:eastAsia="Arial" w:hAnsi="Arial"/>
                <w:sz w:val="16"/>
                <w:szCs w:val="16"/>
                <w:b w:val="1"/>
                <w:bCs w:val="1"/>
                <w:color w:val="auto"/>
                <w:w w:val="79"/>
              </w:rPr>
              <w:t>Losses</w:t>
            </w:r>
          </w:p>
        </w:tc>
      </w:tr>
      <w:tr>
        <w:trPr>
          <w:trHeight w:val="210"/>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Arial" w:cs="Arial" w:eastAsia="Arial" w:hAnsi="Arial"/>
                <w:sz w:val="16"/>
                <w:szCs w:val="16"/>
                <w:b w:val="1"/>
                <w:bCs w:val="1"/>
                <w:color w:val="auto"/>
              </w:rPr>
              <w:t>Balance</w:t>
            </w: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Investment</w:t>
            </w: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Allocated</w:t>
            </w:r>
          </w:p>
        </w:tc>
        <w:tc>
          <w:tcPr>
            <w:tcW w:w="200" w:type="dxa"/>
            <w:vAlign w:val="bottom"/>
          </w:tcPr>
          <w:p>
            <w:pPr>
              <w:spacing w:after="0"/>
              <w:rPr>
                <w:sz w:val="18"/>
                <w:szCs w:val="18"/>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Balance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Investment</w:t>
            </w:r>
          </w:p>
        </w:tc>
        <w:tc>
          <w:tcPr>
            <w:tcW w:w="180" w:type="dxa"/>
            <w:vAlign w:val="bottom"/>
          </w:tcPr>
          <w:p>
            <w:pPr>
              <w:spacing w:after="0"/>
              <w:rPr>
                <w:sz w:val="18"/>
                <w:szCs w:val="18"/>
                <w:color w:val="auto"/>
              </w:rPr>
            </w:pPr>
          </w:p>
        </w:tc>
        <w:tc>
          <w:tcPr>
            <w:tcW w:w="1060" w:type="dxa"/>
            <w:vAlign w:val="bottom"/>
          </w:tcPr>
          <w:p>
            <w:pPr>
              <w:jc w:val="center"/>
              <w:ind w:right="99"/>
              <w:spacing w:after="0"/>
              <w:rPr>
                <w:sz w:val="20"/>
                <w:szCs w:val="20"/>
                <w:color w:val="auto"/>
              </w:rPr>
            </w:pPr>
            <w:r>
              <w:rPr>
                <w:rFonts w:ascii="Arial" w:cs="Arial" w:eastAsia="Arial" w:hAnsi="Arial"/>
                <w:sz w:val="16"/>
                <w:szCs w:val="16"/>
                <w:b w:val="1"/>
                <w:bCs w:val="1"/>
                <w:color w:val="auto"/>
                <w:w w:val="88"/>
              </w:rPr>
              <w:t>Allocated</w:t>
            </w:r>
          </w:p>
        </w:tc>
      </w:tr>
      <w:tr>
        <w:trPr>
          <w:trHeight w:val="33"/>
        </w:trPr>
        <w:tc>
          <w:tcPr>
            <w:tcW w:w="3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With no related allowance recorded:</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37"/>
        </w:trPr>
        <w:tc>
          <w:tcPr>
            <w:tcW w:w="3340" w:type="dxa"/>
            <w:vAlign w:val="bottom"/>
          </w:tcPr>
          <w:p>
            <w:pPr>
              <w:ind w:left="180"/>
              <w:spacing w:after="0"/>
              <w:rPr>
                <w:sz w:val="20"/>
                <w:szCs w:val="20"/>
                <w:color w:val="auto"/>
              </w:rPr>
            </w:pPr>
            <w:r>
              <w:rPr>
                <w:rFonts w:ascii="Arial" w:cs="Arial" w:eastAsia="Arial" w:hAnsi="Arial"/>
                <w:sz w:val="16"/>
                <w:szCs w:val="16"/>
                <w:color w:val="auto"/>
              </w:rPr>
              <w:t>Owner occupied commercial real estate</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8,159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6,089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8,650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6,546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producing commercial real estate</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340" w:type="dxa"/>
            <w:vAlign w:val="bottom"/>
          </w:tcPr>
          <w:p>
            <w:pPr>
              <w:ind w:left="180"/>
              <w:spacing w:after="0"/>
              <w:rPr>
                <w:sz w:val="20"/>
                <w:szCs w:val="20"/>
                <w:color w:val="auto"/>
              </w:rPr>
            </w:pPr>
            <w:r>
              <w:rPr>
                <w:rFonts w:ascii="Arial" w:cs="Arial" w:eastAsia="Arial" w:hAnsi="Arial"/>
                <w:sz w:val="16"/>
                <w:szCs w:val="16"/>
                <w:color w:val="auto"/>
              </w:rPr>
              <w:t>Commercial &amp; industrial</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Commercial construction</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340" w:type="dxa"/>
            <w:vAlign w:val="bottom"/>
          </w:tcPr>
          <w:p>
            <w:pPr>
              <w:ind w:left="180"/>
              <w:spacing w:after="0"/>
              <w:rPr>
                <w:sz w:val="20"/>
                <w:szCs w:val="20"/>
                <w:color w:val="auto"/>
              </w:rPr>
            </w:pPr>
            <w:r>
              <w:rPr>
                <w:rFonts w:ascii="Arial" w:cs="Arial" w:eastAsia="Arial" w:hAnsi="Arial"/>
                <w:sz w:val="16"/>
                <w:szCs w:val="16"/>
                <w:color w:val="auto"/>
              </w:rPr>
              <w:t>Equipment financing</w:t>
            </w:r>
          </w:p>
        </w:tc>
        <w:tc>
          <w:tcPr>
            <w:tcW w:w="2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commercial</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17,133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14,789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19,846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17,304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340" w:type="dxa"/>
            <w:vAlign w:val="bottom"/>
          </w:tcPr>
          <w:p>
            <w:pPr>
              <w:ind w:left="180"/>
              <w:spacing w:after="0"/>
              <w:rPr>
                <w:sz w:val="20"/>
                <w:szCs w:val="20"/>
                <w:color w:val="auto"/>
              </w:rPr>
            </w:pPr>
            <w:r>
              <w:rPr>
                <w:rFonts w:ascii="Arial" w:cs="Arial" w:eastAsia="Arial" w:hAnsi="Arial"/>
                <w:sz w:val="16"/>
                <w:szCs w:val="16"/>
                <w:color w:val="auto"/>
              </w:rPr>
              <w:t>Residential mortgage</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6,513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5,890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5,787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5,202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Home equity lines of credit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340" w:type="dxa"/>
            <w:vAlign w:val="bottom"/>
          </w:tcPr>
          <w:p>
            <w:pPr>
              <w:ind w:left="180"/>
              <w:spacing w:after="0"/>
              <w:rPr>
                <w:sz w:val="20"/>
                <w:szCs w:val="20"/>
                <w:color w:val="auto"/>
              </w:rPr>
            </w:pPr>
            <w:r>
              <w:rPr>
                <w:rFonts w:ascii="Arial" w:cs="Arial" w:eastAsia="Arial" w:hAnsi="Arial"/>
                <w:sz w:val="16"/>
                <w:szCs w:val="16"/>
                <w:color w:val="auto"/>
              </w:rPr>
              <w:t>Residential construction</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753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428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Consumer direct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340" w:type="dxa"/>
            <w:vAlign w:val="bottom"/>
          </w:tcPr>
          <w:p>
            <w:pPr>
              <w:ind w:left="180"/>
              <w:spacing w:after="0"/>
              <w:rPr>
                <w:sz w:val="20"/>
                <w:szCs w:val="20"/>
                <w:color w:val="auto"/>
              </w:rPr>
            </w:pPr>
            <w:r>
              <w:rPr>
                <w:rFonts w:ascii="Arial" w:cs="Arial" w:eastAsia="Arial" w:hAnsi="Arial"/>
                <w:sz w:val="16"/>
                <w:szCs w:val="16"/>
                <w:color w:val="auto"/>
              </w:rPr>
              <w:t>Indirect auto</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with no related allowance recorded</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24,831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21,663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7"/>
        </w:trPr>
        <w:tc>
          <w:tcPr>
            <w:tcW w:w="33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With an allowance recorded:</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3340" w:type="dxa"/>
            <w:vAlign w:val="bottom"/>
          </w:tcPr>
          <w:p>
            <w:pPr>
              <w:ind w:left="180"/>
              <w:spacing w:after="0"/>
              <w:rPr>
                <w:sz w:val="20"/>
                <w:szCs w:val="20"/>
                <w:color w:val="auto"/>
              </w:rPr>
            </w:pPr>
            <w:r>
              <w:rPr>
                <w:rFonts w:ascii="Arial" w:cs="Arial" w:eastAsia="Arial" w:hAnsi="Arial"/>
                <w:sz w:val="16"/>
                <w:szCs w:val="16"/>
                <w:color w:val="auto"/>
              </w:rPr>
              <w:t>Owner occupied commercial real estate</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11,191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11,149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11,095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11,056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862</w:t>
            </w:r>
          </w:p>
        </w:tc>
      </w:tr>
      <w:tr>
        <w:trPr>
          <w:trHeight w:val="33"/>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producing commercial real estate</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402</w:t>
            </w:r>
          </w:p>
        </w:tc>
      </w:tr>
      <w:tr>
        <w:trPr>
          <w:trHeight w:val="237"/>
        </w:trPr>
        <w:tc>
          <w:tcPr>
            <w:tcW w:w="3340" w:type="dxa"/>
            <w:vAlign w:val="bottom"/>
          </w:tcPr>
          <w:p>
            <w:pPr>
              <w:ind w:left="180"/>
              <w:spacing w:after="0"/>
              <w:rPr>
                <w:sz w:val="20"/>
                <w:szCs w:val="20"/>
                <w:color w:val="auto"/>
              </w:rPr>
            </w:pPr>
            <w:r>
              <w:rPr>
                <w:rFonts w:ascii="Arial" w:cs="Arial" w:eastAsia="Arial" w:hAnsi="Arial"/>
                <w:sz w:val="16"/>
                <w:szCs w:val="16"/>
                <w:color w:val="auto"/>
              </w:rPr>
              <w:t>Commercial &amp; industrial</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1,746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1,341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32</w:t>
            </w:r>
          </w:p>
        </w:tc>
      </w:tr>
      <w:tr>
        <w:trPr>
          <w:trHeight w:val="33"/>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Commercial construction</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w:t>
            </w:r>
          </w:p>
        </w:tc>
      </w:tr>
      <w:tr>
        <w:trPr>
          <w:trHeight w:val="237"/>
        </w:trPr>
        <w:tc>
          <w:tcPr>
            <w:tcW w:w="3340" w:type="dxa"/>
            <w:vAlign w:val="bottom"/>
          </w:tcPr>
          <w:p>
            <w:pPr>
              <w:ind w:left="180"/>
              <w:spacing w:after="0"/>
              <w:rPr>
                <w:sz w:val="20"/>
                <w:szCs w:val="20"/>
                <w:color w:val="auto"/>
              </w:rPr>
            </w:pPr>
            <w:r>
              <w:rPr>
                <w:rFonts w:ascii="Arial" w:cs="Arial" w:eastAsia="Arial" w:hAnsi="Arial"/>
                <w:sz w:val="16"/>
                <w:szCs w:val="16"/>
                <w:color w:val="auto"/>
              </w:rPr>
              <w:t>Equipment financing</w:t>
            </w:r>
          </w:p>
        </w:tc>
        <w:tc>
          <w:tcPr>
            <w:tcW w:w="2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commercial</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21,606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20,654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21,845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20,994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1,367</w:t>
            </w:r>
          </w:p>
        </w:tc>
      </w:tr>
      <w:tr>
        <w:trPr>
          <w:trHeight w:val="237"/>
        </w:trPr>
        <w:tc>
          <w:tcPr>
            <w:tcW w:w="3340" w:type="dxa"/>
            <w:vAlign w:val="bottom"/>
          </w:tcPr>
          <w:p>
            <w:pPr>
              <w:ind w:left="180"/>
              <w:spacing w:after="0"/>
              <w:rPr>
                <w:sz w:val="20"/>
                <w:szCs w:val="20"/>
                <w:color w:val="auto"/>
              </w:rPr>
            </w:pPr>
            <w:r>
              <w:rPr>
                <w:rFonts w:ascii="Arial" w:cs="Arial" w:eastAsia="Arial" w:hAnsi="Arial"/>
                <w:sz w:val="16"/>
                <w:szCs w:val="16"/>
                <w:color w:val="auto"/>
              </w:rPr>
              <w:t>Residential mortgage</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9,713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9,563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9,169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861</w:t>
            </w:r>
          </w:p>
        </w:tc>
      </w:tr>
      <w:tr>
        <w:trPr>
          <w:trHeight w:val="33"/>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Home equity lines of credit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37"/>
        </w:trPr>
        <w:tc>
          <w:tcPr>
            <w:tcW w:w="3340" w:type="dxa"/>
            <w:vAlign w:val="bottom"/>
          </w:tcPr>
          <w:p>
            <w:pPr>
              <w:ind w:left="180"/>
              <w:spacing w:after="0"/>
              <w:rPr>
                <w:sz w:val="20"/>
                <w:szCs w:val="20"/>
                <w:color w:val="auto"/>
              </w:rPr>
            </w:pPr>
            <w:r>
              <w:rPr>
                <w:rFonts w:ascii="Arial" w:cs="Arial" w:eastAsia="Arial" w:hAnsi="Arial"/>
                <w:sz w:val="16"/>
                <w:szCs w:val="16"/>
                <w:color w:val="auto"/>
              </w:rPr>
              <w:t>Residential construction</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727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716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791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51</w:t>
            </w:r>
          </w:p>
        </w:tc>
      </w:tr>
      <w:tr>
        <w:trPr>
          <w:trHeight w:val="33"/>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Consumer direct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r>
      <w:tr>
        <w:trPr>
          <w:trHeight w:val="237"/>
        </w:trPr>
        <w:tc>
          <w:tcPr>
            <w:tcW w:w="3340" w:type="dxa"/>
            <w:vAlign w:val="bottom"/>
          </w:tcPr>
          <w:p>
            <w:pPr>
              <w:ind w:left="180"/>
              <w:spacing w:after="0"/>
              <w:rPr>
                <w:sz w:val="20"/>
                <w:szCs w:val="20"/>
                <w:color w:val="auto"/>
              </w:rPr>
            </w:pPr>
            <w:r>
              <w:rPr>
                <w:rFonts w:ascii="Arial" w:cs="Arial" w:eastAsia="Arial" w:hAnsi="Arial"/>
                <w:sz w:val="16"/>
                <w:szCs w:val="16"/>
                <w:color w:val="auto"/>
              </w:rPr>
              <w:t>Indirect auto</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975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974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945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26</w:t>
            </w:r>
          </w:p>
        </w:tc>
      </w:tr>
      <w:tr>
        <w:trPr>
          <w:trHeight w:val="33"/>
        </w:trPr>
        <w:tc>
          <w:tcPr>
            <w:tcW w:w="3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with an allowance recorded</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33,253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32,131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32,995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31,972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2,312</w:t>
            </w:r>
          </w:p>
        </w:tc>
      </w:tr>
      <w:tr>
        <w:trPr>
          <w:trHeight w:val="244"/>
        </w:trPr>
        <w:tc>
          <w:tcPr>
            <w:tcW w:w="3340" w:type="dxa"/>
            <w:vAlign w:val="bottom"/>
          </w:tcPr>
          <w:p>
            <w:pPr>
              <w:ind w:left="38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58,084</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53,794</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2,219</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59,824</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55,449</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2,312</w:t>
            </w:r>
          </w:p>
        </w:tc>
      </w:tr>
      <w:tr>
        <w:trPr>
          <w:trHeight w:val="20"/>
        </w:trPr>
        <w:tc>
          <w:tcPr>
            <w:tcW w:w="3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2019 and December 31, 2018, $2.22 million and $2.31 million, respectively, of specific reserves were allocated to customers whose loan terms have been modified in TDRs. As of March 31, 2019 and December 31, 2018, there were no commitments to lend additional amounts to customers with outstanding loans that are classified as TDRs.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modification of the TDR terms included one or a combination of the following: a reduction of the stated interest rate of the loan or an extension of the amortization period that would not otherwise be considered in the current market for new debt with similar risk characteristics; a restructuring of the borrower’s debt into an “A/B note structure” where the A note would fall within the borrower’s ability to pay and the remainder would be included in the B note; a mandated bankruptcy restructuring; or interest-only payment terms greater than 90 days where the borrower is unable to amortize the loan. Modified PCI loans are not accounted for as TDRs because they are not separated from the pools, and as such are not classified as impaired loans.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1" w:right="2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Loans modified under the terms of a TDR during the three months ended March 31, 2019 and 2018 are presented in the table below. In addition, the following table presents loans modified under the terms of a TDR that defaulted (became 90 days or more delinquent) during the periods presented and were initially restructured within one year prior to default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48"/>
              <w:spacing w:after="0"/>
              <w:rPr>
                <w:sz w:val="20"/>
                <w:szCs w:val="20"/>
                <w:color w:val="auto"/>
              </w:rPr>
            </w:pPr>
            <w:r>
              <w:rPr>
                <w:rFonts w:ascii="Arial" w:cs="Arial" w:eastAsia="Arial" w:hAnsi="Arial"/>
                <w:sz w:val="14"/>
                <w:szCs w:val="14"/>
                <w:b w:val="1"/>
                <w:bCs w:val="1"/>
                <w:color w:val="auto"/>
                <w:w w:val="98"/>
              </w:rPr>
              <w:t>New TDRs</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Pre-</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gridSpan w:val="4"/>
          </w:tcPr>
          <w:p>
            <w:pPr>
              <w:jc w:val="right"/>
              <w:ind w:right="148"/>
              <w:spacing w:after="0" w:line="153" w:lineRule="exact"/>
              <w:rPr>
                <w:sz w:val="20"/>
                <w:szCs w:val="20"/>
                <w:color w:val="auto"/>
              </w:rPr>
            </w:pPr>
            <w:r>
              <w:rPr>
                <w:rFonts w:ascii="Arial" w:cs="Arial" w:eastAsia="Arial" w:hAnsi="Arial"/>
                <w:sz w:val="14"/>
                <w:szCs w:val="14"/>
                <w:b w:val="1"/>
                <w:bCs w:val="1"/>
                <w:color w:val="auto"/>
              </w:rPr>
              <w:t>TDRs Modified Within the</w:t>
            </w:r>
          </w:p>
        </w:tc>
        <w:tc>
          <w:tcPr>
            <w:tcW w:w="0" w:type="dxa"/>
            <w:vAlign w:val="bottom"/>
          </w:tcPr>
          <w:p>
            <w:pPr>
              <w:spacing w:after="0"/>
              <w:rPr>
                <w:sz w:val="1"/>
                <w:szCs w:val="1"/>
                <w:color w:val="auto"/>
              </w:rPr>
            </w:pPr>
          </w:p>
        </w:tc>
      </w:tr>
      <w:tr>
        <w:trPr>
          <w:trHeight w:val="68"/>
        </w:trPr>
        <w:tc>
          <w:tcPr>
            <w:tcW w:w="2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3960" w:type="dxa"/>
            <w:vAlign w:val="bottom"/>
            <w:gridSpan w:val="11"/>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Post-Modification Outstanding Recorded Investment by Type</w:t>
            </w:r>
          </w:p>
        </w:tc>
        <w:tc>
          <w:tcPr>
            <w:tcW w:w="2140" w:type="dxa"/>
            <w:vAlign w:val="bottom"/>
            <w:gridSpan w:val="4"/>
            <w:vMerge w:val="restart"/>
          </w:tcPr>
          <w:p>
            <w:pPr>
              <w:ind w:left="160"/>
              <w:spacing w:after="0" w:line="149" w:lineRule="exact"/>
              <w:rPr>
                <w:sz w:val="20"/>
                <w:szCs w:val="20"/>
                <w:color w:val="auto"/>
              </w:rPr>
            </w:pPr>
            <w:r>
              <w:rPr>
                <w:rFonts w:ascii="Arial" w:cs="Arial" w:eastAsia="Arial" w:hAnsi="Arial"/>
                <w:sz w:val="14"/>
                <w:szCs w:val="14"/>
                <w:b w:val="1"/>
                <w:bCs w:val="1"/>
                <w:color w:val="auto"/>
                <w:w w:val="99"/>
              </w:rPr>
              <w:t>Previous Twelve Months That</w:t>
            </w:r>
          </w:p>
        </w:tc>
        <w:tc>
          <w:tcPr>
            <w:tcW w:w="0" w:type="dxa"/>
            <w:vAlign w:val="bottom"/>
          </w:tcPr>
          <w:p>
            <w:pPr>
              <w:spacing w:after="0"/>
              <w:rPr>
                <w:sz w:val="1"/>
                <w:szCs w:val="1"/>
                <w:color w:val="auto"/>
              </w:rPr>
            </w:pPr>
          </w:p>
        </w:tc>
      </w:tr>
      <w:tr>
        <w:trPr>
          <w:trHeight w:val="81"/>
        </w:trPr>
        <w:tc>
          <w:tcPr>
            <w:tcW w:w="2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modification</w:t>
            </w:r>
          </w:p>
        </w:tc>
        <w:tc>
          <w:tcPr>
            <w:tcW w:w="100" w:type="dxa"/>
            <w:vAlign w:val="bottom"/>
          </w:tcPr>
          <w:p>
            <w:pPr>
              <w:spacing w:after="0"/>
              <w:rPr>
                <w:sz w:val="7"/>
                <w:szCs w:val="7"/>
                <w:color w:val="auto"/>
              </w:rPr>
            </w:pPr>
          </w:p>
        </w:tc>
        <w:tc>
          <w:tcPr>
            <w:tcW w:w="3960" w:type="dxa"/>
            <w:vAlign w:val="bottom"/>
            <w:gridSpan w:val="11"/>
            <w:vMerge w:val="continue"/>
          </w:tcPr>
          <w:p>
            <w:pPr>
              <w:spacing w:after="0"/>
              <w:rPr>
                <w:sz w:val="7"/>
                <w:szCs w:val="7"/>
                <w:color w:val="auto"/>
              </w:rPr>
            </w:pPr>
          </w:p>
        </w:tc>
        <w:tc>
          <w:tcPr>
            <w:tcW w:w="21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20" w:type="dxa"/>
            <w:vAlign w:val="bottom"/>
            <w:gridSpan w:val="3"/>
            <w:vMerge w:val="restart"/>
          </w:tcPr>
          <w:p>
            <w:pPr>
              <w:jc w:val="center"/>
              <w:ind w:left="28"/>
              <w:spacing w:after="0"/>
              <w:rPr>
                <w:sz w:val="20"/>
                <w:szCs w:val="20"/>
                <w:color w:val="auto"/>
              </w:rPr>
            </w:pPr>
            <w:r>
              <w:rPr>
                <w:rFonts w:ascii="Arial" w:cs="Arial" w:eastAsia="Arial" w:hAnsi="Arial"/>
                <w:sz w:val="14"/>
                <w:szCs w:val="14"/>
                <w:b w:val="1"/>
                <w:bCs w:val="1"/>
                <w:color w:val="auto"/>
                <w:w w:val="94"/>
              </w:rPr>
              <w:t>of Modification</w:t>
            </w: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4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w w:val="98"/>
              </w:rPr>
              <w:t>Have Subsequently Defaulted</w:t>
            </w:r>
          </w:p>
        </w:tc>
        <w:tc>
          <w:tcPr>
            <w:tcW w:w="0" w:type="dxa"/>
            <w:vAlign w:val="bottom"/>
          </w:tcPr>
          <w:p>
            <w:pPr>
              <w:spacing w:after="0"/>
              <w:rPr>
                <w:sz w:val="1"/>
                <w:szCs w:val="1"/>
                <w:color w:val="auto"/>
              </w:rPr>
            </w:pPr>
          </w:p>
        </w:tc>
      </w:tr>
      <w:tr>
        <w:trPr>
          <w:trHeight w:val="124"/>
        </w:trPr>
        <w:tc>
          <w:tcPr>
            <w:tcW w:w="2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240"/>
              <w:spacing w:after="0" w:line="125" w:lineRule="exact"/>
              <w:rPr>
                <w:sz w:val="20"/>
                <w:szCs w:val="20"/>
                <w:color w:val="auto"/>
              </w:rPr>
            </w:pPr>
            <w:r>
              <w:rPr>
                <w:rFonts w:ascii="Arial" w:cs="Arial" w:eastAsia="Arial" w:hAnsi="Arial"/>
                <w:sz w:val="14"/>
                <w:szCs w:val="14"/>
                <w:b w:val="1"/>
                <w:bCs w:val="1"/>
                <w:color w:val="auto"/>
                <w:w w:val="94"/>
              </w:rPr>
              <w:t>Outstanding</w:t>
            </w: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3"/>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140" w:type="dxa"/>
            <w:vAlign w:val="bottom"/>
            <w:tcBorders>
              <w:bottom w:val="single" w:sz="8" w:color="auto"/>
            </w:tcBorders>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3"/>
                <w:szCs w:val="13"/>
                <w:color w:val="auto"/>
              </w:rPr>
            </w:pPr>
          </w:p>
        </w:tc>
        <w:tc>
          <w:tcPr>
            <w:tcW w:w="10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9"/>
              </w:rPr>
              <w:t>Recorded</w:t>
            </w:r>
          </w:p>
        </w:tc>
        <w:tc>
          <w:tcPr>
            <w:tcW w:w="100" w:type="dxa"/>
            <w:vAlign w:val="bottom"/>
          </w:tcPr>
          <w:p>
            <w:pPr>
              <w:spacing w:after="0"/>
              <w:rPr>
                <w:sz w:val="13"/>
                <w:szCs w:val="13"/>
                <w:color w:val="auto"/>
              </w:rPr>
            </w:pPr>
          </w:p>
        </w:tc>
        <w:tc>
          <w:tcPr>
            <w:tcW w:w="96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Rate</w:t>
            </w:r>
          </w:p>
        </w:tc>
        <w:tc>
          <w:tcPr>
            <w:tcW w:w="120" w:type="dxa"/>
            <w:vAlign w:val="bottom"/>
          </w:tcPr>
          <w:p>
            <w:pPr>
              <w:spacing w:after="0"/>
              <w:rPr>
                <w:sz w:val="13"/>
                <w:szCs w:val="13"/>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Structure</w:t>
            </w: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112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3"/>
                <w:szCs w:val="13"/>
                <w:color w:val="auto"/>
              </w:rPr>
            </w:pPr>
          </w:p>
        </w:tc>
        <w:tc>
          <w:tcPr>
            <w:tcW w:w="880" w:type="dxa"/>
            <w:vAlign w:val="bottom"/>
          </w:tcPr>
          <w:p>
            <w:pPr>
              <w:jc w:val="right"/>
              <w:ind w:right="168"/>
              <w:spacing w:after="0" w:line="153" w:lineRule="exact"/>
              <w:rPr>
                <w:sz w:val="20"/>
                <w:szCs w:val="20"/>
                <w:color w:val="auto"/>
              </w:rPr>
            </w:pPr>
            <w:r>
              <w:rPr>
                <w:rFonts w:ascii="Arial" w:cs="Arial" w:eastAsia="Arial" w:hAnsi="Arial"/>
                <w:sz w:val="14"/>
                <w:szCs w:val="14"/>
                <w:b w:val="1"/>
                <w:bCs w:val="1"/>
                <w:color w:val="auto"/>
                <w:w w:val="95"/>
              </w:rPr>
              <w:t>Recorded</w:t>
            </w: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Contracts</w:t>
            </w:r>
          </w:p>
        </w:tc>
        <w:tc>
          <w:tcPr>
            <w:tcW w:w="12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Investment</w:t>
            </w:r>
          </w:p>
        </w:tc>
        <w:tc>
          <w:tcPr>
            <w:tcW w:w="10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Reduction</w:t>
            </w: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120" w:type="dxa"/>
            <w:vAlign w:val="bottom"/>
            <w:gridSpan w:val="2"/>
          </w:tcPr>
          <w:p>
            <w:pPr>
              <w:ind w:left="200"/>
              <w:spacing w:after="0"/>
              <w:rPr>
                <w:sz w:val="20"/>
                <w:szCs w:val="20"/>
                <w:color w:val="auto"/>
              </w:rPr>
            </w:pPr>
            <w:r>
              <w:rPr>
                <w:rFonts w:ascii="Arial" w:cs="Arial" w:eastAsia="Arial" w:hAnsi="Arial"/>
                <w:sz w:val="14"/>
                <w:szCs w:val="14"/>
                <w:b w:val="1"/>
                <w:bCs w:val="1"/>
                <w:color w:val="auto"/>
              </w:rPr>
              <w:t>Contracts</w:t>
            </w:r>
          </w:p>
        </w:tc>
        <w:tc>
          <w:tcPr>
            <w:tcW w:w="140" w:type="dxa"/>
            <w:vAlign w:val="bottom"/>
          </w:tcPr>
          <w:p>
            <w:pPr>
              <w:spacing w:after="0"/>
              <w:rPr>
                <w:sz w:val="16"/>
                <w:szCs w:val="16"/>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b w:val="1"/>
                <w:bCs w:val="1"/>
                <w:color w:val="auto"/>
                <w:w w:val="94"/>
              </w:rPr>
              <w:t>Investment</w:t>
            </w:r>
          </w:p>
        </w:tc>
        <w:tc>
          <w:tcPr>
            <w:tcW w:w="0" w:type="dxa"/>
            <w:vAlign w:val="bottom"/>
          </w:tcPr>
          <w:p>
            <w:pPr>
              <w:spacing w:after="0"/>
              <w:rPr>
                <w:sz w:val="1"/>
                <w:szCs w:val="1"/>
                <w:color w:val="auto"/>
              </w:rPr>
            </w:pPr>
          </w:p>
        </w:tc>
      </w:tr>
      <w:tr>
        <w:trPr>
          <w:trHeight w:val="251"/>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Three Months Ended March 31, 2019</w:t>
            </w:r>
          </w:p>
        </w:tc>
        <w:tc>
          <w:tcPr>
            <w:tcW w:w="120" w:type="dxa"/>
            <w:vAlign w:val="bottom"/>
            <w:tcBorders>
              <w:bottom w:val="single" w:sz="8" w:color="CCEEFF"/>
            </w:tcBorders>
          </w:tcPr>
          <w:p>
            <w:pPr>
              <w:spacing w:after="0"/>
              <w:rPr>
                <w:sz w:val="21"/>
                <w:szCs w:val="21"/>
                <w:color w:val="auto"/>
              </w:rPr>
            </w:pPr>
          </w:p>
        </w:tc>
        <w:tc>
          <w:tcPr>
            <w:tcW w:w="920" w:type="dxa"/>
            <w:vAlign w:val="bottom"/>
            <w:tcBorders>
              <w:top w:val="single" w:sz="8" w:color="auto"/>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CCEEFF"/>
            </w:tcBorders>
          </w:tcPr>
          <w:p>
            <w:pPr>
              <w:spacing w:after="0"/>
              <w:rPr>
                <w:sz w:val="21"/>
                <w:szCs w:val="21"/>
                <w:color w:val="auto"/>
              </w:rPr>
            </w:pPr>
          </w:p>
        </w:tc>
        <w:tc>
          <w:tcPr>
            <w:tcW w:w="940" w:type="dxa"/>
            <w:vAlign w:val="bottom"/>
            <w:tcBorders>
              <w:top w:val="single" w:sz="8" w:color="auto"/>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CCEEFF"/>
            </w:tcBorders>
          </w:tcPr>
          <w:p>
            <w:pPr>
              <w:spacing w:after="0"/>
              <w:rPr>
                <w:sz w:val="21"/>
                <w:szCs w:val="21"/>
                <w:color w:val="auto"/>
              </w:rPr>
            </w:pPr>
          </w:p>
        </w:tc>
        <w:tc>
          <w:tcPr>
            <w:tcW w:w="840" w:type="dxa"/>
            <w:vAlign w:val="bottom"/>
            <w:tcBorders>
              <w:top w:val="single" w:sz="8" w:color="auto"/>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CCEEFF"/>
            </w:tcBorders>
          </w:tcPr>
          <w:p>
            <w:pPr>
              <w:spacing w:after="0"/>
              <w:rPr>
                <w:sz w:val="21"/>
                <w:szCs w:val="21"/>
                <w:color w:val="auto"/>
              </w:rPr>
            </w:pPr>
          </w:p>
        </w:tc>
        <w:tc>
          <w:tcPr>
            <w:tcW w:w="780" w:type="dxa"/>
            <w:vAlign w:val="bottom"/>
            <w:tcBorders>
              <w:top w:val="single" w:sz="8" w:color="auto"/>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40" w:type="dxa"/>
            <w:vAlign w:val="bottom"/>
            <w:tcBorders>
              <w:top w:val="single" w:sz="8" w:color="auto"/>
              <w:bottom w:val="single" w:sz="8" w:color="CCEEFF"/>
            </w:tcBorders>
          </w:tcPr>
          <w:p>
            <w:pPr>
              <w:spacing w:after="0"/>
              <w:rPr>
                <w:sz w:val="21"/>
                <w:szCs w:val="21"/>
                <w:color w:val="auto"/>
              </w:rPr>
            </w:pPr>
          </w:p>
        </w:tc>
        <w:tc>
          <w:tcPr>
            <w:tcW w:w="260" w:type="dxa"/>
            <w:vAlign w:val="bottom"/>
            <w:tcBorders>
              <w:top w:val="single" w:sz="8" w:color="auto"/>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CCEEFF"/>
            </w:tcBorders>
          </w:tcPr>
          <w:p>
            <w:pPr>
              <w:spacing w:after="0"/>
              <w:rPr>
                <w:sz w:val="21"/>
                <w:szCs w:val="21"/>
                <w:color w:val="auto"/>
              </w:rPr>
            </w:pPr>
          </w:p>
        </w:tc>
        <w:tc>
          <w:tcPr>
            <w:tcW w:w="700" w:type="dxa"/>
            <w:vAlign w:val="bottom"/>
            <w:tcBorders>
              <w:top w:val="single" w:sz="8" w:color="auto"/>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20" w:type="dxa"/>
            <w:vAlign w:val="bottom"/>
            <w:tcBorders>
              <w:top w:val="single" w:sz="8" w:color="auto"/>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CCEEFF"/>
            </w:tcBorders>
          </w:tcPr>
          <w:p>
            <w:pPr>
              <w:spacing w:after="0"/>
              <w:rPr>
                <w:sz w:val="21"/>
                <w:szCs w:val="21"/>
                <w:color w:val="auto"/>
              </w:rPr>
            </w:pPr>
          </w:p>
        </w:tc>
        <w:tc>
          <w:tcPr>
            <w:tcW w:w="880" w:type="dxa"/>
            <w:vAlign w:val="bottom"/>
            <w:tcBorders>
              <w:top w:val="single" w:sz="8" w:color="auto"/>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Owner occupied commercial real estate</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Income producing commercial real estate</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169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Commercial &amp; industrial</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Commercial construction</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22"/>
                <w:szCs w:val="22"/>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Equipment financing</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3000" w:type="dxa"/>
            <w:vAlign w:val="bottom"/>
            <w:gridSpan w:val="2"/>
          </w:tcPr>
          <w:p>
            <w:pPr>
              <w:ind w:left="280"/>
              <w:spacing w:after="0"/>
              <w:rPr>
                <w:sz w:val="20"/>
                <w:szCs w:val="20"/>
                <w:color w:val="auto"/>
              </w:rPr>
            </w:pPr>
            <w:r>
              <w:rPr>
                <w:rFonts w:ascii="Arial" w:cs="Arial" w:eastAsia="Arial" w:hAnsi="Arial"/>
                <w:sz w:val="14"/>
                <w:szCs w:val="14"/>
                <w:color w:val="auto"/>
              </w:rPr>
              <w:t>Total commercial</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176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Residential mortgage</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344</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344</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Home equity lines of credit</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22"/>
                <w:szCs w:val="22"/>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Residential construction</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Consumer direct</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22"/>
                <w:szCs w:val="22"/>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Indirect auto</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89"/>
              </w:rPr>
              <w:t>57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3"/>
        </w:trPr>
        <w:tc>
          <w:tcPr>
            <w:tcW w:w="3000" w:type="dxa"/>
            <w:vAlign w:val="bottom"/>
            <w:gridSpan w:val="2"/>
          </w:tcPr>
          <w:p>
            <w:pPr>
              <w:ind w:left="280"/>
              <w:spacing w:after="0"/>
              <w:rPr>
                <w:sz w:val="20"/>
                <w:szCs w:val="20"/>
                <w:color w:val="auto"/>
              </w:rPr>
            </w:pPr>
            <w:r>
              <w:rPr>
                <w:rFonts w:ascii="Arial" w:cs="Arial" w:eastAsia="Arial" w:hAnsi="Arial"/>
                <w:sz w:val="14"/>
                <w:szCs w:val="14"/>
                <w:color w:val="auto"/>
              </w:rPr>
              <w:t>Total loans</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587</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513</w:t>
            </w:r>
          </w:p>
        </w:tc>
        <w:tc>
          <w:tcPr>
            <w:tcW w:w="100" w:type="dxa"/>
            <w:vAlign w:val="bottom"/>
          </w:tcPr>
          <w:p>
            <w:pPr>
              <w:spacing w:after="0"/>
              <w:rPr>
                <w:sz w:val="24"/>
                <w:szCs w:val="24"/>
                <w:color w:val="auto"/>
              </w:rPr>
            </w:pP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w w:val="89"/>
              </w:rPr>
              <w:t>64</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577</w:t>
            </w:r>
          </w:p>
        </w:tc>
        <w:tc>
          <w:tcPr>
            <w:tcW w:w="1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4"/>
        </w:trPr>
        <w:tc>
          <w:tcPr>
            <w:tcW w:w="28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Three Months Ended March 31, 2018</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Owner occupied commercial real estate</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978</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978</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1,586</w:t>
            </w:r>
          </w:p>
        </w:tc>
        <w:tc>
          <w:tcPr>
            <w:tcW w:w="0" w:type="dxa"/>
            <w:vAlign w:val="bottom"/>
          </w:tcPr>
          <w:p>
            <w:pPr>
              <w:spacing w:after="0"/>
              <w:rPr>
                <w:sz w:val="1"/>
                <w:szCs w:val="1"/>
                <w:color w:val="auto"/>
              </w:rPr>
            </w:pPr>
          </w:p>
        </w:tc>
      </w:tr>
      <w:tr>
        <w:trPr>
          <w:trHeight w:val="264"/>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Income producing commercial real estate</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22"/>
                <w:szCs w:val="22"/>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Commercial &amp; industrial</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Commercial construction</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22"/>
                <w:szCs w:val="22"/>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Equipment financing</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3000" w:type="dxa"/>
            <w:vAlign w:val="bottom"/>
            <w:gridSpan w:val="2"/>
          </w:tcPr>
          <w:p>
            <w:pPr>
              <w:ind w:left="280"/>
              <w:spacing w:after="0"/>
              <w:rPr>
                <w:sz w:val="20"/>
                <w:szCs w:val="20"/>
                <w:color w:val="auto"/>
              </w:rPr>
            </w:pPr>
            <w:r>
              <w:rPr>
                <w:rFonts w:ascii="Arial" w:cs="Arial" w:eastAsia="Arial" w:hAnsi="Arial"/>
                <w:sz w:val="14"/>
                <w:szCs w:val="14"/>
                <w:color w:val="auto"/>
              </w:rPr>
              <w:t>Total commercial</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1,075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983</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983</w:t>
            </w:r>
          </w:p>
        </w:tc>
        <w:tc>
          <w:tcPr>
            <w:tcW w:w="10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1,586</w:t>
            </w:r>
          </w:p>
        </w:tc>
        <w:tc>
          <w:tcPr>
            <w:tcW w:w="0" w:type="dxa"/>
            <w:vAlign w:val="bottom"/>
          </w:tcPr>
          <w:p>
            <w:pPr>
              <w:spacing w:after="0"/>
              <w:rPr>
                <w:sz w:val="1"/>
                <w:szCs w:val="1"/>
                <w:color w:val="auto"/>
              </w:rPr>
            </w:pPr>
          </w:p>
        </w:tc>
      </w:tr>
      <w:tr>
        <w:trPr>
          <w:trHeight w:val="276"/>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Residential mortgage</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340</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340</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Home equity lines of credit</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22"/>
                <w:szCs w:val="22"/>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Residential construction</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Consumer direct</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22"/>
                <w:szCs w:val="22"/>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Indirect auto</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000" w:type="dxa"/>
            <w:vAlign w:val="bottom"/>
            <w:gridSpan w:val="2"/>
          </w:tcPr>
          <w:p>
            <w:pPr>
              <w:ind w:left="280"/>
              <w:spacing w:after="0"/>
              <w:rPr>
                <w:sz w:val="20"/>
                <w:szCs w:val="20"/>
                <w:color w:val="auto"/>
              </w:rPr>
            </w:pPr>
            <w:r>
              <w:rPr>
                <w:rFonts w:ascii="Arial" w:cs="Arial" w:eastAsia="Arial" w:hAnsi="Arial"/>
                <w:sz w:val="14"/>
                <w:szCs w:val="14"/>
                <w:color w:val="auto"/>
              </w:rPr>
              <w:t>Total loans</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1,415</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1,323</w:t>
            </w:r>
          </w:p>
        </w:tc>
        <w:tc>
          <w:tcPr>
            <w:tcW w:w="100" w:type="dxa"/>
            <w:vAlign w:val="bottom"/>
          </w:tcPr>
          <w:p>
            <w:pPr>
              <w:spacing w:after="0"/>
              <w:rPr>
                <w:sz w:val="21"/>
                <w:szCs w:val="21"/>
                <w:color w:val="auto"/>
              </w:rPr>
            </w:pP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1,323</w:t>
            </w:r>
          </w:p>
        </w:tc>
        <w:tc>
          <w:tcPr>
            <w:tcW w:w="10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1,586</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Collateral dependent TDRs that subsequently default or are placed on nonaccrual are charged down to the fair value of the collateral consistent with United’s policy for nonaccrual loans. Impairment on TDRs that are not collateral dependent continues to be measured based on discounted cash flows regardless of whether the loan has subsequently defaulted.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average balances of impaired loans and income recognized on impaired loans while they were considered impaired are presented below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119"/>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Interest Revenue</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Interest Revenue</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Recognized</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5"/>
              </w:rPr>
              <w:t>Cash Basis</w:t>
            </w: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Recognized</w:t>
            </w:r>
          </w:p>
        </w:tc>
        <w:tc>
          <w:tcPr>
            <w:tcW w:w="180" w:type="dxa"/>
            <w:vAlign w:val="bottom"/>
          </w:tcPr>
          <w:p>
            <w:pPr>
              <w:spacing w:after="0"/>
              <w:rPr>
                <w:sz w:val="17"/>
                <w:szCs w:val="17"/>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b w:val="1"/>
                <w:bCs w:val="1"/>
                <w:color w:val="auto"/>
                <w:w w:val="92"/>
              </w:rPr>
              <w:t>Cash Basis</w:t>
            </w:r>
          </w:p>
        </w:tc>
      </w:t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During</w:t>
            </w:r>
          </w:p>
        </w:tc>
        <w:tc>
          <w:tcPr>
            <w:tcW w:w="1360" w:type="dxa"/>
            <w:vAlign w:val="bottom"/>
            <w:gridSpan w:val="3"/>
          </w:tcPr>
          <w:p>
            <w:pPr>
              <w:ind w:left="40"/>
              <w:spacing w:after="0"/>
              <w:rPr>
                <w:sz w:val="20"/>
                <w:szCs w:val="20"/>
                <w:color w:val="auto"/>
              </w:rPr>
            </w:pPr>
            <w:r>
              <w:rPr>
                <w:rFonts w:ascii="Arial" w:cs="Arial" w:eastAsia="Arial" w:hAnsi="Arial"/>
                <w:sz w:val="16"/>
                <w:szCs w:val="16"/>
                <w:b w:val="1"/>
                <w:bCs w:val="1"/>
                <w:color w:val="auto"/>
              </w:rPr>
              <w:t>Interest Revenue</w:t>
            </w: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During</w:t>
            </w:r>
          </w:p>
        </w:tc>
        <w:tc>
          <w:tcPr>
            <w:tcW w:w="1240" w:type="dxa"/>
            <w:vAlign w:val="bottom"/>
            <w:gridSpan w:val="2"/>
          </w:tcPr>
          <w:p>
            <w:pPr>
              <w:ind w:left="40"/>
              <w:spacing w:after="0"/>
              <w:rPr>
                <w:sz w:val="20"/>
                <w:szCs w:val="20"/>
                <w:color w:val="auto"/>
              </w:rPr>
            </w:pPr>
            <w:r>
              <w:rPr>
                <w:rFonts w:ascii="Arial" w:cs="Arial" w:eastAsia="Arial" w:hAnsi="Arial"/>
                <w:sz w:val="16"/>
                <w:szCs w:val="16"/>
                <w:b w:val="1"/>
                <w:bCs w:val="1"/>
                <w:color w:val="auto"/>
                <w:w w:val="91"/>
              </w:rPr>
              <w:t>Interest Revenue</w:t>
            </w:r>
          </w:p>
        </w:tc>
      </w:tr>
      <w:tr>
        <w:trPr>
          <w:trHeight w:val="210"/>
        </w:trPr>
        <w:tc>
          <w:tcPr>
            <w:tcW w:w="3340" w:type="dxa"/>
            <w:vAlign w:val="bottom"/>
            <w:gridSpan w:val="2"/>
          </w:tcPr>
          <w:p>
            <w:pPr>
              <w:ind w:left="40"/>
              <w:spacing w:after="0"/>
              <w:rPr>
                <w:sz w:val="20"/>
                <w:szCs w:val="20"/>
                <w:color w:val="auto"/>
              </w:rPr>
            </w:pPr>
            <w:r>
              <w:rPr>
                <w:rFonts w:ascii="Arial" w:cs="Arial" w:eastAsia="Arial" w:hAnsi="Arial"/>
                <w:sz w:val="16"/>
                <w:szCs w:val="16"/>
                <w:b w:val="1"/>
                <w:bCs w:val="1"/>
                <w:color w:val="auto"/>
              </w:rPr>
              <w:t>Three Months Ended March 31,</w:t>
            </w:r>
          </w:p>
        </w:tc>
        <w:tc>
          <w:tcPr>
            <w:tcW w:w="1400" w:type="dxa"/>
            <w:vAlign w:val="bottom"/>
            <w:gridSpan w:val="3"/>
          </w:tcPr>
          <w:p>
            <w:pPr>
              <w:ind w:left="60"/>
              <w:spacing w:after="0"/>
              <w:rPr>
                <w:sz w:val="20"/>
                <w:szCs w:val="20"/>
                <w:color w:val="auto"/>
              </w:rPr>
            </w:pPr>
            <w:r>
              <w:rPr>
                <w:rFonts w:ascii="Arial" w:cs="Arial" w:eastAsia="Arial" w:hAnsi="Arial"/>
                <w:sz w:val="16"/>
                <w:szCs w:val="16"/>
                <w:b w:val="1"/>
                <w:bCs w:val="1"/>
                <w:color w:val="auto"/>
              </w:rPr>
              <w:t>Average Balance</w:t>
            </w: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Impairment</w:t>
            </w: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Received</w:t>
            </w:r>
          </w:p>
        </w:tc>
        <w:tc>
          <w:tcPr>
            <w:tcW w:w="134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Average Balance</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Impairment</w:t>
            </w:r>
          </w:p>
        </w:tc>
        <w:tc>
          <w:tcPr>
            <w:tcW w:w="180" w:type="dxa"/>
            <w:vAlign w:val="bottom"/>
          </w:tcPr>
          <w:p>
            <w:pPr>
              <w:spacing w:after="0"/>
              <w:rPr>
                <w:sz w:val="18"/>
                <w:szCs w:val="18"/>
                <w:color w:val="auto"/>
              </w:rPr>
            </w:pPr>
          </w:p>
        </w:tc>
        <w:tc>
          <w:tcPr>
            <w:tcW w:w="1060" w:type="dxa"/>
            <w:vAlign w:val="bottom"/>
          </w:tcPr>
          <w:p>
            <w:pPr>
              <w:jc w:val="right"/>
              <w:ind w:right="239"/>
              <w:spacing w:after="0"/>
              <w:rPr>
                <w:sz w:val="20"/>
                <w:szCs w:val="20"/>
                <w:color w:val="auto"/>
              </w:rPr>
            </w:pPr>
            <w:r>
              <w:rPr>
                <w:rFonts w:ascii="Arial" w:cs="Arial" w:eastAsia="Arial" w:hAnsi="Arial"/>
                <w:sz w:val="16"/>
                <w:szCs w:val="16"/>
                <w:b w:val="1"/>
                <w:bCs w:val="1"/>
                <w:color w:val="auto"/>
              </w:rPr>
              <w:t>Received</w:t>
            </w:r>
          </w:p>
        </w:tc>
      </w:tr>
      <w:tr>
        <w:trPr>
          <w:trHeight w:val="33"/>
        </w:trPr>
        <w:tc>
          <w:tcPr>
            <w:tcW w:w="3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Owner occupied commercial real estate</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17,410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24,658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w:t>
            </w: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Income producing commercial real estate</w:t>
            </w:r>
          </w:p>
        </w:tc>
        <w:tc>
          <w:tcPr>
            <w:tcW w:w="40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14,237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207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16,433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235</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Commercial &amp; industrial</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Commercial construction</w:t>
            </w:r>
          </w:p>
        </w:tc>
        <w:tc>
          <w:tcPr>
            <w:tcW w:w="40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2,402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3,936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52</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Equipment financing</w:t>
            </w:r>
          </w:p>
        </w:tc>
        <w:tc>
          <w:tcPr>
            <w:tcW w:w="4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3340" w:type="dxa"/>
            <w:vAlign w:val="bottom"/>
            <w:gridSpan w:val="2"/>
          </w:tcPr>
          <w:p>
            <w:pPr>
              <w:ind w:left="180"/>
              <w:spacing w:after="0"/>
              <w:rPr>
                <w:sz w:val="20"/>
                <w:szCs w:val="20"/>
                <w:color w:val="auto"/>
              </w:rPr>
            </w:pPr>
            <w:r>
              <w:rPr>
                <w:rFonts w:ascii="Arial" w:cs="Arial" w:eastAsia="Arial" w:hAnsi="Arial"/>
                <w:sz w:val="16"/>
                <w:szCs w:val="16"/>
                <w:color w:val="auto"/>
              </w:rPr>
              <w:t>Total commercial</w:t>
            </w:r>
          </w:p>
        </w:tc>
        <w:tc>
          <w:tcPr>
            <w:tcW w:w="4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35,765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531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543</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47,623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609</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Residential mortgage</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w:t>
            </w: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Home equity lines of credit</w:t>
            </w:r>
          </w:p>
        </w:tc>
        <w:tc>
          <w:tcPr>
            <w:tcW w:w="40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Residential construction</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Consumer direct</w:t>
            </w:r>
          </w:p>
        </w:tc>
        <w:tc>
          <w:tcPr>
            <w:tcW w:w="40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Indirect auto</w:t>
            </w:r>
          </w:p>
        </w:tc>
        <w:tc>
          <w:tcPr>
            <w:tcW w:w="4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r>
      <w:tr>
        <w:trPr>
          <w:trHeight w:val="244"/>
        </w:trPr>
        <w:tc>
          <w:tcPr>
            <w:tcW w:w="3340" w:type="dxa"/>
            <w:vAlign w:val="bottom"/>
            <w:gridSpan w:val="2"/>
          </w:tcPr>
          <w:p>
            <w:pPr>
              <w:ind w:left="180"/>
              <w:spacing w:after="0"/>
              <w:rPr>
                <w:sz w:val="20"/>
                <w:szCs w:val="20"/>
                <w:color w:val="auto"/>
              </w:rPr>
            </w:pPr>
            <w:r>
              <w:rPr>
                <w:rFonts w:ascii="Arial" w:cs="Arial" w:eastAsia="Arial" w:hAnsi="Arial"/>
                <w:sz w:val="16"/>
                <w:szCs w:val="16"/>
                <w:color w:val="auto"/>
              </w:rPr>
              <w:t>Total</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54,328</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745</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761</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66,219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746</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810</w:t>
            </w: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Nonaccrual and Past Due Loans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Nonaccrual loans include both homogeneous loans that are collectively evaluated for impairment and individually evaluated impaired loans. United’s policy is to place loans on nonaccrual status when, in the opinion of management, the principal and interest on a loan is not likely to be repaid in full or when the loan becomes 90 days past due and is not well secured and in the process of collection. When a loan is classified on nonaccrual status, interest previously accrued but not collected is reversed against current interest revenue. Principal and interest payments received on a nonaccrual loan are generally applied to reduce the loan’s recorded investment.</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PCI loans are considered past due or delinquent when the contractual principal or interest due in accordance with the terms of the loan agreement remains unpaid after the due date of the scheduled payment. However, these loans are considered to be performing, even though they may be contractually past due, as any non-payment of contractual principal or interest is considered in the periodic re-estimation of expected cash flows and is included in the resulting recognition of current period loan loss provision or future period yield adjustments. The accrual of interest is discontinued on PCI loans if management can no longer reliably estimate future cash flows on the loan or pool of loans. No PCI loans were classified as nonaccrual at March 31, 2019 or December 31, 2018 as the carrying value of the respective loan or pool of loans cash flows were considered estimable and probable of collection. Therefore, interest revenue, through accretion of the difference between the carrying value of the loans and the expected cash flows, is being recognized on all PCI loans.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gross additional interest revenue that would have been earned if the loans classified as nonaccrual had performed in accordance with the original terms was approximately $378,000 and $342,000 for the three months ended March 31, 2019 and 2018,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recorded investment in nonaccrual loans by loan class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6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2019</w:t>
            </w: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940" w:type="dxa"/>
            <w:vAlign w:val="bottom"/>
          </w:tcPr>
          <w:p>
            <w:pPr>
              <w:spacing w:after="0"/>
              <w:rPr>
                <w:sz w:val="20"/>
                <w:szCs w:val="20"/>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1880"/>
              <w:spacing w:after="0"/>
              <w:rPr>
                <w:sz w:val="20"/>
                <w:szCs w:val="20"/>
                <w:color w:val="auto"/>
              </w:rPr>
            </w:pPr>
            <w:r>
              <w:rPr>
                <w:rFonts w:ascii="Arial" w:cs="Arial" w:eastAsia="Arial" w:hAnsi="Arial"/>
                <w:sz w:val="18"/>
                <w:szCs w:val="18"/>
                <w:color w:val="auto"/>
              </w:rPr>
              <w:t>Owner occupied commercial real estate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6,421</w:t>
            </w:r>
          </w:p>
        </w:tc>
        <w:tc>
          <w:tcPr>
            <w:tcW w:w="194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1880"/>
              <w:spacing w:after="0"/>
              <w:rPr>
                <w:sz w:val="20"/>
                <w:szCs w:val="20"/>
                <w:color w:val="auto"/>
              </w:rPr>
            </w:pPr>
            <w:r>
              <w:rPr>
                <w:rFonts w:ascii="Arial" w:cs="Arial" w:eastAsia="Arial" w:hAnsi="Arial"/>
                <w:sz w:val="18"/>
                <w:szCs w:val="18"/>
                <w:color w:val="auto"/>
              </w:rPr>
              <w:t>Income producing commercial real estate</w:t>
            </w:r>
          </w:p>
        </w:tc>
        <w:tc>
          <w:tcPr>
            <w:tcW w:w="1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1,276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1,160</w:t>
            </w:r>
          </w:p>
        </w:tc>
        <w:tc>
          <w:tcPr>
            <w:tcW w:w="194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880"/>
              <w:spacing w:after="0"/>
              <w:rPr>
                <w:sz w:val="20"/>
                <w:szCs w:val="20"/>
                <w:color w:val="auto"/>
              </w:rPr>
            </w:pPr>
            <w:r>
              <w:rPr>
                <w:rFonts w:ascii="Arial" w:cs="Arial" w:eastAsia="Arial" w:hAnsi="Arial"/>
                <w:sz w:val="18"/>
                <w:szCs w:val="18"/>
                <w:color w:val="auto"/>
              </w:rPr>
              <w:t>Commercial &amp; industrial</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1,417</w:t>
            </w:r>
          </w:p>
        </w:tc>
        <w:tc>
          <w:tcPr>
            <w:tcW w:w="194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1880"/>
              <w:spacing w:after="0"/>
              <w:rPr>
                <w:sz w:val="20"/>
                <w:szCs w:val="20"/>
                <w:color w:val="auto"/>
              </w:rPr>
            </w:pPr>
            <w:r>
              <w:rPr>
                <w:rFonts w:ascii="Arial" w:cs="Arial" w:eastAsia="Arial" w:hAnsi="Arial"/>
                <w:sz w:val="18"/>
                <w:szCs w:val="18"/>
                <w:color w:val="auto"/>
              </w:rPr>
              <w:t>Commercial construction</w:t>
            </w:r>
          </w:p>
        </w:tc>
        <w:tc>
          <w:tcPr>
            <w:tcW w:w="1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605</w:t>
            </w:r>
          </w:p>
        </w:tc>
        <w:tc>
          <w:tcPr>
            <w:tcW w:w="194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1880"/>
              <w:spacing w:after="0"/>
              <w:rPr>
                <w:sz w:val="20"/>
                <w:szCs w:val="20"/>
                <w:color w:val="auto"/>
              </w:rPr>
            </w:pPr>
            <w:r>
              <w:rPr>
                <w:rFonts w:ascii="Arial" w:cs="Arial" w:eastAsia="Arial" w:hAnsi="Arial"/>
                <w:sz w:val="18"/>
                <w:szCs w:val="18"/>
                <w:color w:val="auto"/>
              </w:rPr>
              <w:t>Equipment financing</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2,677</w:t>
            </w:r>
          </w:p>
        </w:tc>
        <w:tc>
          <w:tcPr>
            <w:tcW w:w="1940" w:type="dxa"/>
            <w:vAlign w:val="bottom"/>
            <w:tcBorders>
              <w:bottom w:val="single" w:sz="8" w:color="CCEEFF"/>
            </w:tcBorders>
            <w:shd w:val="clear" w:color="auto" w:fill="CCEEFF"/>
          </w:tcPr>
          <w:p>
            <w:pPr>
              <w:spacing w:after="0"/>
              <w:rPr>
                <w:sz w:val="23"/>
                <w:szCs w:val="23"/>
                <w:color w:val="auto"/>
              </w:rPr>
            </w:pPr>
          </w:p>
        </w:tc>
      </w:tr>
      <w:tr>
        <w:trPr>
          <w:trHeight w:val="237"/>
        </w:trPr>
        <w:tc>
          <w:tcPr>
            <w:tcW w:w="6540" w:type="dxa"/>
            <w:vAlign w:val="bottom"/>
          </w:tcPr>
          <w:p>
            <w:pPr>
              <w:ind w:left="2000"/>
              <w:spacing w:after="0"/>
              <w:rPr>
                <w:sz w:val="20"/>
                <w:szCs w:val="20"/>
                <w:color w:val="auto"/>
              </w:rPr>
            </w:pPr>
            <w:r>
              <w:rPr>
                <w:rFonts w:ascii="Arial" w:cs="Arial" w:eastAsia="Arial" w:hAnsi="Arial"/>
                <w:sz w:val="18"/>
                <w:szCs w:val="18"/>
                <w:color w:val="auto"/>
              </w:rPr>
              <w:t>Total commercial</w:t>
            </w: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12,258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12,280</w:t>
            </w:r>
          </w:p>
        </w:tc>
        <w:tc>
          <w:tcPr>
            <w:tcW w:w="1940" w:type="dxa"/>
            <w:vAlign w:val="bottom"/>
          </w:tcPr>
          <w:p>
            <w:pPr>
              <w:spacing w:after="0"/>
              <w:rPr>
                <w:sz w:val="20"/>
                <w:szCs w:val="20"/>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880"/>
              <w:spacing w:after="0"/>
              <w:rPr>
                <w:sz w:val="20"/>
                <w:szCs w:val="20"/>
                <w:color w:val="auto"/>
              </w:rPr>
            </w:pPr>
            <w:r>
              <w:rPr>
                <w:rFonts w:ascii="Arial" w:cs="Arial" w:eastAsia="Arial" w:hAnsi="Arial"/>
                <w:sz w:val="18"/>
                <w:szCs w:val="18"/>
                <w:color w:val="auto"/>
              </w:rPr>
              <w:t>Residential mortgage</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8,035</w:t>
            </w:r>
          </w:p>
        </w:tc>
        <w:tc>
          <w:tcPr>
            <w:tcW w:w="194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1880"/>
              <w:spacing w:after="0"/>
              <w:rPr>
                <w:sz w:val="20"/>
                <w:szCs w:val="20"/>
                <w:color w:val="auto"/>
              </w:rPr>
            </w:pPr>
            <w:r>
              <w:rPr>
                <w:rFonts w:ascii="Arial" w:cs="Arial" w:eastAsia="Arial" w:hAnsi="Arial"/>
                <w:sz w:val="18"/>
                <w:szCs w:val="18"/>
                <w:color w:val="auto"/>
              </w:rPr>
              <w:t>Home equity lines of credit</w:t>
            </w:r>
          </w:p>
        </w:tc>
        <w:tc>
          <w:tcPr>
            <w:tcW w:w="1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2,233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2,360</w:t>
            </w:r>
          </w:p>
        </w:tc>
        <w:tc>
          <w:tcPr>
            <w:tcW w:w="194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880"/>
              <w:spacing w:after="0"/>
              <w:rPr>
                <w:sz w:val="20"/>
                <w:szCs w:val="20"/>
                <w:color w:val="auto"/>
              </w:rPr>
            </w:pPr>
            <w:r>
              <w:rPr>
                <w:rFonts w:ascii="Arial" w:cs="Arial" w:eastAsia="Arial" w:hAnsi="Arial"/>
                <w:sz w:val="18"/>
                <w:szCs w:val="18"/>
                <w:color w:val="auto"/>
              </w:rPr>
              <w:t>Residential construction</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c>
          <w:tcPr>
            <w:tcW w:w="194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1880"/>
              <w:spacing w:after="0"/>
              <w:rPr>
                <w:sz w:val="20"/>
                <w:szCs w:val="20"/>
                <w:color w:val="auto"/>
              </w:rPr>
            </w:pPr>
            <w:r>
              <w:rPr>
                <w:rFonts w:ascii="Arial" w:cs="Arial" w:eastAsia="Arial" w:hAnsi="Arial"/>
                <w:sz w:val="18"/>
                <w:szCs w:val="18"/>
                <w:color w:val="auto"/>
              </w:rPr>
              <w:t>Consumer direct</w:t>
            </w:r>
          </w:p>
        </w:tc>
        <w:tc>
          <w:tcPr>
            <w:tcW w:w="1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194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1880"/>
              <w:spacing w:after="0"/>
              <w:rPr>
                <w:sz w:val="20"/>
                <w:szCs w:val="20"/>
                <w:color w:val="auto"/>
              </w:rPr>
            </w:pPr>
            <w:r>
              <w:rPr>
                <w:rFonts w:ascii="Arial" w:cs="Arial" w:eastAsia="Arial" w:hAnsi="Arial"/>
                <w:sz w:val="18"/>
                <w:szCs w:val="18"/>
                <w:color w:val="auto"/>
              </w:rPr>
              <w:t>Indirect auto</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726</w:t>
            </w:r>
          </w:p>
        </w:tc>
        <w:tc>
          <w:tcPr>
            <w:tcW w:w="1940" w:type="dxa"/>
            <w:vAlign w:val="bottom"/>
            <w:tcBorders>
              <w:bottom w:val="single" w:sz="8" w:color="CCEEFF"/>
            </w:tcBorders>
            <w:shd w:val="clear" w:color="auto" w:fill="CCEEFF"/>
          </w:tcPr>
          <w:p>
            <w:pPr>
              <w:spacing w:after="0"/>
              <w:rPr>
                <w:sz w:val="23"/>
                <w:szCs w:val="23"/>
                <w:color w:val="auto"/>
              </w:rPr>
            </w:pPr>
          </w:p>
        </w:tc>
      </w:tr>
      <w:tr>
        <w:trPr>
          <w:trHeight w:val="257"/>
        </w:trPr>
        <w:tc>
          <w:tcPr>
            <w:tcW w:w="6540" w:type="dxa"/>
            <w:vAlign w:val="bottom"/>
          </w:tcPr>
          <w:p>
            <w:pPr>
              <w:ind w:left="200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23,624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23,778</w:t>
            </w:r>
          </w:p>
        </w:tc>
        <w:tc>
          <w:tcPr>
            <w:tcW w:w="1940" w:type="dxa"/>
            <w:vAlign w:val="bottom"/>
          </w:tcPr>
          <w:p>
            <w:pPr>
              <w:spacing w:after="0"/>
              <w:rPr>
                <w:sz w:val="22"/>
                <w:szCs w:val="22"/>
                <w:color w:val="auto"/>
              </w:rPr>
            </w:pPr>
          </w:p>
        </w:tc>
      </w:tr>
      <w:tr>
        <w:trPr>
          <w:trHeight w:val="20"/>
        </w:trPr>
        <w:tc>
          <w:tcPr>
            <w:tcW w:w="6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Excluding PCI loans, substantially all loans more than 90 days past due were on nonaccrual status at March 31, 2019 and December 31, 2018. The following table presents the aging of the recorded investment in past due loans by class of loans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gridSpan w:val="5"/>
          </w:tcPr>
          <w:p>
            <w:pPr>
              <w:ind w:left="220"/>
              <w:spacing w:after="0"/>
              <w:rPr>
                <w:sz w:val="20"/>
                <w:szCs w:val="20"/>
                <w:color w:val="auto"/>
              </w:rPr>
            </w:pPr>
            <w:r>
              <w:rPr>
                <w:rFonts w:ascii="Arial" w:cs="Arial" w:eastAsia="Arial" w:hAnsi="Arial"/>
                <w:sz w:val="16"/>
                <w:szCs w:val="16"/>
                <w:b w:val="1"/>
                <w:bCs w:val="1"/>
                <w:color w:val="auto"/>
              </w:rPr>
              <w:t>Loans Past Due</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9"/>
              </w:rPr>
              <w:t>Loans Not</w:t>
            </w: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60" w:type="dxa"/>
            <w:vAlign w:val="bottom"/>
            <w:gridSpan w:val="2"/>
          </w:tcPr>
          <w:p>
            <w:pPr>
              <w:ind w:left="40"/>
              <w:spacing w:after="0"/>
              <w:rPr>
                <w:sz w:val="20"/>
                <w:szCs w:val="20"/>
                <w:color w:val="auto"/>
              </w:rPr>
            </w:pPr>
            <w:r>
              <w:rPr>
                <w:rFonts w:ascii="Arial" w:cs="Arial" w:eastAsia="Arial" w:hAnsi="Arial"/>
                <w:sz w:val="16"/>
                <w:szCs w:val="16"/>
                <w:b w:val="1"/>
                <w:bCs w:val="1"/>
                <w:color w:val="auto"/>
              </w:rPr>
              <w:t>As of March 31, 2019</w:t>
            </w:r>
          </w:p>
        </w:tc>
        <w:tc>
          <w:tcPr>
            <w:tcW w:w="1180" w:type="dxa"/>
            <w:vAlign w:val="bottom"/>
            <w:gridSpan w:val="3"/>
          </w:tcPr>
          <w:p>
            <w:pPr>
              <w:ind w:left="100"/>
              <w:spacing w:after="0"/>
              <w:rPr>
                <w:sz w:val="20"/>
                <w:szCs w:val="20"/>
                <w:color w:val="auto"/>
              </w:rPr>
            </w:pPr>
            <w:r>
              <w:rPr>
                <w:rFonts w:ascii="Arial" w:cs="Arial" w:eastAsia="Arial" w:hAnsi="Arial"/>
                <w:sz w:val="16"/>
                <w:szCs w:val="16"/>
                <w:b w:val="1"/>
                <w:bCs w:val="1"/>
                <w:color w:val="auto"/>
              </w:rPr>
              <w:t>30 - 59 Days</w:t>
            </w:r>
          </w:p>
        </w:tc>
        <w:tc>
          <w:tcPr>
            <w:tcW w:w="1160" w:type="dxa"/>
            <w:vAlign w:val="bottom"/>
            <w:gridSpan w:val="3"/>
          </w:tcPr>
          <w:p>
            <w:pPr>
              <w:ind w:left="100"/>
              <w:spacing w:after="0"/>
              <w:rPr>
                <w:sz w:val="20"/>
                <w:szCs w:val="20"/>
                <w:color w:val="auto"/>
              </w:rPr>
            </w:pPr>
            <w:r>
              <w:rPr>
                <w:rFonts w:ascii="Arial" w:cs="Arial" w:eastAsia="Arial" w:hAnsi="Arial"/>
                <w:sz w:val="16"/>
                <w:szCs w:val="16"/>
                <w:b w:val="1"/>
                <w:bCs w:val="1"/>
                <w:color w:val="auto"/>
              </w:rPr>
              <w:t>60 - 89 Days</w:t>
            </w:r>
          </w:p>
        </w:tc>
        <w:tc>
          <w:tcPr>
            <w:tcW w:w="16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&gt; 90 Days</w:t>
            </w:r>
          </w:p>
        </w:tc>
        <w:tc>
          <w:tcPr>
            <w:tcW w:w="220" w:type="dxa"/>
            <w:vAlign w:val="bottom"/>
          </w:tcPr>
          <w:p>
            <w:pPr>
              <w:spacing w:after="0"/>
              <w:rPr>
                <w:sz w:val="18"/>
                <w:szCs w:val="18"/>
                <w:color w:val="auto"/>
              </w:rPr>
            </w:pPr>
          </w:p>
        </w:tc>
        <w:tc>
          <w:tcPr>
            <w:tcW w:w="90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Past Due</w:t>
            </w:r>
          </w:p>
        </w:tc>
        <w:tc>
          <w:tcPr>
            <w:tcW w:w="12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PCI Loans</w:t>
            </w:r>
          </w:p>
        </w:tc>
        <w:tc>
          <w:tcPr>
            <w:tcW w:w="180" w:type="dxa"/>
            <w:vAlign w:val="bottom"/>
          </w:tcPr>
          <w:p>
            <w:pPr>
              <w:spacing w:after="0"/>
              <w:rPr>
                <w:sz w:val="18"/>
                <w:szCs w:val="18"/>
                <w:color w:val="auto"/>
              </w:rPr>
            </w:pPr>
          </w:p>
        </w:tc>
        <w:tc>
          <w:tcPr>
            <w:tcW w:w="84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Owner occupied commercial real estate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4,644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3,328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9,114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1,602,350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8,604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1,620,068</w:t>
            </w: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Income producing commercial real estate</w:t>
            </w:r>
          </w:p>
        </w:tc>
        <w:tc>
          <w:tcPr>
            <w:tcW w:w="30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1,199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706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2,030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1,829,298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36,097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1,867,425</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Commercial &amp; industrial</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1,279,148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1,283,865</w:t>
            </w: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Commercial construction</w:t>
            </w:r>
          </w:p>
        </w:tc>
        <w:tc>
          <w:tcPr>
            <w:tcW w:w="30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443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606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859,456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5,604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865,666</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Equipment financing</w:t>
            </w: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1,809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1,722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4,425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594,818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6,741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605,984</w:t>
            </w:r>
          </w:p>
        </w:tc>
        <w:tc>
          <w:tcPr>
            <w:tcW w:w="0" w:type="dxa"/>
            <w:vAlign w:val="bottom"/>
          </w:tcPr>
          <w:p>
            <w:pPr>
              <w:spacing w:after="0"/>
              <w:rPr>
                <w:sz w:val="1"/>
                <w:szCs w:val="1"/>
                <w:color w:val="auto"/>
              </w:rPr>
            </w:pPr>
          </w:p>
        </w:tc>
      </w:tr>
      <w:tr>
        <w:trPr>
          <w:trHeight w:val="217"/>
        </w:trPr>
        <w:tc>
          <w:tcPr>
            <w:tcW w:w="3560" w:type="dxa"/>
            <w:vAlign w:val="bottom"/>
            <w:gridSpan w:val="2"/>
          </w:tcPr>
          <w:p>
            <w:pPr>
              <w:ind w:left="180"/>
              <w:spacing w:after="0"/>
              <w:rPr>
                <w:sz w:val="20"/>
                <w:szCs w:val="20"/>
                <w:color w:val="auto"/>
              </w:rPr>
            </w:pPr>
            <w:r>
              <w:rPr>
                <w:rFonts w:ascii="Arial" w:cs="Arial" w:eastAsia="Arial" w:hAnsi="Arial"/>
                <w:sz w:val="16"/>
                <w:szCs w:val="16"/>
                <w:color w:val="auto"/>
              </w:rPr>
              <w:t>Total commercial</w:t>
            </w:r>
          </w:p>
        </w:tc>
        <w:tc>
          <w:tcPr>
            <w:tcW w:w="3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10,440</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3,394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6,717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20,551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6,165,070</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57,387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6,243,008</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Residential mortgage</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1,047,370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1,063,840</w:t>
            </w: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Home equity lines of credit</w:t>
            </w:r>
          </w:p>
        </w:tc>
        <w:tc>
          <w:tcPr>
            <w:tcW w:w="30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2,355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634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3,517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678,785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1,469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683,771</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Residential construction</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199,267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200,708</w:t>
            </w: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Consumer direct</w:t>
            </w:r>
          </w:p>
        </w:tc>
        <w:tc>
          <w:tcPr>
            <w:tcW w:w="30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522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613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120,085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476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121,174</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Indirect auto</w:t>
            </w: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179,441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180,753</w:t>
            </w:r>
          </w:p>
        </w:tc>
        <w:tc>
          <w:tcPr>
            <w:tcW w:w="0" w:type="dxa"/>
            <w:vAlign w:val="bottom"/>
          </w:tcPr>
          <w:p>
            <w:pPr>
              <w:spacing w:after="0"/>
              <w:rPr>
                <w:sz w:val="1"/>
                <w:szCs w:val="1"/>
                <w:color w:val="auto"/>
              </w:rPr>
            </w:pPr>
          </w:p>
        </w:tc>
      </w:tr>
      <w:tr>
        <w:trPr>
          <w:trHeight w:val="244"/>
        </w:trPr>
        <w:tc>
          <w:tcPr>
            <w:tcW w:w="3560" w:type="dxa"/>
            <w:vAlign w:val="bottom"/>
            <w:gridSpan w:val="2"/>
          </w:tcPr>
          <w:p>
            <w:pPr>
              <w:ind w:left="180"/>
              <w:spacing w:after="0"/>
              <w:rPr>
                <w:sz w:val="20"/>
                <w:szCs w:val="20"/>
                <w:color w:val="auto"/>
              </w:rPr>
            </w:pPr>
            <w:r>
              <w:rPr>
                <w:rFonts w:ascii="Arial" w:cs="Arial" w:eastAsia="Arial" w:hAnsi="Arial"/>
                <w:sz w:val="16"/>
                <w:szCs w:val="16"/>
                <w:color w:val="auto"/>
              </w:rPr>
              <w:t>Total loans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19,464</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5,945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9,109</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34,518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8,390,018</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68,718</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8,493,254</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gridSpan w:val="5"/>
          </w:tcPr>
          <w:p>
            <w:pPr>
              <w:ind w:left="220"/>
              <w:spacing w:after="0"/>
              <w:rPr>
                <w:sz w:val="20"/>
                <w:szCs w:val="20"/>
                <w:color w:val="auto"/>
              </w:rPr>
            </w:pPr>
            <w:r>
              <w:rPr>
                <w:rFonts w:ascii="Arial" w:cs="Arial" w:eastAsia="Arial" w:hAnsi="Arial"/>
                <w:sz w:val="16"/>
                <w:szCs w:val="16"/>
                <w:b w:val="1"/>
                <w:bCs w:val="1"/>
                <w:color w:val="auto"/>
              </w:rPr>
              <w:t>Loans Past Due</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9"/>
              </w:rPr>
              <w:t>Loans Not</w:t>
            </w: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60" w:type="dxa"/>
            <w:vAlign w:val="bottom"/>
            <w:gridSpan w:val="2"/>
          </w:tcPr>
          <w:p>
            <w:pPr>
              <w:ind w:left="40"/>
              <w:spacing w:after="0"/>
              <w:rPr>
                <w:sz w:val="20"/>
                <w:szCs w:val="20"/>
                <w:color w:val="auto"/>
              </w:rPr>
            </w:pPr>
            <w:r>
              <w:rPr>
                <w:rFonts w:ascii="Arial" w:cs="Arial" w:eastAsia="Arial" w:hAnsi="Arial"/>
                <w:sz w:val="16"/>
                <w:szCs w:val="16"/>
                <w:b w:val="1"/>
                <w:bCs w:val="1"/>
                <w:color w:val="auto"/>
              </w:rPr>
              <w:t>As of December 31, 2018</w:t>
            </w:r>
          </w:p>
        </w:tc>
        <w:tc>
          <w:tcPr>
            <w:tcW w:w="1180" w:type="dxa"/>
            <w:vAlign w:val="bottom"/>
            <w:gridSpan w:val="3"/>
          </w:tcPr>
          <w:p>
            <w:pPr>
              <w:ind w:left="100"/>
              <w:spacing w:after="0"/>
              <w:rPr>
                <w:sz w:val="20"/>
                <w:szCs w:val="20"/>
                <w:color w:val="auto"/>
              </w:rPr>
            </w:pPr>
            <w:r>
              <w:rPr>
                <w:rFonts w:ascii="Arial" w:cs="Arial" w:eastAsia="Arial" w:hAnsi="Arial"/>
                <w:sz w:val="16"/>
                <w:szCs w:val="16"/>
                <w:b w:val="1"/>
                <w:bCs w:val="1"/>
                <w:color w:val="auto"/>
              </w:rPr>
              <w:t>30 - 59 Days</w:t>
            </w:r>
          </w:p>
        </w:tc>
        <w:tc>
          <w:tcPr>
            <w:tcW w:w="1160" w:type="dxa"/>
            <w:vAlign w:val="bottom"/>
            <w:gridSpan w:val="3"/>
          </w:tcPr>
          <w:p>
            <w:pPr>
              <w:ind w:left="100"/>
              <w:spacing w:after="0"/>
              <w:rPr>
                <w:sz w:val="20"/>
                <w:szCs w:val="20"/>
                <w:color w:val="auto"/>
              </w:rPr>
            </w:pPr>
            <w:r>
              <w:rPr>
                <w:rFonts w:ascii="Arial" w:cs="Arial" w:eastAsia="Arial" w:hAnsi="Arial"/>
                <w:sz w:val="16"/>
                <w:szCs w:val="16"/>
                <w:b w:val="1"/>
                <w:bCs w:val="1"/>
                <w:color w:val="auto"/>
              </w:rPr>
              <w:t>60 - 89 Days</w:t>
            </w:r>
          </w:p>
        </w:tc>
        <w:tc>
          <w:tcPr>
            <w:tcW w:w="16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&gt; 90 Days</w:t>
            </w:r>
          </w:p>
        </w:tc>
        <w:tc>
          <w:tcPr>
            <w:tcW w:w="220" w:type="dxa"/>
            <w:vAlign w:val="bottom"/>
          </w:tcPr>
          <w:p>
            <w:pPr>
              <w:spacing w:after="0"/>
              <w:rPr>
                <w:sz w:val="18"/>
                <w:szCs w:val="18"/>
                <w:color w:val="auto"/>
              </w:rPr>
            </w:pPr>
          </w:p>
        </w:tc>
        <w:tc>
          <w:tcPr>
            <w:tcW w:w="90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Past Due</w:t>
            </w:r>
          </w:p>
        </w:tc>
        <w:tc>
          <w:tcPr>
            <w:tcW w:w="12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PCI Loans</w:t>
            </w:r>
          </w:p>
        </w:tc>
        <w:tc>
          <w:tcPr>
            <w:tcW w:w="180" w:type="dxa"/>
            <w:vAlign w:val="bottom"/>
          </w:tcPr>
          <w:p>
            <w:pPr>
              <w:spacing w:after="0"/>
              <w:rPr>
                <w:sz w:val="18"/>
                <w:szCs w:val="18"/>
                <w:color w:val="auto"/>
              </w:rPr>
            </w:pPr>
          </w:p>
        </w:tc>
        <w:tc>
          <w:tcPr>
            <w:tcW w:w="84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Owner occupied commercial real estate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2,897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6,450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1,631,602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9,852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1,647,904</w:t>
            </w: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Income producing commercial real estate</w:t>
            </w:r>
          </w:p>
        </w:tc>
        <w:tc>
          <w:tcPr>
            <w:tcW w:w="30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1,624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291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2,216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1,771,893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38,311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1,812,420</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Commercial &amp; industrial</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1,269,632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1,278,347</w:t>
            </w: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Commercial construction</w:t>
            </w:r>
          </w:p>
        </w:tc>
        <w:tc>
          <w:tcPr>
            <w:tcW w:w="30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789,916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5,907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796,158</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Equipment financing</w:t>
            </w: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2,658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4,748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551,924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7,942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564,614</w:t>
            </w:r>
          </w:p>
        </w:tc>
        <w:tc>
          <w:tcPr>
            <w:tcW w:w="0" w:type="dxa"/>
            <w:vAlign w:val="bottom"/>
          </w:tcPr>
          <w:p>
            <w:pPr>
              <w:spacing w:after="0"/>
              <w:rPr>
                <w:sz w:val="1"/>
                <w:szCs w:val="1"/>
                <w:color w:val="auto"/>
              </w:rPr>
            </w:pPr>
          </w:p>
        </w:tc>
      </w:tr>
      <w:tr>
        <w:trPr>
          <w:trHeight w:val="217"/>
        </w:trPr>
        <w:tc>
          <w:tcPr>
            <w:tcW w:w="3560" w:type="dxa"/>
            <w:vAlign w:val="bottom"/>
            <w:gridSpan w:val="2"/>
          </w:tcPr>
          <w:p>
            <w:pPr>
              <w:ind w:left="180"/>
              <w:spacing w:after="0"/>
              <w:rPr>
                <w:sz w:val="20"/>
                <w:szCs w:val="20"/>
                <w:color w:val="auto"/>
              </w:rPr>
            </w:pPr>
            <w:r>
              <w:rPr>
                <w:rFonts w:ascii="Arial" w:cs="Arial" w:eastAsia="Arial" w:hAnsi="Arial"/>
                <w:sz w:val="16"/>
                <w:szCs w:val="16"/>
                <w:color w:val="auto"/>
              </w:rPr>
              <w:t>Total commercial</w:t>
            </w:r>
          </w:p>
        </w:tc>
        <w:tc>
          <w:tcPr>
            <w:tcW w:w="3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12,973</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4,645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4,438</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22,056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6,014,967</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62,420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6,099,443</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Residential mortgage</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1,030,883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1,049,232</w:t>
            </w: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Home equity lines of credit</w:t>
            </w:r>
          </w:p>
        </w:tc>
        <w:tc>
          <w:tcPr>
            <w:tcW w:w="30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2,112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864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3,878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688,520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1,612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694,010</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Residential construction</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209,515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211,011</w:t>
            </w: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Consumer direct</w:t>
            </w:r>
          </w:p>
        </w:tc>
        <w:tc>
          <w:tcPr>
            <w:tcW w:w="30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600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703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120,777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122,013</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Indirect auto</w:t>
            </w: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205,986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207,692</w:t>
            </w:r>
          </w:p>
        </w:tc>
        <w:tc>
          <w:tcPr>
            <w:tcW w:w="0" w:type="dxa"/>
            <w:vAlign w:val="bottom"/>
          </w:tcPr>
          <w:p>
            <w:pPr>
              <w:spacing w:after="0"/>
              <w:rPr>
                <w:sz w:val="1"/>
                <w:szCs w:val="1"/>
                <w:color w:val="auto"/>
              </w:rPr>
            </w:pPr>
          </w:p>
        </w:tc>
      </w:tr>
      <w:tr>
        <w:trPr>
          <w:trHeight w:val="244"/>
        </w:trPr>
        <w:tc>
          <w:tcPr>
            <w:tcW w:w="3560" w:type="dxa"/>
            <w:vAlign w:val="bottom"/>
            <w:gridSpan w:val="2"/>
          </w:tcPr>
          <w:p>
            <w:pPr>
              <w:ind w:left="180"/>
              <w:spacing w:after="0"/>
              <w:rPr>
                <w:sz w:val="20"/>
                <w:szCs w:val="20"/>
                <w:color w:val="auto"/>
              </w:rPr>
            </w:pPr>
            <w:r>
              <w:rPr>
                <w:rFonts w:ascii="Arial" w:cs="Arial" w:eastAsia="Arial" w:hAnsi="Arial"/>
                <w:sz w:val="16"/>
                <w:szCs w:val="16"/>
                <w:color w:val="auto"/>
              </w:rPr>
              <w:t>Total loans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22,405</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7,765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8,134</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38,304</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8,270,648</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74,449</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8,383,401</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1" w:right="239" w:bottom="1440" w:gutter="0" w:footer="0" w:header="0"/>
          <w:type w:val="continuous"/>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Ratings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categorizes commercial loans, with the exception of equipment financing receivables, into risk categories based on relevant information about the ability of borrowers to service their debt such as: current financial information, historical payment experience, credit documentation, public information, and current industry and economic trends, among other factors. United analyzes loans individually by classifying the loans as to credit risk. This analysis is performed on a continual basis. United uses the following definitions for its risk ratings:</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Watch. </w:t>
      </w:r>
      <w:r>
        <w:rPr>
          <w:rFonts w:ascii="Arial" w:cs="Arial" w:eastAsia="Arial" w:hAnsi="Arial"/>
          <w:sz w:val="18"/>
          <w:szCs w:val="18"/>
          <w:color w:val="auto"/>
        </w:rPr>
        <w:t>Loans in this category are presently protected from apparent loss; however, weaknesses exist that could cause future impairment,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deterioration of financial ratios, past due status and questionable management capabilities. These loans require more than the ordinary amount of supervision. Collateral values generally afford adequate coverage, but may not be immediately marketable.</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Substandard. </w:t>
      </w:r>
      <w:r>
        <w:rPr>
          <w:rFonts w:ascii="Arial" w:cs="Arial" w:eastAsia="Arial" w:hAnsi="Arial"/>
          <w:sz w:val="18"/>
          <w:szCs w:val="18"/>
          <w:color w:val="auto"/>
        </w:rPr>
        <w:t>These loans are inadequately protected by the current net worth and paying capacity of the obligor or by the collateral pledged. Specific and</w:t>
      </w:r>
      <w:r>
        <w:rPr>
          <w:rFonts w:ascii="Arial" w:cs="Arial" w:eastAsia="Arial" w:hAnsi="Arial"/>
          <w:sz w:val="18"/>
          <w:szCs w:val="18"/>
          <w:b w:val="1"/>
          <w:bCs w:val="1"/>
          <w:color w:val="auto"/>
        </w:rPr>
        <w:t xml:space="preserve"> </w:t>
      </w:r>
      <w:r>
        <w:rPr>
          <w:rFonts w:ascii="Arial" w:cs="Arial" w:eastAsia="Arial" w:hAnsi="Arial"/>
          <w:sz w:val="18"/>
          <w:szCs w:val="18"/>
          <w:color w:val="auto"/>
        </w:rPr>
        <w:t>well-defined weaknesses exist that may include poor liquidity and deterioration of financial ratios. The loan may be past due and related deposit accounts experiencing overdrafts. There is the distinct possibility that United will sustain some loss if deficiencies are not corrected. If possible, immediate corrective action is taken.</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Doubtful. </w:t>
      </w:r>
      <w:r>
        <w:rPr>
          <w:rFonts w:ascii="Arial" w:cs="Arial" w:eastAsia="Arial" w:hAnsi="Arial"/>
          <w:sz w:val="18"/>
          <w:szCs w:val="18"/>
          <w:color w:val="auto"/>
        </w:rPr>
        <w:t>Specific weaknesses characterized as Substandard that are severe enough to make collection in full highly questionable and improbable. There is</w:t>
      </w:r>
      <w:r>
        <w:rPr>
          <w:rFonts w:ascii="Arial" w:cs="Arial" w:eastAsia="Arial" w:hAnsi="Arial"/>
          <w:sz w:val="18"/>
          <w:szCs w:val="18"/>
          <w:b w:val="1"/>
          <w:bCs w:val="1"/>
          <w:color w:val="auto"/>
        </w:rPr>
        <w:t xml:space="preserve"> </w:t>
      </w:r>
      <w:r>
        <w:rPr>
          <w:rFonts w:ascii="Arial" w:cs="Arial" w:eastAsia="Arial" w:hAnsi="Arial"/>
          <w:sz w:val="18"/>
          <w:szCs w:val="18"/>
          <w:color w:val="auto"/>
        </w:rPr>
        <w:t>no reliable secondary source of full repayment.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Loss. </w:t>
      </w:r>
      <w:r>
        <w:rPr>
          <w:rFonts w:ascii="Arial" w:cs="Arial" w:eastAsia="Arial" w:hAnsi="Arial"/>
          <w:sz w:val="16"/>
          <w:szCs w:val="16"/>
          <w:color w:val="auto"/>
        </w:rPr>
        <w:t>Loans categorized as Loss have the same characteristics as Doubtful; however, probability of loss is certain. Loans classified as Loss are charged off.</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Equipment Financing Receivables and Consumer Purpose Loans. </w:t>
      </w:r>
      <w:r>
        <w:rPr>
          <w:rFonts w:ascii="Arial" w:cs="Arial" w:eastAsia="Arial" w:hAnsi="Arial"/>
          <w:sz w:val="18"/>
          <w:szCs w:val="18"/>
          <w:color w:val="auto"/>
        </w:rPr>
        <w:t>United applies a pass / fail grading system to all equipment financing receivables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consumer purpose loans. Under the pass / fail grading system, loans that become past due 90 days or are in bankruptcy are classified as “fail” and all other loans are classified as “pass”. For reporting purposes, loans in these categories that are classified as “fail” are reported in the substandard column and all other loans are reported in the “pass” column.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Loans not meeting the criteria above that are analyzed individually as part of the above described process are considered to be pass rated loans.</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Based on the most recent analysis performed, the risk category of loans by class of loans as of the dates indicated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3"/>
                <w:szCs w:val="13"/>
                <w:b w:val="1"/>
                <w:bCs w:val="1"/>
                <w:color w:val="auto"/>
              </w:rPr>
              <w:t>Doubtful /</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78"/>
        </w:trPr>
        <w:tc>
          <w:tcPr>
            <w:tcW w:w="4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gridSpan w:val="2"/>
          </w:tcPr>
          <w:p>
            <w:pPr>
              <w:ind w:left="200"/>
              <w:spacing w:after="0"/>
              <w:rPr>
                <w:sz w:val="20"/>
                <w:szCs w:val="20"/>
                <w:color w:val="auto"/>
              </w:rPr>
            </w:pPr>
            <w:r>
              <w:rPr>
                <w:rFonts w:ascii="Arial" w:cs="Arial" w:eastAsia="Arial" w:hAnsi="Arial"/>
                <w:sz w:val="13"/>
                <w:szCs w:val="13"/>
                <w:b w:val="1"/>
                <w:bCs w:val="1"/>
                <w:color w:val="auto"/>
              </w:rPr>
              <w:t>Pass</w:t>
            </w:r>
          </w:p>
        </w:tc>
        <w:tc>
          <w:tcPr>
            <w:tcW w:w="260" w:type="dxa"/>
            <w:vAlign w:val="bottom"/>
          </w:tcPr>
          <w:p>
            <w:pPr>
              <w:spacing w:after="0"/>
              <w:rPr>
                <w:sz w:val="15"/>
                <w:szCs w:val="15"/>
                <w:color w:val="auto"/>
              </w:rPr>
            </w:pPr>
          </w:p>
        </w:tc>
        <w:tc>
          <w:tcPr>
            <w:tcW w:w="1100" w:type="dxa"/>
            <w:vAlign w:val="bottom"/>
            <w:gridSpan w:val="2"/>
          </w:tcPr>
          <w:p>
            <w:pPr>
              <w:ind w:left="180"/>
              <w:spacing w:after="0"/>
              <w:rPr>
                <w:sz w:val="20"/>
                <w:szCs w:val="20"/>
                <w:color w:val="auto"/>
              </w:rPr>
            </w:pPr>
            <w:r>
              <w:rPr>
                <w:rFonts w:ascii="Arial" w:cs="Arial" w:eastAsia="Arial" w:hAnsi="Arial"/>
                <w:sz w:val="13"/>
                <w:szCs w:val="13"/>
                <w:b w:val="1"/>
                <w:bCs w:val="1"/>
                <w:color w:val="auto"/>
              </w:rPr>
              <w:t>Watch</w:t>
            </w:r>
          </w:p>
        </w:tc>
        <w:tc>
          <w:tcPr>
            <w:tcW w:w="220" w:type="dxa"/>
            <w:vAlign w:val="bottom"/>
          </w:tcPr>
          <w:p>
            <w:pPr>
              <w:spacing w:after="0"/>
              <w:rPr>
                <w:sz w:val="15"/>
                <w:szCs w:val="15"/>
                <w:color w:val="auto"/>
              </w:rPr>
            </w:pPr>
          </w:p>
        </w:tc>
        <w:tc>
          <w:tcPr>
            <w:tcW w:w="1240" w:type="dxa"/>
            <w:vAlign w:val="bottom"/>
            <w:gridSpan w:val="2"/>
          </w:tcPr>
          <w:p>
            <w:pPr>
              <w:ind w:left="100"/>
              <w:spacing w:after="0"/>
              <w:rPr>
                <w:sz w:val="20"/>
                <w:szCs w:val="20"/>
                <w:color w:val="auto"/>
              </w:rPr>
            </w:pPr>
            <w:r>
              <w:rPr>
                <w:rFonts w:ascii="Arial" w:cs="Arial" w:eastAsia="Arial" w:hAnsi="Arial"/>
                <w:sz w:val="13"/>
                <w:szCs w:val="13"/>
                <w:b w:val="1"/>
                <w:bCs w:val="1"/>
                <w:color w:val="auto"/>
              </w:rPr>
              <w:t>Substandard</w:t>
            </w:r>
          </w:p>
        </w:tc>
        <w:tc>
          <w:tcPr>
            <w:tcW w:w="220" w:type="dxa"/>
            <w:vAlign w:val="bottom"/>
          </w:tcPr>
          <w:p>
            <w:pPr>
              <w:spacing w:after="0"/>
              <w:rPr>
                <w:sz w:val="15"/>
                <w:szCs w:val="15"/>
                <w:color w:val="auto"/>
              </w:rPr>
            </w:pPr>
          </w:p>
        </w:tc>
        <w:tc>
          <w:tcPr>
            <w:tcW w:w="1140" w:type="dxa"/>
            <w:vAlign w:val="bottom"/>
            <w:gridSpan w:val="2"/>
          </w:tcPr>
          <w:p>
            <w:pPr>
              <w:ind w:left="280"/>
              <w:spacing w:after="0"/>
              <w:rPr>
                <w:sz w:val="20"/>
                <w:szCs w:val="20"/>
                <w:color w:val="auto"/>
              </w:rPr>
            </w:pPr>
            <w:r>
              <w:rPr>
                <w:rFonts w:ascii="Arial" w:cs="Arial" w:eastAsia="Arial" w:hAnsi="Arial"/>
                <w:sz w:val="13"/>
                <w:szCs w:val="13"/>
                <w:b w:val="1"/>
                <w:bCs w:val="1"/>
                <w:color w:val="auto"/>
              </w:rPr>
              <w:t>Loss</w:t>
            </w:r>
          </w:p>
        </w:tc>
        <w:tc>
          <w:tcPr>
            <w:tcW w:w="280" w:type="dxa"/>
            <w:vAlign w:val="bottom"/>
          </w:tcPr>
          <w:p>
            <w:pPr>
              <w:spacing w:after="0"/>
              <w:rPr>
                <w:sz w:val="15"/>
                <w:szCs w:val="15"/>
                <w:color w:val="auto"/>
              </w:rPr>
            </w:pPr>
          </w:p>
        </w:tc>
        <w:tc>
          <w:tcPr>
            <w:tcW w:w="960" w:type="dxa"/>
            <w:vAlign w:val="bottom"/>
          </w:tcPr>
          <w:p>
            <w:pPr>
              <w:jc w:val="right"/>
              <w:ind w:right="415"/>
              <w:spacing w:after="0"/>
              <w:rPr>
                <w:sz w:val="20"/>
                <w:szCs w:val="20"/>
                <w:color w:val="auto"/>
              </w:rPr>
            </w:pPr>
            <w:r>
              <w:rPr>
                <w:rFonts w:ascii="Arial" w:cs="Arial" w:eastAsia="Arial" w:hAnsi="Arial"/>
                <w:sz w:val="13"/>
                <w:szCs w:val="13"/>
                <w:b w:val="1"/>
                <w:bCs w:val="1"/>
                <w:color w:val="auto"/>
              </w:rPr>
              <w:t>Total</w:t>
            </w:r>
          </w:p>
        </w:tc>
      </w:tr>
      <w:tr>
        <w:trPr>
          <w:trHeight w:val="250"/>
        </w:trPr>
        <w:tc>
          <w:tcPr>
            <w:tcW w:w="4460" w:type="dxa"/>
            <w:vAlign w:val="bottom"/>
            <w:tcBorders>
              <w:top w:val="single" w:sz="8" w:color="CCEEFF"/>
              <w:bottom w:val="single" w:sz="8" w:color="auto"/>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As of March 31, 2019</w:t>
            </w: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r>
      <w:tr>
        <w:trPr>
          <w:trHeight w:val="249"/>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Owner occupied commercial real estate</w:t>
            </w:r>
          </w:p>
        </w:tc>
        <w:tc>
          <w:tcPr>
            <w:tcW w:w="320" w:type="dxa"/>
            <w:vAlign w:val="bottom"/>
          </w:tcPr>
          <w:p>
            <w:pPr>
              <w:jc w:val="right"/>
              <w:ind w:right="155"/>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1,557,510</w:t>
            </w:r>
          </w:p>
        </w:tc>
        <w:tc>
          <w:tcPr>
            <w:tcW w:w="140" w:type="dxa"/>
            <w:vAlign w:val="bottom"/>
          </w:tcPr>
          <w:p>
            <w:pPr>
              <w:spacing w:after="0"/>
              <w:rPr>
                <w:sz w:val="21"/>
                <w:szCs w:val="21"/>
                <w:color w:val="auto"/>
              </w:rPr>
            </w:pPr>
          </w:p>
        </w:tc>
        <w:tc>
          <w:tcPr>
            <w:tcW w:w="260" w:type="dxa"/>
            <w:vAlign w:val="bottom"/>
          </w:tcPr>
          <w:p>
            <w:pPr>
              <w:jc w:val="right"/>
              <w:ind w:right="115"/>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17,511</w:t>
            </w:r>
          </w:p>
        </w:tc>
        <w:tc>
          <w:tcPr>
            <w:tcW w:w="100" w:type="dxa"/>
            <w:vAlign w:val="bottom"/>
          </w:tcPr>
          <w:p>
            <w:pPr>
              <w:spacing w:after="0"/>
              <w:rPr>
                <w:sz w:val="21"/>
                <w:szCs w:val="21"/>
                <w:color w:val="auto"/>
              </w:rPr>
            </w:pPr>
          </w:p>
        </w:tc>
        <w:tc>
          <w:tcPr>
            <w:tcW w:w="2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36,443</w:t>
            </w:r>
          </w:p>
        </w:tc>
        <w:tc>
          <w:tcPr>
            <w:tcW w:w="100" w:type="dxa"/>
            <w:vAlign w:val="bottom"/>
          </w:tcPr>
          <w:p>
            <w:pPr>
              <w:spacing w:after="0"/>
              <w:rPr>
                <w:sz w:val="21"/>
                <w:szCs w:val="21"/>
                <w:color w:val="auto"/>
              </w:rPr>
            </w:pPr>
          </w:p>
        </w:tc>
        <w:tc>
          <w:tcPr>
            <w:tcW w:w="2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1,611,464</w:t>
            </w:r>
          </w:p>
        </w:tc>
      </w:tr>
      <w:tr>
        <w:trPr>
          <w:trHeight w:val="278"/>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Income producing commercial real estate</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1,789,063</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22,548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19,717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1,831,328</w:t>
            </w:r>
          </w:p>
        </w:tc>
      </w:tr>
      <w:tr>
        <w:trPr>
          <w:trHeight w:val="262"/>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Commercial &amp; industrial</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1,253,268</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7,517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22,739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1,283,524</w:t>
            </w:r>
          </w:p>
        </w:tc>
      </w:tr>
      <w:tr>
        <w:trPr>
          <w:trHeight w:val="278"/>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Commercial construction</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846,902</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6,767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6,393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860,062</w:t>
            </w:r>
          </w:p>
        </w:tc>
      </w:tr>
      <w:tr>
        <w:trPr>
          <w:trHeight w:val="264"/>
        </w:trPr>
        <w:tc>
          <w:tcPr>
            <w:tcW w:w="458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Equipment financing</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597,430</w:t>
            </w:r>
          </w:p>
        </w:tc>
        <w:tc>
          <w:tcPr>
            <w:tcW w:w="1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1,813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8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599,243</w:t>
            </w:r>
          </w:p>
        </w:tc>
      </w:tr>
      <w:tr>
        <w:trPr>
          <w:trHeight w:val="257"/>
        </w:trPr>
        <w:tc>
          <w:tcPr>
            <w:tcW w:w="45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Total commercial</w:t>
            </w:r>
          </w:p>
        </w:tc>
        <w:tc>
          <w:tcPr>
            <w:tcW w:w="3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6,044,173</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54,343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87,105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6,185,621</w:t>
            </w:r>
          </w:p>
        </w:tc>
      </w:tr>
      <w:tr>
        <w:trPr>
          <w:trHeight w:val="262"/>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Residential mortgage</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1,043,447</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11,588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1,055,035</w:t>
            </w:r>
          </w:p>
        </w:tc>
      </w:tr>
      <w:tr>
        <w:trPr>
          <w:trHeight w:val="278"/>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Home equity lines of credit</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678,578</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3,724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682,302</w:t>
            </w:r>
          </w:p>
        </w:tc>
      </w:tr>
      <w:tr>
        <w:trPr>
          <w:trHeight w:val="262"/>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Residential construction</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199,570</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557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200,127</w:t>
            </w:r>
          </w:p>
        </w:tc>
      </w:tr>
      <w:tr>
        <w:trPr>
          <w:trHeight w:val="278"/>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Consumer direct</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120,465</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233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120,698</w:t>
            </w:r>
          </w:p>
        </w:tc>
      </w:tr>
      <w:tr>
        <w:trPr>
          <w:trHeight w:val="264"/>
        </w:trPr>
        <w:tc>
          <w:tcPr>
            <w:tcW w:w="458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Indirect auto</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178,740</w:t>
            </w:r>
          </w:p>
        </w:tc>
        <w:tc>
          <w:tcPr>
            <w:tcW w:w="1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2,013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8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180,753</w:t>
            </w:r>
          </w:p>
        </w:tc>
      </w:tr>
      <w:tr>
        <w:trPr>
          <w:trHeight w:val="250"/>
        </w:trPr>
        <w:tc>
          <w:tcPr>
            <w:tcW w:w="45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Total loans, excluding PCI loans</w:t>
            </w: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8,264,973</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54,343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105,220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8,424,536</w:t>
            </w:r>
          </w:p>
        </w:tc>
      </w:tr>
      <w:tr>
        <w:trPr>
          <w:trHeight w:val="243"/>
        </w:trPr>
        <w:tc>
          <w:tcPr>
            <w:tcW w:w="4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r>
      <w:tr>
        <w:trPr>
          <w:trHeight w:val="270"/>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Owner occupied commercial real estate</w:t>
            </w: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2,803</w:t>
            </w: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2,781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3,020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8,604</w:t>
            </w:r>
          </w:p>
        </w:tc>
      </w:tr>
      <w:tr>
        <w:trPr>
          <w:trHeight w:val="262"/>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Income producing commercial real estate</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23,872</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11,389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836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36,097</w:t>
            </w:r>
          </w:p>
        </w:tc>
      </w:tr>
      <w:tr>
        <w:trPr>
          <w:trHeight w:val="278"/>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Commercial &amp; industrial</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246</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341</w:t>
            </w:r>
          </w:p>
        </w:tc>
      </w:tr>
      <w:tr>
        <w:trPr>
          <w:trHeight w:val="262"/>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Commercial construction</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3,340</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165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2,099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5,604</w:t>
            </w:r>
          </w:p>
        </w:tc>
      </w:tr>
      <w:tr>
        <w:trPr>
          <w:trHeight w:val="272"/>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Equipment financing</w:t>
            </w:r>
          </w:p>
        </w:tc>
        <w:tc>
          <w:tcPr>
            <w:tcW w:w="3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6,626</w:t>
            </w:r>
          </w:p>
        </w:tc>
        <w:tc>
          <w:tcPr>
            <w:tcW w:w="1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115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6,741</w:t>
            </w:r>
          </w:p>
        </w:tc>
      </w:tr>
      <w:tr>
        <w:trPr>
          <w:trHeight w:val="249"/>
        </w:trPr>
        <w:tc>
          <w:tcPr>
            <w:tcW w:w="4580" w:type="dxa"/>
            <w:vAlign w:val="bottom"/>
            <w:gridSpan w:val="2"/>
          </w:tcPr>
          <w:p>
            <w:pPr>
              <w:ind w:left="180"/>
              <w:spacing w:after="0"/>
              <w:rPr>
                <w:sz w:val="20"/>
                <w:szCs w:val="20"/>
                <w:color w:val="auto"/>
              </w:rPr>
            </w:pPr>
            <w:r>
              <w:rPr>
                <w:rFonts w:ascii="Arial" w:cs="Arial" w:eastAsia="Arial" w:hAnsi="Arial"/>
                <w:sz w:val="13"/>
                <w:szCs w:val="13"/>
                <w:color w:val="auto"/>
              </w:rPr>
              <w:t>Total commercial</w:t>
            </w:r>
          </w:p>
        </w:tc>
        <w:tc>
          <w:tcPr>
            <w:tcW w:w="320" w:type="dxa"/>
            <w:vAlign w:val="bottom"/>
          </w:tcPr>
          <w:p>
            <w:pPr>
              <w:spacing w:after="0"/>
              <w:rPr>
                <w:sz w:val="21"/>
                <w:szCs w:val="21"/>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36,887</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14,378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6,122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57,387</w:t>
            </w:r>
          </w:p>
        </w:tc>
      </w:tr>
      <w:tr>
        <w:trPr>
          <w:trHeight w:val="278"/>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Residential mortgage</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6,512</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2,293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8,805</w:t>
            </w:r>
          </w:p>
        </w:tc>
      </w:tr>
      <w:tr>
        <w:trPr>
          <w:trHeight w:val="262"/>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Home equity lines of credit</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1,350</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119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1,469</w:t>
            </w:r>
          </w:p>
        </w:tc>
      </w:tr>
      <w:tr>
        <w:trPr>
          <w:trHeight w:val="278"/>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Residential construction</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542</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581</w:t>
            </w:r>
          </w:p>
        </w:tc>
      </w:tr>
      <w:tr>
        <w:trPr>
          <w:trHeight w:val="262"/>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Consumer direct</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440</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476</w:t>
            </w:r>
          </w:p>
        </w:tc>
      </w:tr>
      <w:tr>
        <w:trPr>
          <w:trHeight w:val="272"/>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Indirect auto</w:t>
            </w:r>
          </w:p>
        </w:tc>
        <w:tc>
          <w:tcPr>
            <w:tcW w:w="3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r>
      <w:tr>
        <w:trPr>
          <w:trHeight w:val="250"/>
        </w:trPr>
        <w:tc>
          <w:tcPr>
            <w:tcW w:w="4580" w:type="dxa"/>
            <w:vAlign w:val="bottom"/>
            <w:gridSpan w:val="2"/>
          </w:tcPr>
          <w:p>
            <w:pPr>
              <w:ind w:left="180"/>
              <w:spacing w:after="0"/>
              <w:rPr>
                <w:sz w:val="20"/>
                <w:szCs w:val="20"/>
                <w:color w:val="auto"/>
              </w:rPr>
            </w:pPr>
            <w:r>
              <w:rPr>
                <w:rFonts w:ascii="Arial" w:cs="Arial" w:eastAsia="Arial" w:hAnsi="Arial"/>
                <w:sz w:val="13"/>
                <w:szCs w:val="13"/>
                <w:color w:val="auto"/>
              </w:rPr>
              <w:t>Total PCI loans</w:t>
            </w:r>
          </w:p>
        </w:tc>
        <w:tc>
          <w:tcPr>
            <w:tcW w:w="320" w:type="dxa"/>
            <w:vAlign w:val="bottom"/>
          </w:tcPr>
          <w:p>
            <w:pPr>
              <w:spacing w:after="0"/>
              <w:rPr>
                <w:sz w:val="21"/>
                <w:szCs w:val="21"/>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45,731</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14,378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8,609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68,718</w:t>
            </w:r>
          </w:p>
        </w:tc>
      </w:tr>
      <w:tr>
        <w:trPr>
          <w:trHeight w:val="243"/>
        </w:trPr>
        <w:tc>
          <w:tcPr>
            <w:tcW w:w="44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r>
      <w:tr>
        <w:trPr>
          <w:trHeight w:val="295"/>
        </w:trPr>
        <w:tc>
          <w:tcPr>
            <w:tcW w:w="4580" w:type="dxa"/>
            <w:vAlign w:val="bottom"/>
            <w:gridSpan w:val="2"/>
          </w:tcPr>
          <w:p>
            <w:pPr>
              <w:ind w:left="280"/>
              <w:spacing w:after="0"/>
              <w:rPr>
                <w:sz w:val="20"/>
                <w:szCs w:val="20"/>
                <w:color w:val="auto"/>
              </w:rPr>
            </w:pPr>
            <w:r>
              <w:rPr>
                <w:rFonts w:ascii="Arial" w:cs="Arial" w:eastAsia="Arial" w:hAnsi="Arial"/>
                <w:sz w:val="13"/>
                <w:szCs w:val="13"/>
                <w:color w:val="auto"/>
              </w:rPr>
              <w:t>Total loan portfolio</w:t>
            </w:r>
          </w:p>
        </w:tc>
        <w:tc>
          <w:tcPr>
            <w:tcW w:w="320" w:type="dxa"/>
            <w:vAlign w:val="bottom"/>
          </w:tcPr>
          <w:p>
            <w:pPr>
              <w:jc w:val="right"/>
              <w:ind w:right="155"/>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8,310,704</w:t>
            </w:r>
          </w:p>
        </w:tc>
        <w:tc>
          <w:tcPr>
            <w:tcW w:w="140" w:type="dxa"/>
            <w:vAlign w:val="bottom"/>
          </w:tcPr>
          <w:p>
            <w:pPr>
              <w:spacing w:after="0"/>
              <w:rPr>
                <w:sz w:val="24"/>
                <w:szCs w:val="24"/>
                <w:color w:val="auto"/>
              </w:rPr>
            </w:pPr>
          </w:p>
        </w:tc>
        <w:tc>
          <w:tcPr>
            <w:tcW w:w="260" w:type="dxa"/>
            <w:vAlign w:val="bottom"/>
          </w:tcPr>
          <w:p>
            <w:pPr>
              <w:jc w:val="right"/>
              <w:ind w:right="115"/>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68,721</w:t>
            </w:r>
          </w:p>
        </w:tc>
        <w:tc>
          <w:tcPr>
            <w:tcW w:w="100" w:type="dxa"/>
            <w:vAlign w:val="bottom"/>
          </w:tcPr>
          <w:p>
            <w:pPr>
              <w:spacing w:after="0"/>
              <w:rPr>
                <w:sz w:val="24"/>
                <w:szCs w:val="24"/>
                <w:color w:val="auto"/>
              </w:rPr>
            </w:pPr>
          </w:p>
        </w:tc>
        <w:tc>
          <w:tcPr>
            <w:tcW w:w="2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113,829</w:t>
            </w:r>
          </w:p>
        </w:tc>
        <w:tc>
          <w:tcPr>
            <w:tcW w:w="100" w:type="dxa"/>
            <w:vAlign w:val="bottom"/>
          </w:tcPr>
          <w:p>
            <w:pPr>
              <w:spacing w:after="0"/>
              <w:rPr>
                <w:sz w:val="24"/>
                <w:szCs w:val="24"/>
                <w:color w:val="auto"/>
              </w:rPr>
            </w:pPr>
          </w:p>
        </w:tc>
        <w:tc>
          <w:tcPr>
            <w:tcW w:w="2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8,493,254</w:t>
            </w:r>
          </w:p>
        </w:tc>
      </w:tr>
      <w:tr>
        <w:trPr>
          <w:trHeight w:val="225"/>
        </w:trPr>
        <w:tc>
          <w:tcPr>
            <w:tcW w:w="44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r>
      <w:tr>
        <w:trPr>
          <w:trHeight w:val="264"/>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As of December 31, 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r>
      <w:tr>
        <w:trPr>
          <w:trHeight w:val="257"/>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Owner occupied commercial real estate</w:t>
            </w:r>
          </w:p>
        </w:tc>
        <w:tc>
          <w:tcPr>
            <w:tcW w:w="320" w:type="dxa"/>
            <w:vAlign w:val="bottom"/>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1,585,797</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16,651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35,604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1,638,052</w:t>
            </w:r>
          </w:p>
        </w:tc>
      </w:tr>
      <w:tr>
        <w:trPr>
          <w:trHeight w:val="262"/>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Income producing commercial real estate</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1,735,456</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20,923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17,730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1,774,109</w:t>
            </w:r>
          </w:p>
        </w:tc>
      </w:tr>
      <w:tr>
        <w:trPr>
          <w:trHeight w:val="278"/>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Commercial &amp; industrial</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1,247,206</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8,430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22,303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1,277,939</w:t>
            </w:r>
          </w:p>
        </w:tc>
      </w:tr>
      <w:tr>
        <w:trPr>
          <w:trHeight w:val="262"/>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Commercial construction</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777,780</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4,533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7,938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790,251</w:t>
            </w:r>
          </w:p>
        </w:tc>
      </w:tr>
      <w:tr>
        <w:trPr>
          <w:trHeight w:val="272"/>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Equipment financing</w:t>
            </w:r>
          </w:p>
        </w:tc>
        <w:tc>
          <w:tcPr>
            <w:tcW w:w="3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553,995</w:t>
            </w:r>
          </w:p>
        </w:tc>
        <w:tc>
          <w:tcPr>
            <w:tcW w:w="1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2,677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556,672</w:t>
            </w:r>
          </w:p>
        </w:tc>
      </w:tr>
      <w:tr>
        <w:trPr>
          <w:trHeight w:val="249"/>
        </w:trPr>
        <w:tc>
          <w:tcPr>
            <w:tcW w:w="4580" w:type="dxa"/>
            <w:vAlign w:val="bottom"/>
            <w:gridSpan w:val="2"/>
          </w:tcPr>
          <w:p>
            <w:pPr>
              <w:ind w:left="180"/>
              <w:spacing w:after="0"/>
              <w:rPr>
                <w:sz w:val="20"/>
                <w:szCs w:val="20"/>
                <w:color w:val="auto"/>
              </w:rPr>
            </w:pPr>
            <w:r>
              <w:rPr>
                <w:rFonts w:ascii="Arial" w:cs="Arial" w:eastAsia="Arial" w:hAnsi="Arial"/>
                <w:sz w:val="13"/>
                <w:szCs w:val="13"/>
                <w:color w:val="auto"/>
              </w:rPr>
              <w:t>Total commercial</w:t>
            </w:r>
          </w:p>
        </w:tc>
        <w:tc>
          <w:tcPr>
            <w:tcW w:w="320" w:type="dxa"/>
            <w:vAlign w:val="bottom"/>
          </w:tcPr>
          <w:p>
            <w:pPr>
              <w:spacing w:after="0"/>
              <w:rPr>
                <w:sz w:val="21"/>
                <w:szCs w:val="21"/>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5,900,234</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50,537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86,252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6,037,023</w:t>
            </w:r>
          </w:p>
        </w:tc>
      </w:tr>
      <w:tr>
        <w:trPr>
          <w:trHeight w:val="278"/>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Residential mortgage</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1,028,660</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11,422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1,040,082</w:t>
            </w:r>
          </w:p>
        </w:tc>
      </w:tr>
      <w:tr>
        <w:trPr>
          <w:trHeight w:val="262"/>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Home equity lines of credit</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688,493</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3,905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692,398</w:t>
            </w:r>
          </w:p>
        </w:tc>
      </w:tr>
      <w:tr>
        <w:trPr>
          <w:trHeight w:val="278"/>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Residential construction</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209,744</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533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210,277</w:t>
            </w:r>
          </w:p>
        </w:tc>
      </w:tr>
      <w:tr>
        <w:trPr>
          <w:trHeight w:val="262"/>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Consumer direct</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121,247</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214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121,480</w:t>
            </w:r>
          </w:p>
        </w:tc>
      </w:tr>
      <w:tr>
        <w:trPr>
          <w:trHeight w:val="272"/>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Indirect auto</w:t>
            </w:r>
          </w:p>
        </w:tc>
        <w:tc>
          <w:tcPr>
            <w:tcW w:w="3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205,632</w:t>
            </w:r>
          </w:p>
        </w:tc>
        <w:tc>
          <w:tcPr>
            <w:tcW w:w="1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2,060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207,692</w:t>
            </w:r>
          </w:p>
        </w:tc>
      </w:tr>
      <w:tr>
        <w:trPr>
          <w:trHeight w:val="250"/>
        </w:trPr>
        <w:tc>
          <w:tcPr>
            <w:tcW w:w="4580" w:type="dxa"/>
            <w:vAlign w:val="bottom"/>
            <w:gridSpan w:val="2"/>
          </w:tcPr>
          <w:p>
            <w:pPr>
              <w:ind w:left="180"/>
              <w:spacing w:after="0"/>
              <w:rPr>
                <w:sz w:val="20"/>
                <w:szCs w:val="20"/>
                <w:color w:val="auto"/>
              </w:rPr>
            </w:pPr>
            <w:r>
              <w:rPr>
                <w:rFonts w:ascii="Arial" w:cs="Arial" w:eastAsia="Arial" w:hAnsi="Arial"/>
                <w:sz w:val="13"/>
                <w:szCs w:val="13"/>
                <w:color w:val="auto"/>
              </w:rPr>
              <w:t>Total loans, excluding PCI loans</w:t>
            </w:r>
          </w:p>
        </w:tc>
        <w:tc>
          <w:tcPr>
            <w:tcW w:w="320" w:type="dxa"/>
            <w:vAlign w:val="bottom"/>
          </w:tcPr>
          <w:p>
            <w:pPr>
              <w:spacing w:after="0"/>
              <w:rPr>
                <w:sz w:val="21"/>
                <w:szCs w:val="21"/>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8,154,010</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50,556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104,386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8,308,952</w:t>
            </w:r>
          </w:p>
        </w:tc>
      </w:tr>
      <w:tr>
        <w:trPr>
          <w:trHeight w:val="243"/>
        </w:trPr>
        <w:tc>
          <w:tcPr>
            <w:tcW w:w="44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r>
      <w:tr>
        <w:trPr>
          <w:trHeight w:val="262"/>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Owner occupied commercial real estate</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3,352</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2,774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3,726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9,852</w:t>
            </w:r>
          </w:p>
        </w:tc>
      </w:tr>
      <w:tr>
        <w:trPr>
          <w:trHeight w:val="278"/>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Income producing commercial real estate</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23,430</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13,403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1,478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38,311</w:t>
            </w:r>
          </w:p>
        </w:tc>
      </w:tr>
      <w:tr>
        <w:trPr>
          <w:trHeight w:val="262"/>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Commercial &amp; industrial</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266</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94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408</w:t>
            </w:r>
          </w:p>
        </w:tc>
      </w:tr>
      <w:tr>
        <w:trPr>
          <w:trHeight w:val="278"/>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Commercial construction</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3,503</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188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2,216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5,907</w:t>
            </w:r>
          </w:p>
        </w:tc>
      </w:tr>
      <w:tr>
        <w:trPr>
          <w:trHeight w:val="264"/>
        </w:trPr>
        <w:tc>
          <w:tcPr>
            <w:tcW w:w="458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Equipment financing</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7,725</w:t>
            </w:r>
          </w:p>
        </w:tc>
        <w:tc>
          <w:tcPr>
            <w:tcW w:w="1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217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8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7,942</w:t>
            </w:r>
          </w:p>
        </w:tc>
      </w:tr>
      <w:tr>
        <w:trPr>
          <w:trHeight w:val="257"/>
        </w:trPr>
        <w:tc>
          <w:tcPr>
            <w:tcW w:w="45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Total commercial</w:t>
            </w:r>
          </w:p>
        </w:tc>
        <w:tc>
          <w:tcPr>
            <w:tcW w:w="3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38,276</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16,413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7,731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62,420</w:t>
            </w:r>
          </w:p>
        </w:tc>
      </w:tr>
      <w:tr>
        <w:trPr>
          <w:trHeight w:val="262"/>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Residential mortgage</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6,914</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2,236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9,150</w:t>
            </w:r>
          </w:p>
        </w:tc>
      </w:tr>
      <w:tr>
        <w:trPr>
          <w:trHeight w:val="278"/>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Home equity lines of credit</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1,492</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120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1,612</w:t>
            </w:r>
          </w:p>
        </w:tc>
      </w:tr>
      <w:tr>
        <w:trPr>
          <w:trHeight w:val="262"/>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Residential construction</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687</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734</w:t>
            </w:r>
          </w:p>
        </w:tc>
      </w:tr>
      <w:tr>
        <w:trPr>
          <w:trHeight w:val="278"/>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Consumer direct</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493</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533</w:t>
            </w:r>
          </w:p>
        </w:tc>
      </w:tr>
      <w:tr>
        <w:trPr>
          <w:trHeight w:val="264"/>
        </w:trPr>
        <w:tc>
          <w:tcPr>
            <w:tcW w:w="458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Indirect auto</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8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r>
      <w:tr>
        <w:trPr>
          <w:trHeight w:val="250"/>
        </w:trPr>
        <w:tc>
          <w:tcPr>
            <w:tcW w:w="45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Total PCI loans</w:t>
            </w:r>
          </w:p>
        </w:tc>
        <w:tc>
          <w:tcPr>
            <w:tcW w:w="3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47,862</w:t>
            </w:r>
          </w:p>
        </w:tc>
        <w:tc>
          <w:tcPr>
            <w:tcW w:w="14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16,413</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10,174</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74,449</w:t>
            </w:r>
          </w:p>
        </w:tc>
      </w:tr>
    </w:tbl>
    <w:p>
      <w:pPr>
        <w:sectPr>
          <w:pgSz w:w="11900" w:h="16838" w:orient="portrait"/>
          <w:cols w:equalWidth="0" w:num="1">
            <w:col w:w="11420"/>
          </w:cols>
          <w:pgMar w:left="240" w:top="121" w:right="239" w:bottom="0" w:gutter="0" w:footer="0" w:header="0"/>
        </w:sectPr>
      </w:pPr>
    </w:p>
    <w:bookmarkStart w:id="25" w:name="page26"/>
    <w:bookmarkEnd w:id="25"/>
    <w:p>
      <w:pPr>
        <w:spacing w:after="0"/>
        <w:tabs>
          <w:tab w:leader="none" w:pos="4320" w:val="left"/>
          <w:tab w:leader="none" w:pos="4920" w:val="left"/>
          <w:tab w:leader="none" w:pos="5720" w:val="left"/>
          <w:tab w:leader="none" w:pos="6500" w:val="left"/>
          <w:tab w:leader="none" w:pos="7100" w:val="left"/>
          <w:tab w:leader="none" w:pos="7900" w:val="left"/>
          <w:tab w:leader="none" w:pos="8560" w:val="left"/>
          <w:tab w:leader="none" w:pos="9540" w:val="left"/>
          <w:tab w:leader="none" w:pos="9900" w:val="left"/>
          <w:tab w:leader="none" w:pos="1050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157480</wp:posOffset>
            </wp:positionH>
            <wp:positionV relativeFrom="page">
              <wp:posOffset>149225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t>Total loan portfolio</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8,201,872</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66,969</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114,560</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1"/>
          <w:szCs w:val="11"/>
          <w:color w:val="auto"/>
        </w:rPr>
        <w:t>8,383,401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2734310</wp:posOffset>
            </wp:positionH>
            <wp:positionV relativeFrom="paragraph">
              <wp:posOffset>36830</wp:posOffset>
            </wp:positionV>
            <wp:extent cx="43395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339590" cy="8890"/>
                    </a:xfrm>
                    <a:prstGeom prst="rect">
                      <a:avLst/>
                    </a:prstGeom>
                    <a:noFill/>
                  </pic:spPr>
                </pic:pic>
              </a:graphicData>
            </a:graphic>
          </wp:anchor>
        </w:drawing>
      </w:r>
    </w:p>
    <w:p>
      <w:pPr>
        <w:sectPr>
          <w:pgSz w:w="11900" w:h="16838" w:orient="portrait"/>
          <w:cols w:equalWidth="0" w:num="1">
            <w:col w:w="11040"/>
          </w:cols>
          <w:pgMar w:left="520" w:top="310" w:right="33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040"/>
          </w:cols>
          <w:pgMar w:left="520" w:top="310" w:right="339" w:bottom="1440"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Reclassifications Out of Accumulated Other Comprehensive Income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following table presents the details regarding amounts reclassified out of accumulated other comprehensive income for the periods indicated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0" w:type="dxa"/>
            <w:vAlign w:val="bottom"/>
          </w:tcPr>
          <w:p>
            <w:pPr>
              <w:spacing w:after="0"/>
              <w:rPr>
                <w:sz w:val="18"/>
                <w:szCs w:val="18"/>
                <w:color w:val="auto"/>
              </w:rPr>
            </w:pPr>
          </w:p>
        </w:tc>
        <w:tc>
          <w:tcPr>
            <w:tcW w:w="3660" w:type="dxa"/>
            <w:vAlign w:val="bottom"/>
            <w:vMerge w:val="restart"/>
          </w:tcPr>
          <w:p>
            <w:pPr>
              <w:ind w:left="40"/>
              <w:spacing w:after="0"/>
              <w:rPr>
                <w:sz w:val="20"/>
                <w:szCs w:val="20"/>
                <w:color w:val="auto"/>
              </w:rPr>
            </w:pPr>
            <w:r>
              <w:rPr>
                <w:rFonts w:ascii="Arial" w:cs="Arial" w:eastAsia="Arial" w:hAnsi="Arial"/>
                <w:sz w:val="16"/>
                <w:szCs w:val="16"/>
                <w:b w:val="1"/>
                <w:bCs w:val="1"/>
                <w:color w:val="auto"/>
                <w:w w:val="95"/>
              </w:rPr>
              <w:t>Details about Accumulated Other Comprehensive</w:t>
            </w:r>
          </w:p>
        </w:tc>
        <w:tc>
          <w:tcPr>
            <w:tcW w:w="220" w:type="dxa"/>
            <w:vAlign w:val="bottom"/>
          </w:tcPr>
          <w:p>
            <w:pPr>
              <w:spacing w:after="0"/>
              <w:rPr>
                <w:sz w:val="18"/>
                <w:szCs w:val="18"/>
                <w:color w:val="auto"/>
              </w:rPr>
            </w:pPr>
          </w:p>
        </w:tc>
        <w:tc>
          <w:tcPr>
            <w:tcW w:w="262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w w:val="97"/>
              </w:rPr>
              <w:t>Three Months Ended March 31,</w:t>
            </w:r>
          </w:p>
        </w:tc>
        <w:tc>
          <w:tcPr>
            <w:tcW w:w="410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Affected Line Item in the Statement Where</w:t>
            </w:r>
          </w:p>
        </w:tc>
        <w:tc>
          <w:tcPr>
            <w:tcW w:w="0" w:type="dxa"/>
            <w:vAlign w:val="bottom"/>
          </w:tcPr>
          <w:p>
            <w:pPr>
              <w:spacing w:after="0"/>
              <w:rPr>
                <w:sz w:val="1"/>
                <w:szCs w:val="1"/>
                <w:color w:val="auto"/>
              </w:rPr>
            </w:pPr>
          </w:p>
        </w:tc>
      </w:tr>
      <w:tr>
        <w:trPr>
          <w:trHeight w:val="33"/>
        </w:trPr>
        <w:tc>
          <w:tcPr>
            <w:tcW w:w="820" w:type="dxa"/>
            <w:vAlign w:val="bottom"/>
          </w:tcPr>
          <w:p>
            <w:pPr>
              <w:spacing w:after="0"/>
              <w:rPr>
                <w:sz w:val="2"/>
                <w:szCs w:val="2"/>
                <w:color w:val="auto"/>
              </w:rPr>
            </w:pPr>
          </w:p>
        </w:tc>
        <w:tc>
          <w:tcPr>
            <w:tcW w:w="3660" w:type="dxa"/>
            <w:vAlign w:val="bottom"/>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1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20" w:type="dxa"/>
            <w:vAlign w:val="bottom"/>
          </w:tcPr>
          <w:p>
            <w:pPr>
              <w:spacing w:after="0"/>
              <w:rPr>
                <w:sz w:val="20"/>
                <w:szCs w:val="20"/>
                <w:color w:val="auto"/>
              </w:rPr>
            </w:pPr>
          </w:p>
        </w:tc>
        <w:tc>
          <w:tcPr>
            <w:tcW w:w="3660" w:type="dxa"/>
            <w:vAlign w:val="bottom"/>
          </w:tcPr>
          <w:p>
            <w:pPr>
              <w:ind w:left="1060"/>
              <w:spacing w:after="0"/>
              <w:rPr>
                <w:sz w:val="20"/>
                <w:szCs w:val="20"/>
                <w:color w:val="auto"/>
              </w:rPr>
            </w:pPr>
            <w:r>
              <w:rPr>
                <w:rFonts w:ascii="Arial" w:cs="Arial" w:eastAsia="Arial" w:hAnsi="Arial"/>
                <w:sz w:val="16"/>
                <w:szCs w:val="16"/>
                <w:b w:val="1"/>
                <w:bCs w:val="1"/>
                <w:color w:val="auto"/>
              </w:rPr>
              <w:t>Income Components</w:t>
            </w:r>
          </w:p>
        </w:tc>
        <w:tc>
          <w:tcPr>
            <w:tcW w:w="220" w:type="dxa"/>
            <w:vAlign w:val="bottom"/>
          </w:tcPr>
          <w:p>
            <w:pPr>
              <w:spacing w:after="0"/>
              <w:rPr>
                <w:sz w:val="20"/>
                <w:szCs w:val="20"/>
                <w:color w:val="auto"/>
              </w:rPr>
            </w:pPr>
          </w:p>
        </w:tc>
        <w:tc>
          <w:tcPr>
            <w:tcW w:w="11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4100" w:type="dxa"/>
            <w:vAlign w:val="bottom"/>
            <w:gridSpan w:val="2"/>
          </w:tcPr>
          <w:p>
            <w:pPr>
              <w:ind w:left="880"/>
              <w:spacing w:after="0"/>
              <w:rPr>
                <w:sz w:val="20"/>
                <w:szCs w:val="20"/>
                <w:color w:val="auto"/>
              </w:rPr>
            </w:pPr>
            <w:r>
              <w:rPr>
                <w:rFonts w:ascii="Arial" w:cs="Arial" w:eastAsia="Arial" w:hAnsi="Arial"/>
                <w:sz w:val="16"/>
                <w:szCs w:val="16"/>
                <w:b w:val="1"/>
                <w:bCs w:val="1"/>
                <w:color w:val="auto"/>
              </w:rPr>
              <w:t>Net Income is Presented</w:t>
            </w:r>
          </w:p>
        </w:tc>
        <w:tc>
          <w:tcPr>
            <w:tcW w:w="0" w:type="dxa"/>
            <w:vAlign w:val="bottom"/>
          </w:tcPr>
          <w:p>
            <w:pPr>
              <w:spacing w:after="0"/>
              <w:rPr>
                <w:sz w:val="1"/>
                <w:szCs w:val="1"/>
                <w:color w:val="auto"/>
              </w:rPr>
            </w:pPr>
          </w:p>
        </w:tc>
      </w:tr>
      <w:tr>
        <w:trPr>
          <w:trHeight w:val="33"/>
        </w:trPr>
        <w:tc>
          <w:tcPr>
            <w:tcW w:w="82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3660" w:type="dxa"/>
            <w:vAlign w:val="bottom"/>
          </w:tcPr>
          <w:p>
            <w:pPr>
              <w:ind w:left="20"/>
              <w:spacing w:after="0"/>
              <w:rPr>
                <w:sz w:val="20"/>
                <w:szCs w:val="20"/>
                <w:color w:val="auto"/>
              </w:rPr>
            </w:pPr>
            <w:r>
              <w:rPr>
                <w:rFonts w:ascii="Arial" w:cs="Arial" w:eastAsia="Arial" w:hAnsi="Arial"/>
                <w:sz w:val="16"/>
                <w:szCs w:val="16"/>
                <w:color w:val="auto"/>
              </w:rPr>
              <w:t>Realized losses on available-for-sale securities: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Borders>
              <w:bottom w:val="single" w:sz="8" w:color="CCEEFF"/>
            </w:tcBorders>
            <w:shd w:val="clear" w:color="auto" w:fill="CCEEFF"/>
          </w:tcPr>
          <w:p>
            <w:pPr>
              <w:spacing w:after="0"/>
              <w:rPr>
                <w:sz w:val="21"/>
                <w:szCs w:val="21"/>
                <w:color w:val="auto"/>
              </w:rPr>
            </w:pPr>
          </w:p>
        </w:tc>
        <w:tc>
          <w:tcPr>
            <w:tcW w:w="3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(940)</w:t>
            </w:r>
          </w:p>
        </w:tc>
        <w:tc>
          <w:tcPr>
            <w:tcW w:w="41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Securities losses, net</w:t>
            </w:r>
          </w:p>
        </w:tc>
        <w:tc>
          <w:tcPr>
            <w:tcW w:w="0" w:type="dxa"/>
            <w:vAlign w:val="bottom"/>
          </w:tcPr>
          <w:p>
            <w:pPr>
              <w:spacing w:after="0"/>
              <w:rPr>
                <w:sz w:val="1"/>
                <w:szCs w:val="1"/>
                <w:color w:val="auto"/>
              </w:rPr>
            </w:pPr>
          </w:p>
        </w:tc>
      </w:tr>
      <w:tr>
        <w:trPr>
          <w:trHeight w:val="237"/>
        </w:trPr>
        <w:tc>
          <w:tcPr>
            <w:tcW w:w="8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221</w:t>
            </w:r>
          </w:p>
        </w:tc>
        <w:tc>
          <w:tcPr>
            <w:tcW w:w="4100" w:type="dxa"/>
            <w:vAlign w:val="bottom"/>
            <w:gridSpan w:val="2"/>
          </w:tcPr>
          <w:p>
            <w:pPr>
              <w:ind w:left="140"/>
              <w:spacing w:after="0"/>
              <w:rPr>
                <w:sz w:val="20"/>
                <w:szCs w:val="20"/>
                <w:color w:val="auto"/>
              </w:rPr>
            </w:pPr>
            <w:r>
              <w:rPr>
                <w:rFonts w:ascii="Arial" w:cs="Arial" w:eastAsia="Arial" w:hAnsi="Arial"/>
                <w:sz w:val="16"/>
                <w:szCs w:val="16"/>
                <w:color w:val="auto"/>
              </w:rPr>
              <w:t>Income tax benefit</w:t>
            </w:r>
          </w:p>
        </w:tc>
        <w:tc>
          <w:tcPr>
            <w:tcW w:w="0" w:type="dxa"/>
            <w:vAlign w:val="bottom"/>
          </w:tcPr>
          <w:p>
            <w:pPr>
              <w:spacing w:after="0"/>
              <w:rPr>
                <w:sz w:val="1"/>
                <w:szCs w:val="1"/>
                <w:color w:val="auto"/>
              </w:rPr>
            </w:pPr>
          </w:p>
        </w:tc>
      </w:tr>
      <w:tr>
        <w:trPr>
          <w:trHeight w:val="33"/>
        </w:trPr>
        <w:tc>
          <w:tcPr>
            <w:tcW w:w="82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0" w:type="dxa"/>
            <w:vAlign w:val="bottom"/>
            <w:tcBorders>
              <w:bottom w:val="single" w:sz="8" w:color="CCEEFF"/>
            </w:tcBorders>
            <w:shd w:val="clear" w:color="auto" w:fill="CCEEFF"/>
          </w:tcPr>
          <w:p>
            <w:pPr>
              <w:spacing w:after="0"/>
              <w:rPr>
                <w:sz w:val="21"/>
                <w:szCs w:val="21"/>
                <w:color w:val="auto"/>
              </w:rPr>
            </w:pPr>
          </w:p>
        </w:tc>
        <w:tc>
          <w:tcPr>
            <w:tcW w:w="3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w:t>
            </w:r>
          </w:p>
        </w:tc>
        <w:tc>
          <w:tcPr>
            <w:tcW w:w="41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040" w:type="dxa"/>
            <w:vAlign w:val="bottom"/>
            <w:gridSpan w:val="3"/>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82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3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820" w:type="dxa"/>
            <w:vAlign w:val="bottom"/>
            <w:shd w:val="clear" w:color="auto" w:fill="CCEEFF"/>
          </w:tcPr>
          <w:p>
            <w:pPr>
              <w:spacing w:after="0"/>
              <w:rPr>
                <w:sz w:val="19"/>
                <w:szCs w:val="19"/>
                <w:color w:val="auto"/>
              </w:rPr>
            </w:pPr>
          </w:p>
        </w:tc>
        <w:tc>
          <w:tcPr>
            <w:tcW w:w="6500" w:type="dxa"/>
            <w:vAlign w:val="bottom"/>
            <w:gridSpan w:val="6"/>
            <w:shd w:val="clear" w:color="auto" w:fill="CCEEFF"/>
          </w:tcPr>
          <w:p>
            <w:pPr>
              <w:ind w:left="20"/>
              <w:spacing w:after="0"/>
              <w:rPr>
                <w:sz w:val="20"/>
                <w:szCs w:val="20"/>
                <w:color w:val="auto"/>
              </w:rPr>
            </w:pPr>
            <w:r>
              <w:rPr>
                <w:rFonts w:ascii="Arial" w:cs="Arial" w:eastAsia="Arial" w:hAnsi="Arial"/>
                <w:sz w:val="16"/>
                <w:szCs w:val="16"/>
                <w:color w:val="auto"/>
                <w:w w:val="92"/>
              </w:rPr>
              <w:t>Amortization of losses included in net income on available-for-sale securities transferred to held-to-</w:t>
            </w:r>
          </w:p>
        </w:tc>
        <w:tc>
          <w:tcPr>
            <w:tcW w:w="3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0" w:type="dxa"/>
            <w:vAlign w:val="bottom"/>
            <w:tcBorders>
              <w:bottom w:val="single" w:sz="8" w:color="CCEEFF"/>
            </w:tcBorders>
            <w:shd w:val="clear" w:color="auto" w:fill="CCEEFF"/>
          </w:tcPr>
          <w:p>
            <w:pPr>
              <w:spacing w:after="0"/>
              <w:rPr>
                <w:sz w:val="19"/>
                <w:szCs w:val="19"/>
                <w:color w:val="auto"/>
              </w:rPr>
            </w:pPr>
          </w:p>
        </w:tc>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maturity:</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33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(222)</w:t>
            </w:r>
          </w:p>
        </w:tc>
        <w:tc>
          <w:tcPr>
            <w:tcW w:w="4100" w:type="dxa"/>
            <w:vAlign w:val="bottom"/>
            <w:gridSpan w:val="2"/>
          </w:tcPr>
          <w:p>
            <w:pPr>
              <w:ind w:left="140"/>
              <w:spacing w:after="0"/>
              <w:rPr>
                <w:sz w:val="20"/>
                <w:szCs w:val="20"/>
                <w:color w:val="auto"/>
              </w:rPr>
            </w:pPr>
            <w:r>
              <w:rPr>
                <w:rFonts w:ascii="Arial" w:cs="Arial" w:eastAsia="Arial" w:hAnsi="Arial"/>
                <w:sz w:val="16"/>
                <w:szCs w:val="16"/>
                <w:color w:val="auto"/>
              </w:rPr>
              <w:t>Investment securities interest revenue</w:t>
            </w:r>
          </w:p>
        </w:tc>
        <w:tc>
          <w:tcPr>
            <w:tcW w:w="0" w:type="dxa"/>
            <w:vAlign w:val="bottom"/>
          </w:tcPr>
          <w:p>
            <w:pPr>
              <w:spacing w:after="0"/>
              <w:rPr>
                <w:sz w:val="1"/>
                <w:szCs w:val="1"/>
                <w:color w:val="auto"/>
              </w:rPr>
            </w:pPr>
          </w:p>
        </w:tc>
      </w:tr>
      <w:tr>
        <w:trPr>
          <w:trHeight w:val="33"/>
        </w:trPr>
        <w:tc>
          <w:tcPr>
            <w:tcW w:w="8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0" w:type="dxa"/>
            <w:vAlign w:val="bottom"/>
            <w:tcBorders>
              <w:bottom w:val="single" w:sz="8" w:color="CCEEFF"/>
            </w:tcBorders>
            <w:shd w:val="clear" w:color="auto" w:fill="CCEEFF"/>
          </w:tcPr>
          <w:p>
            <w:pPr>
              <w:spacing w:after="0"/>
              <w:rPr>
                <w:sz w:val="23"/>
                <w:szCs w:val="23"/>
                <w:color w:val="auto"/>
              </w:rPr>
            </w:pPr>
          </w:p>
        </w:tc>
        <w:tc>
          <w:tcPr>
            <w:tcW w:w="36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c>
          <w:tcPr>
            <w:tcW w:w="41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Income tax benefit</w:t>
            </w:r>
          </w:p>
        </w:tc>
        <w:tc>
          <w:tcPr>
            <w:tcW w:w="0" w:type="dxa"/>
            <w:vAlign w:val="bottom"/>
          </w:tcPr>
          <w:p>
            <w:pPr>
              <w:spacing w:after="0"/>
              <w:rPr>
                <w:sz w:val="1"/>
                <w:szCs w:val="1"/>
                <w:color w:val="auto"/>
              </w:rPr>
            </w:pPr>
          </w:p>
        </w:tc>
      </w:tr>
      <w:tr>
        <w:trPr>
          <w:trHeight w:val="284"/>
        </w:trPr>
        <w:tc>
          <w:tcPr>
            <w:tcW w:w="820" w:type="dxa"/>
            <w:vAlign w:val="bottom"/>
            <w:tcBorders>
              <w:bottom w:val="single" w:sz="8" w:color="CCEEFF"/>
            </w:tcBorders>
          </w:tcPr>
          <w:p>
            <w:pPr>
              <w:spacing w:after="0"/>
              <w:rPr>
                <w:sz w:val="24"/>
                <w:szCs w:val="24"/>
                <w:color w:val="auto"/>
              </w:rPr>
            </w:pPr>
          </w:p>
        </w:tc>
        <w:tc>
          <w:tcPr>
            <w:tcW w:w="366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(168)</w:t>
            </w:r>
          </w:p>
        </w:tc>
        <w:tc>
          <w:tcPr>
            <w:tcW w:w="410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71"/>
        </w:trPr>
        <w:tc>
          <w:tcPr>
            <w:tcW w:w="820" w:type="dxa"/>
            <w:vAlign w:val="bottom"/>
            <w:shd w:val="clear" w:color="auto" w:fill="CCEEFF"/>
          </w:tcPr>
          <w:p>
            <w:pPr>
              <w:spacing w:after="0"/>
              <w:rPr>
                <w:sz w:val="23"/>
                <w:szCs w:val="23"/>
                <w:color w:val="auto"/>
              </w:rPr>
            </w:pPr>
          </w:p>
        </w:tc>
        <w:tc>
          <w:tcPr>
            <w:tcW w:w="36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33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01"/>
        </w:trPr>
        <w:tc>
          <w:tcPr>
            <w:tcW w:w="820" w:type="dxa"/>
            <w:vAlign w:val="bottom"/>
          </w:tcPr>
          <w:p>
            <w:pPr>
              <w:spacing w:after="0"/>
              <w:rPr>
                <w:sz w:val="24"/>
                <w:szCs w:val="24"/>
                <w:color w:val="auto"/>
              </w:rPr>
            </w:pPr>
          </w:p>
        </w:tc>
        <w:tc>
          <w:tcPr>
            <w:tcW w:w="6500" w:type="dxa"/>
            <w:vAlign w:val="bottom"/>
            <w:gridSpan w:val="6"/>
          </w:tcPr>
          <w:p>
            <w:pPr>
              <w:ind w:left="20"/>
              <w:spacing w:after="0"/>
              <w:rPr>
                <w:sz w:val="20"/>
                <w:szCs w:val="20"/>
                <w:color w:val="auto"/>
              </w:rPr>
            </w:pPr>
            <w:r>
              <w:rPr>
                <w:rFonts w:ascii="Arial" w:cs="Arial" w:eastAsia="Arial" w:hAnsi="Arial"/>
                <w:sz w:val="16"/>
                <w:szCs w:val="16"/>
                <w:color w:val="auto"/>
                <w:w w:val="93"/>
              </w:rPr>
              <w:t>Amortization of losses included in net income on derivative financial instruments accounted for as</w:t>
            </w:r>
          </w:p>
        </w:tc>
        <w:tc>
          <w:tcPr>
            <w:tcW w:w="3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20" w:type="dxa"/>
            <w:vAlign w:val="bottom"/>
          </w:tcPr>
          <w:p>
            <w:pPr>
              <w:spacing w:after="0"/>
              <w:rPr>
                <w:sz w:val="17"/>
                <w:szCs w:val="17"/>
                <w:color w:val="auto"/>
              </w:rPr>
            </w:pPr>
          </w:p>
        </w:tc>
        <w:tc>
          <w:tcPr>
            <w:tcW w:w="3660" w:type="dxa"/>
            <w:vAlign w:val="bottom"/>
          </w:tcPr>
          <w:p>
            <w:pPr>
              <w:ind w:left="20"/>
              <w:spacing w:after="0"/>
              <w:rPr>
                <w:sz w:val="20"/>
                <w:szCs w:val="20"/>
                <w:color w:val="auto"/>
              </w:rPr>
            </w:pPr>
            <w:r>
              <w:rPr>
                <w:rFonts w:ascii="Arial" w:cs="Arial" w:eastAsia="Arial" w:hAnsi="Arial"/>
                <w:sz w:val="16"/>
                <w:szCs w:val="16"/>
                <w:color w:val="auto"/>
              </w:rPr>
              <w:t>cash flow hedges:</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8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820" w:type="dxa"/>
            <w:vAlign w:val="bottom"/>
            <w:tcBorders>
              <w:bottom w:val="single" w:sz="8" w:color="CCEEFF"/>
            </w:tcBorders>
            <w:shd w:val="clear" w:color="auto" w:fill="CCEEFF"/>
          </w:tcPr>
          <w:p>
            <w:pPr>
              <w:spacing w:after="0"/>
              <w:rPr>
                <w:sz w:val="21"/>
                <w:szCs w:val="21"/>
                <w:color w:val="auto"/>
              </w:rPr>
            </w:pPr>
          </w:p>
        </w:tc>
        <w:tc>
          <w:tcPr>
            <w:tcW w:w="3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w w:val="95"/>
              </w:rPr>
              <w:t>Amortization of losses on de-designated positions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41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Money market deposit interest expense</w:t>
            </w:r>
          </w:p>
        </w:tc>
        <w:tc>
          <w:tcPr>
            <w:tcW w:w="0" w:type="dxa"/>
            <w:vAlign w:val="bottom"/>
          </w:tcPr>
          <w:p>
            <w:pPr>
              <w:spacing w:after="0"/>
              <w:rPr>
                <w:sz w:val="1"/>
                <w:szCs w:val="1"/>
                <w:color w:val="auto"/>
              </w:rPr>
            </w:pPr>
          </w:p>
        </w:tc>
      </w:tr>
      <w:tr>
        <w:trPr>
          <w:trHeight w:val="237"/>
        </w:trPr>
        <w:tc>
          <w:tcPr>
            <w:tcW w:w="8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38</w:t>
            </w:r>
          </w:p>
        </w:tc>
        <w:tc>
          <w:tcPr>
            <w:tcW w:w="4100" w:type="dxa"/>
            <w:vAlign w:val="bottom"/>
            <w:gridSpan w:val="2"/>
          </w:tcPr>
          <w:p>
            <w:pPr>
              <w:ind w:left="140"/>
              <w:spacing w:after="0"/>
              <w:rPr>
                <w:sz w:val="20"/>
                <w:szCs w:val="20"/>
                <w:color w:val="auto"/>
              </w:rPr>
            </w:pPr>
            <w:r>
              <w:rPr>
                <w:rFonts w:ascii="Arial" w:cs="Arial" w:eastAsia="Arial" w:hAnsi="Arial"/>
                <w:sz w:val="16"/>
                <w:szCs w:val="16"/>
                <w:color w:val="auto"/>
              </w:rPr>
              <w:t>Income tax benefit</w:t>
            </w:r>
          </w:p>
        </w:tc>
        <w:tc>
          <w:tcPr>
            <w:tcW w:w="0" w:type="dxa"/>
            <w:vAlign w:val="bottom"/>
          </w:tcPr>
          <w:p>
            <w:pPr>
              <w:spacing w:after="0"/>
              <w:rPr>
                <w:sz w:val="1"/>
                <w:szCs w:val="1"/>
                <w:color w:val="auto"/>
              </w:rPr>
            </w:pPr>
          </w:p>
        </w:tc>
      </w:tr>
      <w:tr>
        <w:trPr>
          <w:trHeight w:val="33"/>
        </w:trPr>
        <w:tc>
          <w:tcPr>
            <w:tcW w:w="82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0" w:type="dxa"/>
            <w:vAlign w:val="bottom"/>
            <w:tcBorders>
              <w:bottom w:val="single" w:sz="8" w:color="CCEEFF"/>
            </w:tcBorders>
            <w:shd w:val="clear" w:color="auto" w:fill="CCEEFF"/>
          </w:tcPr>
          <w:p>
            <w:pPr>
              <w:spacing w:after="0"/>
              <w:rPr>
                <w:sz w:val="21"/>
                <w:szCs w:val="21"/>
                <w:color w:val="auto"/>
              </w:rPr>
            </w:pPr>
          </w:p>
        </w:tc>
        <w:tc>
          <w:tcPr>
            <w:tcW w:w="3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41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040" w:type="dxa"/>
            <w:vAlign w:val="bottom"/>
            <w:gridSpan w:val="3"/>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82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3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1"/>
        </w:trPr>
        <w:tc>
          <w:tcPr>
            <w:tcW w:w="820" w:type="dxa"/>
            <w:vAlign w:val="bottom"/>
            <w:shd w:val="clear" w:color="auto" w:fill="CCEEFF"/>
          </w:tcPr>
          <w:p>
            <w:pPr>
              <w:spacing w:after="0"/>
              <w:rPr>
                <w:sz w:val="24"/>
                <w:szCs w:val="24"/>
                <w:color w:val="auto"/>
              </w:rPr>
            </w:pPr>
          </w:p>
        </w:tc>
        <w:tc>
          <w:tcPr>
            <w:tcW w:w="6500" w:type="dxa"/>
            <w:vAlign w:val="bottom"/>
            <w:gridSpan w:val="6"/>
            <w:shd w:val="clear" w:color="auto" w:fill="CCEEFF"/>
          </w:tcPr>
          <w:p>
            <w:pPr>
              <w:ind w:left="20"/>
              <w:spacing w:after="0"/>
              <w:rPr>
                <w:sz w:val="20"/>
                <w:szCs w:val="20"/>
                <w:color w:val="auto"/>
              </w:rPr>
            </w:pPr>
            <w:r>
              <w:rPr>
                <w:rFonts w:ascii="Arial" w:cs="Arial" w:eastAsia="Arial" w:hAnsi="Arial"/>
                <w:sz w:val="16"/>
                <w:szCs w:val="16"/>
                <w:color w:val="auto"/>
                <w:w w:val="97"/>
              </w:rPr>
              <w:t>Amortization of prior service cost and actuarial losses included in net periodic pension cost for</w:t>
            </w:r>
          </w:p>
        </w:tc>
        <w:tc>
          <w:tcPr>
            <w:tcW w:w="33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20" w:type="dxa"/>
            <w:vAlign w:val="bottom"/>
            <w:shd w:val="clear" w:color="auto" w:fill="CCEEFF"/>
          </w:tcPr>
          <w:p>
            <w:pPr>
              <w:spacing w:after="0"/>
              <w:rPr>
                <w:sz w:val="17"/>
                <w:szCs w:val="17"/>
                <w:color w:val="auto"/>
              </w:rPr>
            </w:pPr>
          </w:p>
        </w:tc>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defined benefit pension plan:</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820" w:type="dxa"/>
            <w:vAlign w:val="bottom"/>
            <w:shd w:val="clear" w:color="auto" w:fill="CCEEFF"/>
          </w:tcPr>
          <w:p>
            <w:pPr>
              <w:spacing w:after="0"/>
              <w:rPr>
                <w:sz w:val="9"/>
                <w:szCs w:val="9"/>
                <w:color w:val="auto"/>
              </w:rPr>
            </w:pPr>
          </w:p>
        </w:tc>
        <w:tc>
          <w:tcPr>
            <w:tcW w:w="3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33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820" w:type="dxa"/>
            <w:vAlign w:val="bottom"/>
          </w:tcPr>
          <w:p>
            <w:pPr>
              <w:spacing w:after="0"/>
              <w:rPr>
                <w:sz w:val="20"/>
                <w:szCs w:val="20"/>
                <w:color w:val="auto"/>
              </w:rPr>
            </w:pPr>
          </w:p>
        </w:tc>
        <w:tc>
          <w:tcPr>
            <w:tcW w:w="3660" w:type="dxa"/>
            <w:vAlign w:val="bottom"/>
          </w:tcPr>
          <w:p>
            <w:pPr>
              <w:ind w:left="260"/>
              <w:spacing w:after="0"/>
              <w:rPr>
                <w:sz w:val="20"/>
                <w:szCs w:val="20"/>
                <w:color w:val="auto"/>
              </w:rPr>
            </w:pPr>
            <w:r>
              <w:rPr>
                <w:rFonts w:ascii="Arial" w:cs="Arial" w:eastAsia="Arial" w:hAnsi="Arial"/>
                <w:sz w:val="16"/>
                <w:szCs w:val="16"/>
                <w:color w:val="auto"/>
              </w:rPr>
              <w:t>Prior service cost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(167)</w:t>
            </w:r>
          </w:p>
        </w:tc>
        <w:tc>
          <w:tcPr>
            <w:tcW w:w="4100" w:type="dxa"/>
            <w:vAlign w:val="bottom"/>
            <w:gridSpan w:val="2"/>
          </w:tcPr>
          <w:p>
            <w:pPr>
              <w:ind w:left="140"/>
              <w:spacing w:after="0"/>
              <w:rPr>
                <w:sz w:val="20"/>
                <w:szCs w:val="20"/>
                <w:color w:val="auto"/>
              </w:rPr>
            </w:pPr>
            <w:r>
              <w:rPr>
                <w:rFonts w:ascii="Arial" w:cs="Arial" w:eastAsia="Arial" w:hAnsi="Arial"/>
                <w:sz w:val="16"/>
                <w:szCs w:val="16"/>
                <w:color w:val="auto"/>
              </w:rPr>
              <w:t>Salaries and employee benefits expense</w:t>
            </w:r>
          </w:p>
        </w:tc>
        <w:tc>
          <w:tcPr>
            <w:tcW w:w="0" w:type="dxa"/>
            <w:vAlign w:val="bottom"/>
          </w:tcPr>
          <w:p>
            <w:pPr>
              <w:spacing w:after="0"/>
              <w:rPr>
                <w:sz w:val="1"/>
                <w:szCs w:val="1"/>
                <w:color w:val="auto"/>
              </w:rPr>
            </w:pPr>
          </w:p>
        </w:tc>
      </w:tr>
      <w:tr>
        <w:trPr>
          <w:trHeight w:val="33"/>
        </w:trPr>
        <w:tc>
          <w:tcPr>
            <w:tcW w:w="8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Borders>
              <w:bottom w:val="single" w:sz="8" w:color="CCEEFF"/>
            </w:tcBorders>
            <w:shd w:val="clear" w:color="auto" w:fill="CCEEFF"/>
          </w:tcPr>
          <w:p>
            <w:pPr>
              <w:spacing w:after="0"/>
              <w:rPr>
                <w:sz w:val="21"/>
                <w:szCs w:val="21"/>
                <w:color w:val="auto"/>
              </w:rPr>
            </w:pPr>
          </w:p>
        </w:tc>
        <w:tc>
          <w:tcPr>
            <w:tcW w:w="3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Actuarial losses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1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Other expense</w:t>
            </w:r>
          </w:p>
        </w:tc>
        <w:tc>
          <w:tcPr>
            <w:tcW w:w="0" w:type="dxa"/>
            <w:vAlign w:val="bottom"/>
          </w:tcPr>
          <w:p>
            <w:pPr>
              <w:spacing w:after="0"/>
              <w:rPr>
                <w:sz w:val="1"/>
                <w:szCs w:val="1"/>
                <w:color w:val="auto"/>
              </w:rPr>
            </w:pPr>
          </w:p>
        </w:tc>
      </w:tr>
      <w:tr>
        <w:trPr>
          <w:trHeight w:val="237"/>
        </w:trPr>
        <w:tc>
          <w:tcPr>
            <w:tcW w:w="820" w:type="dxa"/>
            <w:vAlign w:val="bottom"/>
          </w:tcPr>
          <w:p>
            <w:pPr>
              <w:spacing w:after="0"/>
              <w:rPr>
                <w:sz w:val="20"/>
                <w:szCs w:val="20"/>
                <w:color w:val="auto"/>
              </w:rPr>
            </w:pPr>
          </w:p>
        </w:tc>
        <w:tc>
          <w:tcPr>
            <w:tcW w:w="3660" w:type="dxa"/>
            <w:vAlign w:val="bottom"/>
          </w:tcPr>
          <w:p>
            <w:pPr>
              <w:ind w:left="260"/>
              <w:spacing w:after="0"/>
              <w:rPr>
                <w:sz w:val="20"/>
                <w:szCs w:val="20"/>
                <w:color w:val="auto"/>
              </w:rPr>
            </w:pPr>
            <w:r>
              <w:rPr>
                <w:rFonts w:ascii="Arial" w:cs="Arial" w:eastAsia="Arial" w:hAnsi="Arial"/>
                <w:sz w:val="16"/>
                <w:szCs w:val="16"/>
                <w:color w:val="auto"/>
              </w:rPr>
              <w:t>Actuarial losses</w:t>
            </w:r>
          </w:p>
        </w:tc>
        <w:tc>
          <w:tcPr>
            <w:tcW w:w="22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w:t>
            </w:r>
          </w:p>
        </w:tc>
        <w:tc>
          <w:tcPr>
            <w:tcW w:w="4100" w:type="dxa"/>
            <w:vAlign w:val="bottom"/>
            <w:gridSpan w:val="2"/>
          </w:tcPr>
          <w:p>
            <w:pPr>
              <w:ind w:left="140"/>
              <w:spacing w:after="0"/>
              <w:rPr>
                <w:sz w:val="20"/>
                <w:szCs w:val="20"/>
                <w:color w:val="auto"/>
              </w:rPr>
            </w:pPr>
            <w:r>
              <w:rPr>
                <w:rFonts w:ascii="Arial" w:cs="Arial" w:eastAsia="Arial" w:hAnsi="Arial"/>
                <w:sz w:val="16"/>
                <w:szCs w:val="16"/>
                <w:color w:val="auto"/>
              </w:rPr>
              <w:t>Salaries and employee benefits expense</w:t>
            </w:r>
          </w:p>
        </w:tc>
        <w:tc>
          <w:tcPr>
            <w:tcW w:w="0" w:type="dxa"/>
            <w:vAlign w:val="bottom"/>
          </w:tcPr>
          <w:p>
            <w:pPr>
              <w:spacing w:after="0"/>
              <w:rPr>
                <w:sz w:val="1"/>
                <w:szCs w:val="1"/>
                <w:color w:val="auto"/>
              </w:rPr>
            </w:pPr>
          </w:p>
        </w:tc>
      </w:tr>
      <w:tr>
        <w:trPr>
          <w:trHeight w:val="33"/>
        </w:trPr>
        <w:tc>
          <w:tcPr>
            <w:tcW w:w="82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0" w:type="dxa"/>
            <w:vAlign w:val="bottom"/>
            <w:tcBorders>
              <w:bottom w:val="single" w:sz="8" w:color="CCEEFF"/>
            </w:tcBorders>
            <w:shd w:val="clear" w:color="auto" w:fill="CCEEFF"/>
          </w:tcPr>
          <w:p>
            <w:pPr>
              <w:spacing w:after="0"/>
              <w:rPr>
                <w:sz w:val="20"/>
                <w:szCs w:val="20"/>
                <w:color w:val="auto"/>
              </w:rPr>
            </w:pPr>
          </w:p>
        </w:tc>
        <w:tc>
          <w:tcPr>
            <w:tcW w:w="36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41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Total before tax</w:t>
            </w:r>
          </w:p>
        </w:tc>
        <w:tc>
          <w:tcPr>
            <w:tcW w:w="0" w:type="dxa"/>
            <w:vAlign w:val="bottom"/>
          </w:tcPr>
          <w:p>
            <w:pPr>
              <w:spacing w:after="0"/>
              <w:rPr>
                <w:sz w:val="1"/>
                <w:szCs w:val="1"/>
                <w:color w:val="auto"/>
              </w:rPr>
            </w:pPr>
          </w:p>
        </w:tc>
      </w:tr>
      <w:tr>
        <w:trPr>
          <w:trHeight w:val="237"/>
        </w:trPr>
        <w:tc>
          <w:tcPr>
            <w:tcW w:w="8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58</w:t>
            </w:r>
          </w:p>
        </w:tc>
        <w:tc>
          <w:tcPr>
            <w:tcW w:w="4100" w:type="dxa"/>
            <w:vAlign w:val="bottom"/>
            <w:gridSpan w:val="2"/>
          </w:tcPr>
          <w:p>
            <w:pPr>
              <w:ind w:left="140"/>
              <w:spacing w:after="0"/>
              <w:rPr>
                <w:sz w:val="20"/>
                <w:szCs w:val="20"/>
                <w:color w:val="auto"/>
              </w:rPr>
            </w:pPr>
            <w:r>
              <w:rPr>
                <w:rFonts w:ascii="Arial" w:cs="Arial" w:eastAsia="Arial" w:hAnsi="Arial"/>
                <w:sz w:val="16"/>
                <w:szCs w:val="16"/>
                <w:color w:val="auto"/>
              </w:rPr>
              <w:t>Income tax benefit</w:t>
            </w:r>
          </w:p>
        </w:tc>
        <w:tc>
          <w:tcPr>
            <w:tcW w:w="0" w:type="dxa"/>
            <w:vAlign w:val="bottom"/>
          </w:tcPr>
          <w:p>
            <w:pPr>
              <w:spacing w:after="0"/>
              <w:rPr>
                <w:sz w:val="1"/>
                <w:szCs w:val="1"/>
                <w:color w:val="auto"/>
              </w:rPr>
            </w:pPr>
          </w:p>
        </w:tc>
      </w:tr>
      <w:tr>
        <w:trPr>
          <w:trHeight w:val="33"/>
        </w:trPr>
        <w:tc>
          <w:tcPr>
            <w:tcW w:w="82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0" w:type="dxa"/>
            <w:vAlign w:val="bottom"/>
            <w:tcBorders>
              <w:bottom w:val="single" w:sz="8" w:color="CCEEFF"/>
            </w:tcBorders>
            <w:shd w:val="clear" w:color="auto" w:fill="CCEEFF"/>
          </w:tcPr>
          <w:p>
            <w:pPr>
              <w:spacing w:after="0"/>
              <w:rPr>
                <w:sz w:val="21"/>
                <w:szCs w:val="21"/>
                <w:color w:val="auto"/>
              </w:rPr>
            </w:pPr>
          </w:p>
        </w:tc>
        <w:tc>
          <w:tcPr>
            <w:tcW w:w="3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41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82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20" w:type="dxa"/>
            <w:vAlign w:val="bottom"/>
            <w:tcBorders>
              <w:bottom w:val="single" w:sz="8" w:color="CCEEFF"/>
            </w:tcBorders>
            <w:shd w:val="clear" w:color="auto" w:fill="CCEEFF"/>
          </w:tcPr>
          <w:p>
            <w:pPr>
              <w:spacing w:after="0"/>
              <w:rPr>
                <w:sz w:val="21"/>
                <w:szCs w:val="21"/>
                <w:color w:val="auto"/>
              </w:rPr>
            </w:pPr>
          </w:p>
        </w:tc>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reclassifications for the period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(1,165)</w:t>
            </w:r>
          </w:p>
        </w:tc>
        <w:tc>
          <w:tcPr>
            <w:tcW w:w="41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Amounts shown above in parentheses reduce earnings.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following table sets forth the computation of basic and diluted earnings per share for the periods indicated </w:t>
      </w:r>
      <w:r>
        <w:rPr>
          <w:rFonts w:ascii="Arial" w:cs="Arial" w:eastAsia="Arial" w:hAnsi="Arial"/>
          <w:sz w:val="17"/>
          <w:szCs w:val="17"/>
          <w:i w:val="1"/>
          <w:iCs w:val="1"/>
          <w:color w:val="auto"/>
        </w:rPr>
        <w:t>(in thousands, except per share data)</w:t>
      </w:r>
      <w:r>
        <w:rPr>
          <w:rFonts w:ascii="Arial" w:cs="Arial" w:eastAsia="Arial" w:hAnsi="Arial"/>
          <w:sz w:val="17"/>
          <w:szCs w:val="17"/>
          <w:color w:val="auto"/>
        </w:rPr>
        <w:t>.</w:t>
      </w:r>
    </w:p>
    <w:p>
      <w:pPr>
        <w:spacing w:after="0" w:line="183" w:lineRule="exact"/>
        <w:rPr>
          <w:sz w:val="20"/>
          <w:szCs w:val="20"/>
          <w:color w:val="auto"/>
        </w:rPr>
      </w:pPr>
    </w:p>
    <w:p>
      <w:pPr>
        <w:jc w:val="center"/>
        <w:ind w:left="54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54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33020</wp:posOffset>
            </wp:positionV>
            <wp:extent cx="15093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820" w:type="dxa"/>
            <w:vAlign w:val="bottom"/>
          </w:tcPr>
          <w:p>
            <w:pPr>
              <w:spacing w:after="0"/>
              <w:rPr>
                <w:sz w:val="18"/>
                <w:szCs w:val="18"/>
                <w:color w:val="auto"/>
              </w:rPr>
            </w:pPr>
          </w:p>
        </w:tc>
      </w:tr>
      <w:tr>
        <w:trPr>
          <w:trHeight w:val="33"/>
        </w:trPr>
        <w:tc>
          <w:tcPr>
            <w:tcW w:w="7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r>
      <w:tr>
        <w:trPr>
          <w:trHeight w:val="230"/>
        </w:trPr>
        <w:tc>
          <w:tcPr>
            <w:tcW w:w="7220" w:type="dxa"/>
            <w:vAlign w:val="bottom"/>
            <w:tcBorders>
              <w:bottom w:val="single" w:sz="8" w:color="CCEEFF"/>
            </w:tcBorders>
            <w:shd w:val="clear" w:color="auto" w:fill="CCEEFF"/>
          </w:tcPr>
          <w:p>
            <w:pPr>
              <w:ind w:left="188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44,262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37,658</w:t>
            </w:r>
          </w:p>
        </w:tc>
        <w:tc>
          <w:tcPr>
            <w:tcW w:w="1820" w:type="dxa"/>
            <w:vAlign w:val="bottom"/>
            <w:tcBorders>
              <w:bottom w:val="single" w:sz="8" w:color="CCEEFF"/>
            </w:tcBorders>
            <w:shd w:val="clear" w:color="auto" w:fill="CCEEFF"/>
          </w:tcPr>
          <w:p>
            <w:pPr>
              <w:spacing w:after="0"/>
              <w:rPr>
                <w:sz w:val="20"/>
                <w:szCs w:val="20"/>
                <w:color w:val="auto"/>
              </w:rPr>
            </w:pPr>
          </w:p>
        </w:tc>
      </w:tr>
      <w:tr>
        <w:trPr>
          <w:trHeight w:val="237"/>
        </w:trPr>
        <w:tc>
          <w:tcPr>
            <w:tcW w:w="7220" w:type="dxa"/>
            <w:vAlign w:val="bottom"/>
          </w:tcPr>
          <w:p>
            <w:pPr>
              <w:ind w:left="1880"/>
              <w:spacing w:after="0"/>
              <w:rPr>
                <w:sz w:val="20"/>
                <w:szCs w:val="20"/>
                <w:color w:val="auto"/>
              </w:rPr>
            </w:pPr>
            <w:r>
              <w:rPr>
                <w:rFonts w:ascii="Arial" w:cs="Arial" w:eastAsia="Arial" w:hAnsi="Arial"/>
                <w:sz w:val="16"/>
                <w:szCs w:val="16"/>
                <w:color w:val="auto"/>
              </w:rPr>
              <w:t>Dividends and undistributed earnings allocated to unvested shares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(277)</w:t>
            </w:r>
          </w:p>
        </w:tc>
        <w:tc>
          <w:tcPr>
            <w:tcW w:w="1820" w:type="dxa"/>
            <w:vAlign w:val="bottom"/>
          </w:tcPr>
          <w:p>
            <w:pPr>
              <w:spacing w:after="0"/>
              <w:rPr>
                <w:sz w:val="20"/>
                <w:szCs w:val="20"/>
                <w:color w:val="auto"/>
              </w:rPr>
            </w:pPr>
          </w:p>
        </w:tc>
      </w:tr>
      <w:tr>
        <w:trPr>
          <w:trHeight w:val="33"/>
        </w:trPr>
        <w:tc>
          <w:tcPr>
            <w:tcW w:w="7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r>
      <w:tr>
        <w:trPr>
          <w:trHeight w:val="244"/>
        </w:trPr>
        <w:tc>
          <w:tcPr>
            <w:tcW w:w="7220" w:type="dxa"/>
            <w:vAlign w:val="bottom"/>
            <w:tcBorders>
              <w:bottom w:val="single" w:sz="8" w:color="CCEEFF"/>
            </w:tcBorders>
            <w:shd w:val="clear" w:color="auto" w:fill="CCEEFF"/>
          </w:tcPr>
          <w:p>
            <w:pPr>
              <w:ind w:left="1880"/>
              <w:spacing w:after="0"/>
              <w:rPr>
                <w:sz w:val="20"/>
                <w:szCs w:val="20"/>
                <w:color w:val="auto"/>
              </w:rPr>
            </w:pPr>
            <w:r>
              <w:rPr>
                <w:rFonts w:ascii="Arial" w:cs="Arial" w:eastAsia="Arial" w:hAnsi="Arial"/>
                <w:sz w:val="16"/>
                <w:szCs w:val="16"/>
                <w:color w:val="auto"/>
              </w:rPr>
              <w:t>Net income available to common shareholders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43,947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37,381</w:t>
            </w:r>
          </w:p>
        </w:tc>
        <w:tc>
          <w:tcPr>
            <w:tcW w:w="1820" w:type="dxa"/>
            <w:vAlign w:val="bottom"/>
            <w:tcBorders>
              <w:bottom w:val="single" w:sz="8" w:color="CCEEFF"/>
            </w:tcBorders>
            <w:shd w:val="clear" w:color="auto" w:fill="CCEEFF"/>
          </w:tcPr>
          <w:p>
            <w:pPr>
              <w:spacing w:after="0"/>
              <w:rPr>
                <w:sz w:val="21"/>
                <w:szCs w:val="21"/>
                <w:color w:val="auto"/>
              </w:rPr>
            </w:pPr>
          </w:p>
        </w:tc>
      </w:tr>
      <w:tr>
        <w:trPr>
          <w:trHeight w:val="20"/>
        </w:trPr>
        <w:tc>
          <w:tcPr>
            <w:tcW w:w="7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71"/>
        </w:trPr>
        <w:tc>
          <w:tcPr>
            <w:tcW w:w="7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50"/>
        </w:trPr>
        <w:tc>
          <w:tcPr>
            <w:tcW w:w="7220" w:type="dxa"/>
            <w:vAlign w:val="bottom"/>
            <w:tcBorders>
              <w:bottom w:val="single" w:sz="8" w:color="CCEEFF"/>
            </w:tcBorders>
            <w:shd w:val="clear" w:color="auto" w:fill="CCEEFF"/>
          </w:tcPr>
          <w:p>
            <w:pPr>
              <w:ind w:left="1880"/>
              <w:spacing w:after="0"/>
              <w:rPr>
                <w:sz w:val="20"/>
                <w:szCs w:val="20"/>
                <w:color w:val="auto"/>
              </w:rPr>
            </w:pPr>
            <w:r>
              <w:rPr>
                <w:rFonts w:ascii="Arial" w:cs="Arial" w:eastAsia="Arial" w:hAnsi="Arial"/>
                <w:sz w:val="16"/>
                <w:szCs w:val="16"/>
                <w:b w:val="1"/>
                <w:bCs w:val="1"/>
                <w:color w:val="auto"/>
              </w:rPr>
              <w:t>Weighted average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37"/>
        </w:trPr>
        <w:tc>
          <w:tcPr>
            <w:tcW w:w="7220" w:type="dxa"/>
            <w:vAlign w:val="bottom"/>
          </w:tcPr>
          <w:p>
            <w:pPr>
              <w:ind w:left="2000"/>
              <w:spacing w:after="0"/>
              <w:rPr>
                <w:sz w:val="20"/>
                <w:szCs w:val="20"/>
                <w:color w:val="auto"/>
              </w:rPr>
            </w:pPr>
            <w:r>
              <w:rPr>
                <w:rFonts w:ascii="Arial" w:cs="Arial" w:eastAsia="Arial" w:hAnsi="Arial"/>
                <w:sz w:val="16"/>
                <w:szCs w:val="16"/>
                <w:color w:val="auto"/>
              </w:rPr>
              <w:t>Basic</w:t>
            </w:r>
          </w:p>
        </w:tc>
        <w:tc>
          <w:tcPr>
            <w:tcW w:w="2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79,807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79,205</w:t>
            </w:r>
          </w:p>
        </w:tc>
        <w:tc>
          <w:tcPr>
            <w:tcW w:w="1820" w:type="dxa"/>
            <w:vAlign w:val="bottom"/>
          </w:tcPr>
          <w:p>
            <w:pPr>
              <w:spacing w:after="0"/>
              <w:rPr>
                <w:sz w:val="20"/>
                <w:szCs w:val="20"/>
                <w:color w:val="auto"/>
              </w:rPr>
            </w:pPr>
          </w:p>
        </w:tc>
      </w:tr>
      <w:tr>
        <w:trPr>
          <w:trHeight w:val="33"/>
        </w:trPr>
        <w:tc>
          <w:tcPr>
            <w:tcW w:w="7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2000"/>
              <w:spacing w:after="0"/>
              <w:rPr>
                <w:sz w:val="20"/>
                <w:szCs w:val="20"/>
                <w:color w:val="auto"/>
              </w:rPr>
            </w:pPr>
            <w:r>
              <w:rPr>
                <w:rFonts w:ascii="Arial" w:cs="Arial" w:eastAsia="Arial" w:hAnsi="Arial"/>
                <w:sz w:val="16"/>
                <w:szCs w:val="16"/>
                <w:color w:val="auto"/>
              </w:rPr>
              <w:t>Effect of dilutive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37"/>
        </w:trPr>
        <w:tc>
          <w:tcPr>
            <w:tcW w:w="7220" w:type="dxa"/>
            <w:vAlign w:val="bottom"/>
          </w:tcPr>
          <w:p>
            <w:pPr>
              <w:ind w:left="2120"/>
              <w:spacing w:after="0"/>
              <w:rPr>
                <w:sz w:val="20"/>
                <w:szCs w:val="20"/>
                <w:color w:val="auto"/>
              </w:rPr>
            </w:pPr>
            <w:r>
              <w:rPr>
                <w:rFonts w:ascii="Arial" w:cs="Arial" w:eastAsia="Arial" w:hAnsi="Arial"/>
                <w:sz w:val="16"/>
                <w:szCs w:val="16"/>
                <w:color w:val="auto"/>
              </w:rPr>
              <w:t>Stock options</w:t>
            </w:r>
          </w:p>
        </w:tc>
        <w:tc>
          <w:tcPr>
            <w:tcW w:w="2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820" w:type="dxa"/>
            <w:vAlign w:val="bottom"/>
          </w:tcPr>
          <w:p>
            <w:pPr>
              <w:spacing w:after="0"/>
              <w:rPr>
                <w:sz w:val="20"/>
                <w:szCs w:val="20"/>
                <w:color w:val="auto"/>
              </w:rPr>
            </w:pPr>
          </w:p>
        </w:tc>
      </w:tr>
      <w:tr>
        <w:trPr>
          <w:trHeight w:val="33"/>
        </w:trPr>
        <w:tc>
          <w:tcPr>
            <w:tcW w:w="7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220" w:type="dxa"/>
            <w:vAlign w:val="bottom"/>
            <w:tcBorders>
              <w:bottom w:val="single" w:sz="8" w:color="CCEEFF"/>
            </w:tcBorders>
            <w:shd w:val="clear" w:color="auto" w:fill="CCEEFF"/>
          </w:tcPr>
          <w:p>
            <w:pPr>
              <w:ind w:left="2120"/>
              <w:spacing w:after="0"/>
              <w:rPr>
                <w:sz w:val="20"/>
                <w:szCs w:val="20"/>
                <w:color w:val="auto"/>
              </w:rPr>
            </w:pPr>
            <w:r>
              <w:rPr>
                <w:rFonts w:ascii="Arial" w:cs="Arial" w:eastAsia="Arial" w:hAnsi="Arial"/>
                <w:sz w:val="16"/>
                <w:szCs w:val="16"/>
                <w:color w:val="auto"/>
              </w:rPr>
              <w:t>Restricted stock units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700" w:type="dxa"/>
            <w:vAlign w:val="bottom"/>
            <w:tcBorders>
              <w:bottom w:val="single" w:sz="8" w:color="CCEEFF"/>
            </w:tcBorders>
            <w:gridSpan w:val="2"/>
            <w:shd w:val="clear" w:color="auto" w:fill="CCEEFF"/>
          </w:tcPr>
          <w:p>
            <w:pPr>
              <w:jc w:val="right"/>
              <w:ind w:right="1940"/>
              <w:spacing w:after="0"/>
              <w:rPr>
                <w:sz w:val="20"/>
                <w:szCs w:val="20"/>
                <w:color w:val="auto"/>
              </w:rPr>
            </w:pPr>
            <w:r>
              <w:rPr>
                <w:rFonts w:ascii="Arial" w:cs="Arial" w:eastAsia="Arial" w:hAnsi="Arial"/>
                <w:sz w:val="16"/>
                <w:szCs w:val="16"/>
                <w:color w:val="auto"/>
              </w:rPr>
              <w:t>—</w:t>
            </w:r>
          </w:p>
        </w:tc>
      </w:tr>
      <w:tr>
        <w:trPr>
          <w:trHeight w:val="284"/>
        </w:trPr>
        <w:tc>
          <w:tcPr>
            <w:tcW w:w="7220" w:type="dxa"/>
            <w:vAlign w:val="bottom"/>
            <w:tcBorders>
              <w:bottom w:val="single" w:sz="8" w:color="CCEEFF"/>
            </w:tcBorders>
          </w:tcPr>
          <w:p>
            <w:pPr>
              <w:ind w:left="2000"/>
              <w:spacing w:after="0"/>
              <w:rPr>
                <w:sz w:val="20"/>
                <w:szCs w:val="20"/>
                <w:color w:val="auto"/>
              </w:rPr>
            </w:pPr>
            <w:r>
              <w:rPr>
                <w:rFonts w:ascii="Arial" w:cs="Arial" w:eastAsia="Arial" w:hAnsi="Arial"/>
                <w:sz w:val="16"/>
                <w:szCs w:val="16"/>
                <w:color w:val="auto"/>
              </w:rPr>
              <w:t>Diluted</w:t>
            </w: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79,813</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79,215</w:t>
            </w:r>
          </w:p>
        </w:tc>
        <w:tc>
          <w:tcPr>
            <w:tcW w:w="1820" w:type="dxa"/>
            <w:vAlign w:val="bottom"/>
            <w:tcBorders>
              <w:bottom w:val="single" w:sz="8" w:color="CCEEFF"/>
            </w:tcBorders>
          </w:tcPr>
          <w:p>
            <w:pPr>
              <w:spacing w:after="0"/>
              <w:rPr>
                <w:sz w:val="24"/>
                <w:szCs w:val="24"/>
                <w:color w:val="auto"/>
              </w:rPr>
            </w:pPr>
          </w:p>
        </w:tc>
      </w:tr>
      <w:tr>
        <w:trPr>
          <w:trHeight w:val="271"/>
        </w:trPr>
        <w:tc>
          <w:tcPr>
            <w:tcW w:w="7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r>
      <w:tr>
        <w:trPr>
          <w:trHeight w:val="237"/>
        </w:trPr>
        <w:tc>
          <w:tcPr>
            <w:tcW w:w="7220" w:type="dxa"/>
            <w:vAlign w:val="bottom"/>
          </w:tcPr>
          <w:p>
            <w:pPr>
              <w:ind w:left="1880"/>
              <w:spacing w:after="0"/>
              <w:rPr>
                <w:sz w:val="20"/>
                <w:szCs w:val="20"/>
                <w:color w:val="auto"/>
              </w:rPr>
            </w:pPr>
            <w:r>
              <w:rPr>
                <w:rFonts w:ascii="Arial" w:cs="Arial" w:eastAsia="Arial" w:hAnsi="Arial"/>
                <w:sz w:val="16"/>
                <w:szCs w:val="16"/>
                <w:b w:val="1"/>
                <w:bCs w:val="1"/>
                <w:color w:val="auto"/>
              </w:rPr>
              <w:t>Net income per common share:</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3"/>
        </w:trPr>
        <w:tc>
          <w:tcPr>
            <w:tcW w:w="7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200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0.47</w:t>
            </w:r>
          </w:p>
        </w:tc>
        <w:tc>
          <w:tcPr>
            <w:tcW w:w="1820" w:type="dxa"/>
            <w:vAlign w:val="bottom"/>
            <w:tcBorders>
              <w:bottom w:val="single" w:sz="8" w:color="CCEEFF"/>
            </w:tcBorders>
            <w:shd w:val="clear" w:color="auto" w:fill="CCEEFF"/>
          </w:tcPr>
          <w:p>
            <w:pPr>
              <w:spacing w:after="0"/>
              <w:rPr>
                <w:sz w:val="21"/>
                <w:szCs w:val="21"/>
                <w:color w:val="auto"/>
              </w:rPr>
            </w:pPr>
          </w:p>
        </w:tc>
      </w:tr>
      <w:tr>
        <w:trPr>
          <w:trHeight w:val="20"/>
        </w:trPr>
        <w:tc>
          <w:tcPr>
            <w:tcW w:w="7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37"/>
        </w:trPr>
        <w:tc>
          <w:tcPr>
            <w:tcW w:w="7220" w:type="dxa"/>
            <w:vAlign w:val="bottom"/>
          </w:tcPr>
          <w:p>
            <w:pPr>
              <w:ind w:left="200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0.55</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0.47</w:t>
            </w:r>
          </w:p>
        </w:tc>
        <w:tc>
          <w:tcPr>
            <w:tcW w:w="1820" w:type="dxa"/>
            <w:vAlign w:val="bottom"/>
          </w:tcPr>
          <w:p>
            <w:pPr>
              <w:spacing w:after="0"/>
              <w:rPr>
                <w:sz w:val="20"/>
                <w:szCs w:val="20"/>
                <w:color w:val="auto"/>
              </w:rPr>
            </w:pPr>
          </w:p>
        </w:tc>
      </w:tr>
      <w:tr>
        <w:trPr>
          <w:trHeight w:val="20"/>
        </w:trPr>
        <w:tc>
          <w:tcPr>
            <w:tcW w:w="7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2019, United excluded 31,812 potentially dilutive shares of common stock issuable upon exercise of stock options with a weighted average exercise price of $31.47 from the computation of diluted earnings per share because of their antidilutive effect.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March 31, 2018, United had the following potentially dilutive stock options and warrants outstanding: a warrant to purchase 219,909 shares of common stock at $61.40 per share; 32,464 shares of common stock issuable upon exercise of stock options granted to employees with a weighted average exercise price of $31.50.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Derivatives and Hedging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Management Objective of Using Derivatives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United is exposed to certain risks arising from both its business operations and economic conditions. United principally manages its exposures to a wide variety of business and operational risks through management of its core business activities. United manages interest rate risk through a combination of pricing and term structure of deposit product offerings, the amount and duration of its investment securities portfolio and wholesale funding, and through the use of derivative financial instruments. Specifically, United enters into derivative financial instruments to manage interest rate risk exposures that arise from business activities that result in the receipt or payment of future known and uncertain cash amounts, the value of which are determined by interest rates. Derivative financial instruments are used to manage differences in the amount, timing, and duration of known or expected cash receipts and known or expected cash payments principally related to loans, investment securities, wholesale borrowings and deposits.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conjunction with the FASB’s fair value measurement guidance, United made an accounting policy election to measure the credit risk of its derivative financial instruments that are subject to master netting arrangements on a gross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United clears certain derivatives centrally through the Chicago Mercantile Exchange (“CME”). CME rules legally characterize variation margin payments for centrally cleared derivatives as settlements of the derivatives’ exposure rather than as collateral. As a result, the variation margin payment and the related derivative instruments are considered a single unit of account for accounting purposes. Variation margin, as determined by the CME, is settled daily. As a result, derivative contracts that clear through the CME have an estimated fair value of zero. The table below presents the fair value of derivative financial instruments as of the dates indicated as well as their classification on the consolidated balance sheets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designated as hedging instruments under ASC 815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gridSpan w:val="2"/>
          </w:tcPr>
          <w:p>
            <w:pPr>
              <w:ind w:left="1620"/>
              <w:spacing w:after="0"/>
              <w:rPr>
                <w:sz w:val="20"/>
                <w:szCs w:val="20"/>
                <w:color w:val="auto"/>
              </w:rPr>
            </w:pPr>
            <w:r>
              <w:rPr>
                <w:rFonts w:ascii="Arial" w:cs="Arial" w:eastAsia="Arial" w:hAnsi="Arial"/>
                <w:sz w:val="16"/>
                <w:szCs w:val="16"/>
                <w:b w:val="1"/>
                <w:bCs w:val="1"/>
                <w:color w:val="auto"/>
              </w:rPr>
              <w:t>Interest Rate Products</w:t>
            </w:r>
          </w:p>
        </w:tc>
        <w:tc>
          <w:tcPr>
            <w:tcW w:w="2640" w:type="dxa"/>
            <w:vAlign w:val="bottom"/>
            <w:gridSpan w:val="2"/>
          </w:tcPr>
          <w:p>
            <w:pPr>
              <w:ind w:left="440"/>
              <w:spacing w:after="0"/>
              <w:rPr>
                <w:sz w:val="20"/>
                <w:szCs w:val="20"/>
                <w:color w:val="auto"/>
              </w:rPr>
            </w:pPr>
            <w:r>
              <w:rPr>
                <w:rFonts w:ascii="Arial" w:cs="Arial" w:eastAsia="Arial" w:hAnsi="Arial"/>
                <w:sz w:val="16"/>
                <w:szCs w:val="16"/>
                <w:b w:val="1"/>
                <w:bCs w:val="1"/>
                <w:color w:val="auto"/>
              </w:rPr>
              <w:t>Balance Sheet Location</w:t>
            </w:r>
          </w:p>
        </w:tc>
        <w:tc>
          <w:tcPr>
            <w:tcW w:w="260" w:type="dxa"/>
            <w:vAlign w:val="bottom"/>
          </w:tcPr>
          <w:p>
            <w:pPr>
              <w:spacing w:after="0"/>
              <w:rPr>
                <w:sz w:val="18"/>
                <w:szCs w:val="18"/>
                <w:color w:val="auto"/>
              </w:rPr>
            </w:pPr>
          </w:p>
        </w:tc>
        <w:tc>
          <w:tcPr>
            <w:tcW w:w="180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 2019</w:t>
            </w:r>
          </w:p>
        </w:tc>
        <w:tc>
          <w:tcPr>
            <w:tcW w:w="180" w:type="dxa"/>
            <w:vAlign w:val="bottom"/>
          </w:tcPr>
          <w:p>
            <w:pPr>
              <w:spacing w:after="0"/>
              <w:rPr>
                <w:sz w:val="18"/>
                <w:szCs w:val="18"/>
                <w:color w:val="auto"/>
              </w:rPr>
            </w:pPr>
          </w:p>
        </w:tc>
        <w:tc>
          <w:tcPr>
            <w:tcW w:w="1620" w:type="dxa"/>
            <w:vAlign w:val="bottom"/>
          </w:tcPr>
          <w:p>
            <w:pPr>
              <w:jc w:val="right"/>
              <w:ind w:right="179"/>
              <w:spacing w:after="0"/>
              <w:rPr>
                <w:sz w:val="20"/>
                <w:szCs w:val="20"/>
                <w:color w:val="auto"/>
              </w:rPr>
            </w:pPr>
            <w:r>
              <w:rPr>
                <w:rFonts w:ascii="Arial" w:cs="Arial" w:eastAsia="Arial" w:hAnsi="Arial"/>
                <w:sz w:val="16"/>
                <w:szCs w:val="16"/>
                <w:b w:val="1"/>
                <w:bCs w:val="1"/>
                <w:color w:val="auto"/>
                <w:w w:val="92"/>
              </w:rPr>
              <w:t>December 31, 2018</w:t>
            </w:r>
          </w:p>
        </w:tc>
      </w:tr>
      <w:tr>
        <w:trPr>
          <w:trHeight w:val="33"/>
        </w:trPr>
        <w:tc>
          <w:tcPr>
            <w:tcW w:w="4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Fair value hedge of brokered CDs</w:t>
            </w:r>
          </w:p>
        </w:tc>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Derivative liabilities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1,682</w:t>
            </w:r>
          </w:p>
        </w:tc>
      </w:tr>
      <w:tr>
        <w:trPr>
          <w:trHeight w:val="217"/>
        </w:trPr>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1,251</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1,682</w:t>
            </w:r>
          </w:p>
        </w:tc>
      </w:tr>
      <w:tr>
        <w:trPr>
          <w:trHeight w:val="33"/>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 under ASC 815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gridSpan w:val="2"/>
          </w:tcPr>
          <w:p>
            <w:pPr>
              <w:ind w:left="1620"/>
              <w:spacing w:after="0"/>
              <w:rPr>
                <w:sz w:val="20"/>
                <w:szCs w:val="20"/>
                <w:color w:val="auto"/>
              </w:rPr>
            </w:pPr>
            <w:r>
              <w:rPr>
                <w:rFonts w:ascii="Arial" w:cs="Arial" w:eastAsia="Arial" w:hAnsi="Arial"/>
                <w:sz w:val="16"/>
                <w:szCs w:val="16"/>
                <w:b w:val="1"/>
                <w:bCs w:val="1"/>
                <w:color w:val="auto"/>
              </w:rPr>
              <w:t>Interest Rate Products</w:t>
            </w:r>
          </w:p>
        </w:tc>
        <w:tc>
          <w:tcPr>
            <w:tcW w:w="2640" w:type="dxa"/>
            <w:vAlign w:val="bottom"/>
            <w:gridSpan w:val="2"/>
          </w:tcPr>
          <w:p>
            <w:pPr>
              <w:ind w:left="440"/>
              <w:spacing w:after="0"/>
              <w:rPr>
                <w:sz w:val="20"/>
                <w:szCs w:val="20"/>
                <w:color w:val="auto"/>
              </w:rPr>
            </w:pPr>
            <w:r>
              <w:rPr>
                <w:rFonts w:ascii="Arial" w:cs="Arial" w:eastAsia="Arial" w:hAnsi="Arial"/>
                <w:sz w:val="16"/>
                <w:szCs w:val="16"/>
                <w:b w:val="1"/>
                <w:bCs w:val="1"/>
                <w:color w:val="auto"/>
              </w:rPr>
              <w:t>Balance Sheet Location</w:t>
            </w:r>
          </w:p>
        </w:tc>
        <w:tc>
          <w:tcPr>
            <w:tcW w:w="260" w:type="dxa"/>
            <w:vAlign w:val="bottom"/>
          </w:tcPr>
          <w:p>
            <w:pPr>
              <w:spacing w:after="0"/>
              <w:rPr>
                <w:sz w:val="18"/>
                <w:szCs w:val="18"/>
                <w:color w:val="auto"/>
              </w:rPr>
            </w:pPr>
          </w:p>
        </w:tc>
        <w:tc>
          <w:tcPr>
            <w:tcW w:w="180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 2019</w:t>
            </w:r>
          </w:p>
        </w:tc>
        <w:tc>
          <w:tcPr>
            <w:tcW w:w="180" w:type="dxa"/>
            <w:vAlign w:val="bottom"/>
          </w:tcPr>
          <w:p>
            <w:pPr>
              <w:spacing w:after="0"/>
              <w:rPr>
                <w:sz w:val="18"/>
                <w:szCs w:val="18"/>
                <w:color w:val="auto"/>
              </w:rPr>
            </w:pPr>
          </w:p>
        </w:tc>
        <w:tc>
          <w:tcPr>
            <w:tcW w:w="1620" w:type="dxa"/>
            <w:vAlign w:val="bottom"/>
          </w:tcPr>
          <w:p>
            <w:pPr>
              <w:jc w:val="right"/>
              <w:ind w:right="179"/>
              <w:spacing w:after="0"/>
              <w:rPr>
                <w:sz w:val="20"/>
                <w:szCs w:val="20"/>
                <w:color w:val="auto"/>
              </w:rPr>
            </w:pPr>
            <w:r>
              <w:rPr>
                <w:rFonts w:ascii="Arial" w:cs="Arial" w:eastAsia="Arial" w:hAnsi="Arial"/>
                <w:sz w:val="16"/>
                <w:szCs w:val="16"/>
                <w:b w:val="1"/>
                <w:bCs w:val="1"/>
                <w:color w:val="auto"/>
                <w:w w:val="92"/>
              </w:rPr>
              <w:t>December 31, 2018</w:t>
            </w:r>
          </w:p>
        </w:tc>
      </w:tr>
      <w:tr>
        <w:trPr>
          <w:trHeight w:val="33"/>
        </w:trPr>
        <w:tc>
          <w:tcPr>
            <w:tcW w:w="4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7"/>
        </w:trPr>
        <w:tc>
          <w:tcPr>
            <w:tcW w:w="4920" w:type="dxa"/>
            <w:vAlign w:val="bottom"/>
            <w:gridSpan w:val="2"/>
          </w:tcPr>
          <w:p>
            <w:pPr>
              <w:ind w:left="40"/>
              <w:spacing w:after="0"/>
              <w:rPr>
                <w:sz w:val="20"/>
                <w:szCs w:val="20"/>
                <w:color w:val="auto"/>
              </w:rPr>
            </w:pPr>
            <w:r>
              <w:rPr>
                <w:rFonts w:ascii="Arial" w:cs="Arial" w:eastAsia="Arial" w:hAnsi="Arial"/>
                <w:sz w:val="16"/>
                <w:szCs w:val="16"/>
                <w:color w:val="auto"/>
              </w:rPr>
              <w:t>Customer derivative positions</w:t>
            </w:r>
          </w:p>
        </w:tc>
        <w:tc>
          <w:tcPr>
            <w:tcW w:w="2640" w:type="dxa"/>
            <w:vAlign w:val="bottom"/>
            <w:gridSpan w:val="2"/>
          </w:tcPr>
          <w:p>
            <w:pPr>
              <w:ind w:left="40"/>
              <w:spacing w:after="0"/>
              <w:rPr>
                <w:sz w:val="20"/>
                <w:szCs w:val="20"/>
                <w:color w:val="auto"/>
              </w:rPr>
            </w:pPr>
            <w:r>
              <w:rPr>
                <w:rFonts w:ascii="Arial" w:cs="Arial" w:eastAsia="Arial" w:hAnsi="Arial"/>
                <w:sz w:val="16"/>
                <w:szCs w:val="16"/>
                <w:color w:val="auto"/>
              </w:rPr>
              <w:t>Derivative assets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12,658</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5,216</w:t>
            </w:r>
          </w:p>
        </w:tc>
      </w:tr>
      <w:tr>
        <w:trPr>
          <w:trHeight w:val="33"/>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Dealer offsets to customer derivative positions</w:t>
            </w:r>
          </w:p>
        </w:tc>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Derivative assets</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7,620</w:t>
            </w:r>
          </w:p>
        </w:tc>
      </w:tr>
      <w:tr>
        <w:trPr>
          <w:trHeight w:val="237"/>
        </w:trPr>
        <w:tc>
          <w:tcPr>
            <w:tcW w:w="4920" w:type="dxa"/>
            <w:vAlign w:val="bottom"/>
            <w:gridSpan w:val="2"/>
          </w:tcPr>
          <w:p>
            <w:pPr>
              <w:ind w:left="40"/>
              <w:spacing w:after="0"/>
              <w:rPr>
                <w:sz w:val="20"/>
                <w:szCs w:val="20"/>
                <w:color w:val="auto"/>
              </w:rPr>
            </w:pPr>
            <w:r>
              <w:rPr>
                <w:rFonts w:ascii="Arial" w:cs="Arial" w:eastAsia="Arial" w:hAnsi="Arial"/>
                <w:sz w:val="16"/>
                <w:szCs w:val="16"/>
                <w:color w:val="auto"/>
              </w:rPr>
              <w:t>Mortgage banking - loan commitment</w:t>
            </w:r>
          </w:p>
        </w:tc>
        <w:tc>
          <w:tcPr>
            <w:tcW w:w="2640" w:type="dxa"/>
            <w:vAlign w:val="bottom"/>
            <w:gridSpan w:val="2"/>
          </w:tcPr>
          <w:p>
            <w:pPr>
              <w:ind w:left="40"/>
              <w:spacing w:after="0"/>
              <w:rPr>
                <w:sz w:val="20"/>
                <w:szCs w:val="20"/>
                <w:color w:val="auto"/>
              </w:rPr>
            </w:pPr>
            <w:r>
              <w:rPr>
                <w:rFonts w:ascii="Arial" w:cs="Arial" w:eastAsia="Arial" w:hAnsi="Arial"/>
                <w:sz w:val="16"/>
                <w:szCs w:val="16"/>
                <w:color w:val="auto"/>
              </w:rPr>
              <w:t>Derivative assets</w:t>
            </w:r>
          </w:p>
        </w:tc>
        <w:tc>
          <w:tcPr>
            <w:tcW w:w="26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1,796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1,190</w:t>
            </w:r>
          </w:p>
        </w:tc>
      </w:tr>
      <w:tr>
        <w:trPr>
          <w:trHeight w:val="33"/>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Mortgage banking - forward sales commitment</w:t>
            </w:r>
          </w:p>
        </w:tc>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Derivative assets</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r>
      <w:tr>
        <w:trPr>
          <w:trHeight w:val="237"/>
        </w:trPr>
        <w:tc>
          <w:tcPr>
            <w:tcW w:w="4920" w:type="dxa"/>
            <w:vAlign w:val="bottom"/>
            <w:gridSpan w:val="2"/>
          </w:tcPr>
          <w:p>
            <w:pPr>
              <w:ind w:left="40"/>
              <w:spacing w:after="0"/>
              <w:rPr>
                <w:sz w:val="20"/>
                <w:szCs w:val="20"/>
                <w:color w:val="auto"/>
              </w:rPr>
            </w:pPr>
            <w:r>
              <w:rPr>
                <w:rFonts w:ascii="Arial" w:cs="Arial" w:eastAsia="Arial" w:hAnsi="Arial"/>
                <w:sz w:val="16"/>
                <w:szCs w:val="16"/>
                <w:color w:val="auto"/>
              </w:rPr>
              <w:t>Bifurcated embedded derivatives</w:t>
            </w:r>
          </w:p>
        </w:tc>
        <w:tc>
          <w:tcPr>
            <w:tcW w:w="2640" w:type="dxa"/>
            <w:vAlign w:val="bottom"/>
            <w:gridSpan w:val="2"/>
          </w:tcPr>
          <w:p>
            <w:pPr>
              <w:ind w:left="40"/>
              <w:spacing w:after="0"/>
              <w:rPr>
                <w:sz w:val="20"/>
                <w:szCs w:val="20"/>
                <w:color w:val="auto"/>
              </w:rPr>
            </w:pPr>
            <w:r>
              <w:rPr>
                <w:rFonts w:ascii="Arial" w:cs="Arial" w:eastAsia="Arial" w:hAnsi="Arial"/>
                <w:sz w:val="16"/>
                <w:szCs w:val="16"/>
                <w:color w:val="auto"/>
              </w:rPr>
              <w:t>Derivative assets</w:t>
            </w:r>
          </w:p>
        </w:tc>
        <w:tc>
          <w:tcPr>
            <w:tcW w:w="26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7,765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10,651</w:t>
            </w:r>
          </w:p>
        </w:tc>
      </w:tr>
      <w:tr>
        <w:trPr>
          <w:trHeight w:val="33"/>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5"/>
        </w:trPr>
        <w:tc>
          <w:tcPr>
            <w:tcW w:w="4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24,705</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Customer derivative positions</w:t>
            </w:r>
          </w:p>
        </w:tc>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Derivative liabilities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9,661</w:t>
            </w:r>
          </w:p>
        </w:tc>
      </w:tr>
      <w:tr>
        <w:trPr>
          <w:trHeight w:val="237"/>
        </w:trPr>
        <w:tc>
          <w:tcPr>
            <w:tcW w:w="4920" w:type="dxa"/>
            <w:vAlign w:val="bottom"/>
            <w:gridSpan w:val="2"/>
          </w:tcPr>
          <w:p>
            <w:pPr>
              <w:ind w:left="40"/>
              <w:spacing w:after="0"/>
              <w:rPr>
                <w:sz w:val="20"/>
                <w:szCs w:val="20"/>
                <w:color w:val="auto"/>
              </w:rPr>
            </w:pPr>
            <w:r>
              <w:rPr>
                <w:rFonts w:ascii="Arial" w:cs="Arial" w:eastAsia="Arial" w:hAnsi="Arial"/>
                <w:sz w:val="16"/>
                <w:szCs w:val="16"/>
                <w:color w:val="auto"/>
              </w:rPr>
              <w:t>Dealer offsets to customer derivative positions</w:t>
            </w:r>
          </w:p>
        </w:tc>
        <w:tc>
          <w:tcPr>
            <w:tcW w:w="2640" w:type="dxa"/>
            <w:vAlign w:val="bottom"/>
            <w:gridSpan w:val="2"/>
          </w:tcPr>
          <w:p>
            <w:pPr>
              <w:ind w:left="40"/>
              <w:spacing w:after="0"/>
              <w:rPr>
                <w:sz w:val="20"/>
                <w:szCs w:val="20"/>
                <w:color w:val="auto"/>
              </w:rPr>
            </w:pPr>
            <w:r>
              <w:rPr>
                <w:rFonts w:ascii="Arial" w:cs="Arial" w:eastAsia="Arial" w:hAnsi="Arial"/>
                <w:sz w:val="16"/>
                <w:szCs w:val="16"/>
                <w:color w:val="auto"/>
              </w:rPr>
              <w:t>Derivative liabilities</w:t>
            </w:r>
          </w:p>
        </w:tc>
        <w:tc>
          <w:tcPr>
            <w:tcW w:w="26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2,744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781</w:t>
            </w:r>
          </w:p>
        </w:tc>
      </w:tr>
      <w:tr>
        <w:trPr>
          <w:trHeight w:val="33"/>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Risk participations</w:t>
            </w:r>
          </w:p>
        </w:tc>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Derivative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r>
      <w:tr>
        <w:trPr>
          <w:trHeight w:val="237"/>
        </w:trPr>
        <w:tc>
          <w:tcPr>
            <w:tcW w:w="4920" w:type="dxa"/>
            <w:vAlign w:val="bottom"/>
            <w:gridSpan w:val="2"/>
          </w:tcPr>
          <w:p>
            <w:pPr>
              <w:ind w:left="40"/>
              <w:spacing w:after="0"/>
              <w:rPr>
                <w:sz w:val="20"/>
                <w:szCs w:val="20"/>
                <w:color w:val="auto"/>
              </w:rPr>
            </w:pPr>
            <w:r>
              <w:rPr>
                <w:rFonts w:ascii="Arial" w:cs="Arial" w:eastAsia="Arial" w:hAnsi="Arial"/>
                <w:sz w:val="16"/>
                <w:szCs w:val="16"/>
                <w:color w:val="auto"/>
              </w:rPr>
              <w:t>Mortgage banking - forward sales commitment</w:t>
            </w:r>
          </w:p>
        </w:tc>
        <w:tc>
          <w:tcPr>
            <w:tcW w:w="2640" w:type="dxa"/>
            <w:vAlign w:val="bottom"/>
            <w:gridSpan w:val="2"/>
          </w:tcPr>
          <w:p>
            <w:pPr>
              <w:ind w:left="40"/>
              <w:spacing w:after="0"/>
              <w:rPr>
                <w:sz w:val="20"/>
                <w:szCs w:val="20"/>
                <w:color w:val="auto"/>
              </w:rPr>
            </w:pPr>
            <w:r>
              <w:rPr>
                <w:rFonts w:ascii="Arial" w:cs="Arial" w:eastAsia="Arial" w:hAnsi="Arial"/>
                <w:sz w:val="16"/>
                <w:szCs w:val="16"/>
                <w:color w:val="auto"/>
              </w:rPr>
              <w:t>Derivative liabilities</w:t>
            </w:r>
          </w:p>
        </w:tc>
        <w:tc>
          <w:tcPr>
            <w:tcW w:w="26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483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259</w:t>
            </w:r>
          </w:p>
        </w:tc>
      </w:tr>
      <w:tr>
        <w:trPr>
          <w:trHeight w:val="33"/>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Dealer offsets to bifurcated embedded derivatives</w:t>
            </w:r>
          </w:p>
        </w:tc>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Derivative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13,339</w:t>
            </w:r>
          </w:p>
        </w:tc>
      </w:tr>
      <w:tr>
        <w:trPr>
          <w:trHeight w:val="237"/>
        </w:trPr>
        <w:tc>
          <w:tcPr>
            <w:tcW w:w="4920" w:type="dxa"/>
            <w:vAlign w:val="bottom"/>
            <w:gridSpan w:val="2"/>
          </w:tcPr>
          <w:p>
            <w:pPr>
              <w:ind w:left="40"/>
              <w:spacing w:after="0"/>
              <w:rPr>
                <w:sz w:val="20"/>
                <w:szCs w:val="20"/>
                <w:color w:val="auto"/>
              </w:rPr>
            </w:pPr>
            <w:r>
              <w:rPr>
                <w:rFonts w:ascii="Arial" w:cs="Arial" w:eastAsia="Arial" w:hAnsi="Arial"/>
                <w:sz w:val="16"/>
                <w:szCs w:val="16"/>
                <w:color w:val="auto"/>
              </w:rPr>
              <w:t>De-designated hedges</w:t>
            </w:r>
          </w:p>
        </w:tc>
        <w:tc>
          <w:tcPr>
            <w:tcW w:w="2640" w:type="dxa"/>
            <w:vAlign w:val="bottom"/>
            <w:gridSpan w:val="2"/>
          </w:tcPr>
          <w:p>
            <w:pPr>
              <w:ind w:left="40"/>
              <w:spacing w:after="0"/>
              <w:rPr>
                <w:sz w:val="20"/>
                <w:szCs w:val="20"/>
                <w:color w:val="auto"/>
              </w:rPr>
            </w:pPr>
            <w:r>
              <w:rPr>
                <w:rFonts w:ascii="Arial" w:cs="Arial" w:eastAsia="Arial" w:hAnsi="Arial"/>
                <w:sz w:val="16"/>
                <w:szCs w:val="16"/>
                <w:color w:val="auto"/>
              </w:rPr>
              <w:t>Derivative liabilities</w:t>
            </w:r>
          </w:p>
        </w:tc>
        <w:tc>
          <w:tcPr>
            <w:tcW w:w="260" w:type="dxa"/>
            <w:vAlign w:val="bottom"/>
          </w:tcPr>
          <w:p>
            <w:pPr>
              <w:spacing w:after="0"/>
              <w:rPr>
                <w:sz w:val="20"/>
                <w:szCs w:val="20"/>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703</w:t>
            </w:r>
          </w:p>
        </w:tc>
      </w:tr>
      <w:tr>
        <w:trPr>
          <w:trHeight w:val="33"/>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5"/>
        </w:trPr>
        <w:tc>
          <w:tcPr>
            <w:tcW w:w="4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24,751</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Customer derivative positions are between United and certain commercial loan customers with offsetting positions to dealers under a back-to-back swap/cap program. United also has three interest rate swap contracts that are not designated as hedging instruments but are economic hedges of market-linked brokered certificates of deposit. The market-linked brokered certificates of deposit contain embedded derivatives that are bifurcated from the host instruments and are marked to market through earnings. The fair value marks on the market linked swaps and the bifurcated embedded derivatives tend to move in opposite directions with changes in 90-day London Interbank Offered Rate (“LIBOR”) and therefore provide an economic hedge.</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 accommodate customers, United occasionally enters into credit risk participation agreements with counterparty banks to accept a portion of the credit risk related to interest rate swaps. This allows customers to execute an interest rate swap with one bank while allowing for the distribution of the credit risk among participating members. Credit risk participation agreements arise when United contracts with other financial institutions, as a guarantor, to share credit risk associated with certain interest rate swaps. These agreements provide for reimbursement of losses resulting from a third party default on the underlying swap. These transactions are typically executed in conjunction with a participation in a loan with the same customer. Collateral used to support the credit risk for the underlying lending relationship is also available to offset the risk of the credit risk participation.</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United originates certain residential mortgage loans with the intention of selling these loans. Between the time United enters into an interest-rate lock commitment to originate a residential mortgage loan that is to be held for sale and the time the loan is funded and eventually sold, United is subject to the risk of variability in market prices. United enters into forward sale agreements to mitigate risk and to protect the expected gain on the eventual loan sale. The commitments to originate residential mortgage loans and forward loan sales commitments are freestanding derivative instruments. United accounts for most newly originated mortgage loans at fair value pursuant to the fair value option, and these loans are not reflected in the table above. Fair value adjustments on these derivative instruments are recorded within mortgage loan and other related fee income in the consolidated statements of income.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 Hedges of Interest Rate Risk</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March 31, 2019 and December 31, 2018 United did not have any active cash flow hedges. Changes in balance sheet composition and interest rate risk position made cash flow hedges not currently necessary as protection against rising interest rates. The loss remaining in other comprehensive income from prior hedges that have been de-designated is being amortized into earnings over the original term of the swaps as the forecasted transactions that the swaps were originally designated to hedge are still expected to occur. Amortization of the loss on the de-designated hedges was the only effect of cash flow hedges on the consolidated statements of income for the three months ended March 31, 2019 and 2018. See Note 6 for further detail. United expects that $118,000 will be reclassified as an increase to interest expense over the next twelve months related to these cash flow hedges.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Hedges of Interest Rate Risk</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United is exposed to changes in the fair value of certain of its fixed-rate obligations due to changes in interest rates. United uses interest rate swaps to manage its exposure to changes in fair value on these instruments attributable to changes in interest rates. Interest rate swaps designated as fair value hedges of brokered deposits involve the receipt of fixed-rate amounts from a counterparty in exchange for United making variable rate payments over the life of the agreements without the exchange of the underlying notional amount. Interest rate swaps designated as fair value hedges of fixed-rate investments involve the receipt of variable-rate payments from a counterparty in exchange for United making fixed-rate payments over the life of the instrument without the exchange of the underlying notional amount. At March 31, 2019, United had four interest rate swaps with a notional amount of $38.0 million that were designated as fair value hedges of interest rate risk and were pay-variable / receive-fixed swaps hedging the changes in the fair value of fixed-rate brokered time deposits resulting from changes in interest rates. As of March 31, 2019, the hedged brokered time deposits, which were included in brokered deposits on the consolidated balance sheet, had a carrying value of $36.0 million, which included cumulative fair value hedging adjustments of $1.38 million. At December 31, 2018, United had four interest rate swaps with an aggregate notional amount of $39.0 million that were designated as fair value hedges of interest rate risk and were pay-variable / receive-fixed, hedging the changes in the fair value of fixed-rate brokered time deposits resulting from changes in interest rates.</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derivatives designated and that qualify as fair value hedges, the gain or loss on the derivative as well as the offsetting loss or gain on the hedged item attributable to the hedged risk are recognized in earnings. United includes the gain or loss on the hedged items in the same income statement line item as the offsetting loss or gain on the related derivatives. During the three months ended March 31, 2019, and March 31, 2018, United recognized net losses of $11,000 and $79,000, respectively, related to ineffectiveness in the fair value hedging relationships. United also recognized a net increase in interest expense of $101,000 for the three months ended March 31, 2019 and a net increase in interest expense of $14,000 for the three months ended March 31, 2018 related to fair value hedges of brokered time deposits, which includes net settlements on the derivatives. United recognized an increase in interest revenue on securities during the three months ended March 31, 2018 of $17,000 related to fair value hedges of corporate bonds which were terminated during the first quarter of 2018.</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table below presents the effect of derivatives in fair value hedging relationships on the consolidated statement of income for the periods indicated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2"/>
              </w:rPr>
              <w:t>Amount of Gain (Loss)</w:t>
            </w:r>
          </w:p>
        </w:tc>
        <w:tc>
          <w:tcPr>
            <w:tcW w:w="300" w:type="dxa"/>
            <w:vAlign w:val="bottom"/>
          </w:tcPr>
          <w:p>
            <w:pPr>
              <w:spacing w:after="0"/>
              <w:rPr>
                <w:sz w:val="17"/>
                <w:szCs w:val="17"/>
                <w:color w:val="auto"/>
              </w:rPr>
            </w:pPr>
          </w:p>
        </w:tc>
        <w:tc>
          <w:tcPr>
            <w:tcW w:w="2300" w:type="dxa"/>
            <w:vAlign w:val="bottom"/>
            <w:gridSpan w:val="4"/>
          </w:tcPr>
          <w:p>
            <w:pPr>
              <w:jc w:val="center"/>
              <w:ind w:right="179"/>
              <w:spacing w:after="0"/>
              <w:rPr>
                <w:sz w:val="20"/>
                <w:szCs w:val="20"/>
                <w:color w:val="auto"/>
              </w:rPr>
            </w:pPr>
            <w:r>
              <w:rPr>
                <w:rFonts w:ascii="Arial" w:cs="Arial" w:eastAsia="Arial" w:hAnsi="Arial"/>
                <w:sz w:val="16"/>
                <w:szCs w:val="16"/>
                <w:b w:val="1"/>
                <w:bCs w:val="1"/>
                <w:color w:val="auto"/>
                <w:w w:val="92"/>
              </w:rPr>
              <w:t>Amount of Gain (Loss)</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17"/>
                <w:szCs w:val="17"/>
                <w:color w:val="auto"/>
              </w:rPr>
            </w:pPr>
          </w:p>
        </w:tc>
        <w:tc>
          <w:tcPr>
            <w:tcW w:w="26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3"/>
              </w:rPr>
              <w:t>Location of Gain</w:t>
            </w:r>
          </w:p>
        </w:tc>
        <w:tc>
          <w:tcPr>
            <w:tcW w:w="300" w:type="dxa"/>
            <w:vAlign w:val="bottom"/>
          </w:tcPr>
          <w:p>
            <w:pPr>
              <w:spacing w:after="0"/>
              <w:rPr>
                <w:sz w:val="17"/>
                <w:szCs w:val="17"/>
                <w:color w:val="auto"/>
              </w:rPr>
            </w:pPr>
          </w:p>
        </w:tc>
        <w:tc>
          <w:tcPr>
            <w:tcW w:w="24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9"/>
              </w:rPr>
              <w:t>Recognized in Income</w:t>
            </w:r>
          </w:p>
        </w:tc>
        <w:tc>
          <w:tcPr>
            <w:tcW w:w="300" w:type="dxa"/>
            <w:vAlign w:val="bottom"/>
          </w:tcPr>
          <w:p>
            <w:pPr>
              <w:spacing w:after="0"/>
              <w:rPr>
                <w:sz w:val="17"/>
                <w:szCs w:val="17"/>
                <w:color w:val="auto"/>
              </w:rPr>
            </w:pPr>
          </w:p>
        </w:tc>
        <w:tc>
          <w:tcPr>
            <w:tcW w:w="2300" w:type="dxa"/>
            <w:vAlign w:val="bottom"/>
            <w:gridSpan w:val="4"/>
          </w:tcPr>
          <w:p>
            <w:pPr>
              <w:jc w:val="center"/>
              <w:ind w:right="179"/>
              <w:spacing w:after="0"/>
              <w:rPr>
                <w:sz w:val="20"/>
                <w:szCs w:val="20"/>
                <w:color w:val="auto"/>
              </w:rPr>
            </w:pPr>
            <w:r>
              <w:rPr>
                <w:rFonts w:ascii="Arial" w:cs="Arial" w:eastAsia="Arial" w:hAnsi="Arial"/>
                <w:sz w:val="16"/>
                <w:szCs w:val="16"/>
                <w:b w:val="1"/>
                <w:bCs w:val="1"/>
                <w:color w:val="auto"/>
                <w:w w:val="89"/>
              </w:rPr>
              <w:t>Recognized in Income</w:t>
            </w:r>
          </w:p>
        </w:tc>
        <w:tc>
          <w:tcPr>
            <w:tcW w:w="0" w:type="dxa"/>
            <w:vAlign w:val="bottom"/>
          </w:tcPr>
          <w:p>
            <w:pPr>
              <w:spacing w:after="0"/>
              <w:rPr>
                <w:sz w:val="1"/>
                <w:szCs w:val="1"/>
                <w:color w:val="auto"/>
              </w:rPr>
            </w:pPr>
          </w:p>
        </w:tc>
      </w:tr>
      <w:tr>
        <w:trPr>
          <w:trHeight w:val="81"/>
        </w:trPr>
        <w:tc>
          <w:tcPr>
            <w:tcW w:w="3460" w:type="dxa"/>
            <w:vAlign w:val="bottom"/>
          </w:tcPr>
          <w:p>
            <w:pPr>
              <w:spacing w:after="0"/>
              <w:rPr>
                <w:sz w:val="7"/>
                <w:szCs w:val="7"/>
                <w:color w:val="auto"/>
              </w:rPr>
            </w:pPr>
          </w:p>
        </w:tc>
        <w:tc>
          <w:tcPr>
            <w:tcW w:w="262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1520" w:type="dxa"/>
            <w:vAlign w:val="bottom"/>
            <w:gridSpan w:val="3"/>
            <w:vMerge w:val="restart"/>
          </w:tcPr>
          <w:p>
            <w:pPr>
              <w:jc w:val="center"/>
              <w:ind w:left="479"/>
              <w:spacing w:after="0"/>
              <w:rPr>
                <w:sz w:val="20"/>
                <w:szCs w:val="20"/>
                <w:color w:val="auto"/>
              </w:rPr>
            </w:pPr>
            <w:r>
              <w:rPr>
                <w:rFonts w:ascii="Arial" w:cs="Arial" w:eastAsia="Arial" w:hAnsi="Arial"/>
                <w:sz w:val="16"/>
                <w:szCs w:val="16"/>
                <w:b w:val="1"/>
                <w:bCs w:val="1"/>
                <w:color w:val="auto"/>
                <w:w w:val="91"/>
              </w:rPr>
              <w:t>on Derivative</w:t>
            </w: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00" w:type="dxa"/>
            <w:vAlign w:val="bottom"/>
            <w:gridSpan w:val="4"/>
            <w:vMerge w:val="restart"/>
          </w:tcPr>
          <w:p>
            <w:pPr>
              <w:jc w:val="center"/>
              <w:ind w:right="179"/>
              <w:spacing w:after="0"/>
              <w:rPr>
                <w:sz w:val="20"/>
                <w:szCs w:val="20"/>
                <w:color w:val="auto"/>
              </w:rPr>
            </w:pPr>
            <w:r>
              <w:rPr>
                <w:rFonts w:ascii="Arial" w:cs="Arial" w:eastAsia="Arial" w:hAnsi="Arial"/>
                <w:sz w:val="16"/>
                <w:szCs w:val="16"/>
                <w:b w:val="1"/>
                <w:bCs w:val="1"/>
                <w:color w:val="auto"/>
                <w:w w:val="93"/>
              </w:rPr>
              <w:t>on Hedged Item</w:t>
            </w:r>
          </w:p>
        </w:tc>
        <w:tc>
          <w:tcPr>
            <w:tcW w:w="0" w:type="dxa"/>
            <w:vAlign w:val="bottom"/>
          </w:tcPr>
          <w:p>
            <w:pPr>
              <w:spacing w:after="0"/>
              <w:rPr>
                <w:sz w:val="1"/>
                <w:szCs w:val="1"/>
                <w:color w:val="auto"/>
              </w:rPr>
            </w:pPr>
          </w:p>
        </w:tc>
      </w:tr>
      <w:tr>
        <w:trPr>
          <w:trHeight w:val="129"/>
        </w:trPr>
        <w:tc>
          <w:tcPr>
            <w:tcW w:w="3460" w:type="dxa"/>
            <w:vAlign w:val="bottom"/>
          </w:tcPr>
          <w:p>
            <w:pPr>
              <w:spacing w:after="0"/>
              <w:rPr>
                <w:sz w:val="11"/>
                <w:szCs w:val="11"/>
                <w:color w:val="auto"/>
              </w:rPr>
            </w:pPr>
          </w:p>
        </w:tc>
        <w:tc>
          <w:tcPr>
            <w:tcW w:w="2620" w:type="dxa"/>
            <w:vAlign w:val="bottom"/>
            <w:gridSpan w:val="2"/>
            <w:vMerge w:val="restart"/>
          </w:tcPr>
          <w:p>
            <w:pPr>
              <w:jc w:val="center"/>
              <w:ind w:right="120"/>
              <w:spacing w:after="0" w:line="142" w:lineRule="exact"/>
              <w:rPr>
                <w:sz w:val="20"/>
                <w:szCs w:val="20"/>
                <w:color w:val="auto"/>
              </w:rPr>
            </w:pPr>
            <w:r>
              <w:rPr>
                <w:rFonts w:ascii="Arial" w:cs="Arial" w:eastAsia="Arial" w:hAnsi="Arial"/>
                <w:sz w:val="16"/>
                <w:szCs w:val="16"/>
                <w:b w:val="1"/>
                <w:bCs w:val="1"/>
                <w:color w:val="auto"/>
                <w:w w:val="88"/>
              </w:rPr>
              <w:t>(Loss) Recognized</w:t>
            </w:r>
          </w:p>
        </w:tc>
        <w:tc>
          <w:tcPr>
            <w:tcW w:w="300" w:type="dxa"/>
            <w:vAlign w:val="bottom"/>
          </w:tcPr>
          <w:p>
            <w:pPr>
              <w:spacing w:after="0"/>
              <w:rPr>
                <w:sz w:val="11"/>
                <w:szCs w:val="11"/>
                <w:color w:val="auto"/>
              </w:rPr>
            </w:pPr>
          </w:p>
        </w:tc>
        <w:tc>
          <w:tcPr>
            <w:tcW w:w="1520" w:type="dxa"/>
            <w:vAlign w:val="bottom"/>
            <w:gridSpan w:val="3"/>
            <w:vMerge w:val="continue"/>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30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2620" w:type="dxa"/>
            <w:vAlign w:val="bottom"/>
            <w:gridSpan w:val="2"/>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460" w:type="dxa"/>
            <w:vAlign w:val="bottom"/>
          </w:tcPr>
          <w:p>
            <w:pPr>
              <w:spacing w:after="0"/>
              <w:rPr>
                <w:sz w:val="20"/>
                <w:szCs w:val="20"/>
                <w:color w:val="auto"/>
              </w:rPr>
            </w:pPr>
          </w:p>
        </w:tc>
        <w:tc>
          <w:tcPr>
            <w:tcW w:w="2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in Income on Derivative</w:t>
            </w:r>
          </w:p>
        </w:tc>
        <w:tc>
          <w:tcPr>
            <w:tcW w:w="300" w:type="dxa"/>
            <w:vAlign w:val="bottom"/>
          </w:tcPr>
          <w:p>
            <w:pPr>
              <w:spacing w:after="0"/>
              <w:rPr>
                <w:sz w:val="20"/>
                <w:szCs w:val="20"/>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379"/>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346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March 31,</w:t>
            </w:r>
          </w:p>
        </w:tc>
        <w:tc>
          <w:tcPr>
            <w:tcW w:w="2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color w:val="auto"/>
              </w:rPr>
              <w:t>Fair value hedges of brokered CDs</w:t>
            </w:r>
          </w:p>
        </w:tc>
        <w:tc>
          <w:tcPr>
            <w:tcW w:w="2620" w:type="dxa"/>
            <w:vAlign w:val="bottom"/>
            <w:gridSpan w:val="2"/>
          </w:tcPr>
          <w:p>
            <w:pPr>
              <w:ind w:left="20"/>
              <w:spacing w:after="0"/>
              <w:rPr>
                <w:sz w:val="20"/>
                <w:szCs w:val="20"/>
                <w:color w:val="auto"/>
              </w:rPr>
            </w:pPr>
            <w:r>
              <w:rPr>
                <w:rFonts w:ascii="Arial" w:cs="Arial" w:eastAsia="Arial" w:hAnsi="Arial"/>
                <w:sz w:val="16"/>
                <w:szCs w:val="16"/>
                <w:color w:val="auto"/>
              </w:rPr>
              <w:t>Interest expense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451</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(693)</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(462)</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545</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Fair value hedges of corporate bonds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revenue</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217"/>
        </w:trPr>
        <w:tc>
          <w:tcPr>
            <w:tcW w:w="34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451</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(1,029)</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(462)</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950</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certain cases, the estate of deceased brokered certificate of deposit holders may put the certificate of deposit back to United at par upon the death of the holder. When these estate puts occur, a gain or loss is recognized for the difference between the fair value and the par amount of the deposits put back. The change in the fair value of brokered time deposits that are being hedged in fair value hedging relationships reported in the table above includes gains and losses from estate puts and such gains and losses are included in the amount of reported ineffectiveness gains or losses.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Derivatives Not Designated as Hedging Instruments under ASC 815</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 xml:space="preserve">The table below presents the gains and losses recognized in income on derivatives not designated as hedging instruments under ASC 815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27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0"/>
              </w:rPr>
              <w:t>Location of Gain (Loss)</w:t>
            </w:r>
          </w:p>
        </w:tc>
        <w:tc>
          <w:tcPr>
            <w:tcW w:w="180" w:type="dxa"/>
            <w:vAlign w:val="bottom"/>
          </w:tcPr>
          <w:p>
            <w:pPr>
              <w:spacing w:after="0"/>
              <w:rPr>
                <w:sz w:val="17"/>
                <w:szCs w:val="17"/>
                <w:color w:val="auto"/>
              </w:rPr>
            </w:pPr>
          </w:p>
        </w:tc>
        <w:tc>
          <w:tcPr>
            <w:tcW w:w="288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w w:val="92"/>
              </w:rPr>
              <w:t>Amount of Gain (Loss) Recognized in</w:t>
            </w:r>
          </w:p>
        </w:tc>
        <w:tc>
          <w:tcPr>
            <w:tcW w:w="0" w:type="dxa"/>
            <w:vAlign w:val="bottom"/>
          </w:tcPr>
          <w:p>
            <w:pPr>
              <w:spacing w:after="0"/>
              <w:rPr>
                <w:sz w:val="1"/>
                <w:szCs w:val="1"/>
                <w:color w:val="auto"/>
              </w:rPr>
            </w:pPr>
          </w:p>
        </w:tc>
      </w:tr>
      <w:tr>
        <w:trPr>
          <w:trHeight w:val="81"/>
        </w:trPr>
        <w:tc>
          <w:tcPr>
            <w:tcW w:w="5620" w:type="dxa"/>
            <w:vAlign w:val="bottom"/>
          </w:tcPr>
          <w:p>
            <w:pPr>
              <w:spacing w:after="0"/>
              <w:rPr>
                <w:sz w:val="7"/>
                <w:szCs w:val="7"/>
                <w:color w:val="auto"/>
              </w:rPr>
            </w:pPr>
          </w:p>
        </w:tc>
        <w:tc>
          <w:tcPr>
            <w:tcW w:w="27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2880" w:type="dxa"/>
            <w:vAlign w:val="bottom"/>
            <w:gridSpan w:val="4"/>
            <w:vMerge w:val="restart"/>
          </w:tcPr>
          <w:p>
            <w:pPr>
              <w:jc w:val="right"/>
              <w:ind w:right="679"/>
              <w:spacing w:after="0"/>
              <w:rPr>
                <w:sz w:val="20"/>
                <w:szCs w:val="20"/>
                <w:color w:val="auto"/>
              </w:rPr>
            </w:pPr>
            <w:r>
              <w:rPr>
                <w:rFonts w:ascii="Arial" w:cs="Arial" w:eastAsia="Arial" w:hAnsi="Arial"/>
                <w:sz w:val="16"/>
                <w:szCs w:val="16"/>
                <w:b w:val="1"/>
                <w:bCs w:val="1"/>
                <w:color w:val="auto"/>
              </w:rPr>
              <w:t>Income on Derivative</w:t>
            </w:r>
          </w:p>
        </w:tc>
        <w:tc>
          <w:tcPr>
            <w:tcW w:w="0" w:type="dxa"/>
            <w:vAlign w:val="bottom"/>
          </w:tcPr>
          <w:p>
            <w:pPr>
              <w:spacing w:after="0"/>
              <w:rPr>
                <w:sz w:val="1"/>
                <w:szCs w:val="1"/>
                <w:color w:val="auto"/>
              </w:rPr>
            </w:pPr>
          </w:p>
        </w:tc>
      </w:tr>
      <w:tr>
        <w:trPr>
          <w:trHeight w:val="129"/>
        </w:trPr>
        <w:tc>
          <w:tcPr>
            <w:tcW w:w="5620" w:type="dxa"/>
            <w:vAlign w:val="bottom"/>
          </w:tcPr>
          <w:p>
            <w:pPr>
              <w:spacing w:after="0"/>
              <w:rPr>
                <w:sz w:val="11"/>
                <w:szCs w:val="11"/>
                <w:color w:val="auto"/>
              </w:rPr>
            </w:pPr>
          </w:p>
        </w:tc>
        <w:tc>
          <w:tcPr>
            <w:tcW w:w="2740" w:type="dxa"/>
            <w:vAlign w:val="bottom"/>
            <w:gridSpan w:val="2"/>
            <w:vMerge w:val="restart"/>
          </w:tcPr>
          <w:p>
            <w:pPr>
              <w:jc w:val="center"/>
              <w:spacing w:after="0" w:line="142" w:lineRule="exact"/>
              <w:rPr>
                <w:sz w:val="20"/>
                <w:szCs w:val="20"/>
                <w:color w:val="auto"/>
              </w:rPr>
            </w:pPr>
            <w:r>
              <w:rPr>
                <w:rFonts w:ascii="Arial" w:cs="Arial" w:eastAsia="Arial" w:hAnsi="Arial"/>
                <w:sz w:val="16"/>
                <w:szCs w:val="16"/>
                <w:b w:val="1"/>
                <w:bCs w:val="1"/>
                <w:color w:val="auto"/>
                <w:w w:val="90"/>
              </w:rPr>
              <w:t>Recognized in Income on</w:t>
            </w:r>
          </w:p>
        </w:tc>
        <w:tc>
          <w:tcPr>
            <w:tcW w:w="180" w:type="dxa"/>
            <w:vAlign w:val="bottom"/>
          </w:tcPr>
          <w:p>
            <w:pPr>
              <w:spacing w:after="0"/>
              <w:rPr>
                <w:sz w:val="11"/>
                <w:szCs w:val="11"/>
                <w:color w:val="auto"/>
              </w:rPr>
            </w:pPr>
          </w:p>
        </w:tc>
        <w:tc>
          <w:tcPr>
            <w:tcW w:w="28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740" w:type="dxa"/>
            <w:vAlign w:val="bottom"/>
            <w:gridSpan w:val="2"/>
            <w:vMerge w:val="continue"/>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20" w:type="dxa"/>
            <w:vAlign w:val="bottom"/>
          </w:tcPr>
          <w:p>
            <w:pPr>
              <w:spacing w:after="0"/>
              <w:rPr>
                <w:sz w:val="20"/>
                <w:szCs w:val="20"/>
                <w:color w:val="auto"/>
              </w:rPr>
            </w:pPr>
          </w:p>
        </w:tc>
        <w:tc>
          <w:tcPr>
            <w:tcW w:w="27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Derivative</w:t>
            </w:r>
          </w:p>
        </w:tc>
        <w:tc>
          <w:tcPr>
            <w:tcW w:w="180" w:type="dxa"/>
            <w:vAlign w:val="bottom"/>
          </w:tcPr>
          <w:p>
            <w:pPr>
              <w:spacing w:after="0"/>
              <w:rPr>
                <w:sz w:val="20"/>
                <w:szCs w:val="20"/>
                <w:color w:val="auto"/>
              </w:rPr>
            </w:pPr>
          </w:p>
        </w:tc>
        <w:tc>
          <w:tcPr>
            <w:tcW w:w="13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March 31,</w:t>
            </w:r>
          </w:p>
        </w:tc>
        <w:tc>
          <w:tcPr>
            <w:tcW w:w="2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Customer derivatives and dealer offsets</w:t>
            </w:r>
          </w:p>
        </w:tc>
        <w:tc>
          <w:tcPr>
            <w:tcW w:w="2740" w:type="dxa"/>
            <w:vAlign w:val="bottom"/>
            <w:gridSpan w:val="2"/>
          </w:tcPr>
          <w:p>
            <w:pPr>
              <w:ind w:left="140"/>
              <w:spacing w:after="0"/>
              <w:rPr>
                <w:sz w:val="20"/>
                <w:szCs w:val="20"/>
                <w:color w:val="auto"/>
              </w:rPr>
            </w:pPr>
            <w:r>
              <w:rPr>
                <w:rFonts w:ascii="Arial" w:cs="Arial" w:eastAsia="Arial" w:hAnsi="Arial"/>
                <w:sz w:val="16"/>
                <w:szCs w:val="16"/>
                <w:color w:val="auto"/>
              </w:rPr>
              <w:t>Other noninterest income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503</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772</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Bifurcated embedded derivatives and dealer offsets</w:t>
            </w:r>
          </w:p>
        </w:tc>
        <w:tc>
          <w:tcPr>
            <w:tcW w:w="2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Other noninterest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Interest rate caps</w:t>
            </w:r>
          </w:p>
        </w:tc>
        <w:tc>
          <w:tcPr>
            <w:tcW w:w="2740" w:type="dxa"/>
            <w:vAlign w:val="bottom"/>
            <w:gridSpan w:val="2"/>
          </w:tcPr>
          <w:p>
            <w:pPr>
              <w:ind w:left="140"/>
              <w:spacing w:after="0"/>
              <w:rPr>
                <w:sz w:val="20"/>
                <w:szCs w:val="20"/>
                <w:color w:val="auto"/>
              </w:rPr>
            </w:pPr>
            <w:r>
              <w:rPr>
                <w:rFonts w:ascii="Arial" w:cs="Arial" w:eastAsia="Arial" w:hAnsi="Arial"/>
                <w:sz w:val="16"/>
                <w:szCs w:val="16"/>
                <w:color w:val="auto"/>
              </w:rPr>
              <w:t>Other noninterest income</w:t>
            </w:r>
          </w:p>
        </w:tc>
        <w:tc>
          <w:tcPr>
            <w:tcW w:w="1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De-designated hedges</w:t>
            </w:r>
          </w:p>
        </w:tc>
        <w:tc>
          <w:tcPr>
            <w:tcW w:w="2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Other noninterest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Mortgage banking derivatives</w:t>
            </w:r>
          </w:p>
        </w:tc>
        <w:tc>
          <w:tcPr>
            <w:tcW w:w="2740" w:type="dxa"/>
            <w:vAlign w:val="bottom"/>
            <w:gridSpan w:val="2"/>
          </w:tcPr>
          <w:p>
            <w:pPr>
              <w:ind w:left="140"/>
              <w:spacing w:after="0"/>
              <w:rPr>
                <w:sz w:val="20"/>
                <w:szCs w:val="20"/>
                <w:color w:val="auto"/>
              </w:rPr>
            </w:pPr>
            <w:r>
              <w:rPr>
                <w:rFonts w:ascii="Arial" w:cs="Arial" w:eastAsia="Arial" w:hAnsi="Arial"/>
                <w:sz w:val="16"/>
                <w:szCs w:val="16"/>
                <w:color w:val="auto"/>
              </w:rPr>
              <w:t>Mortgage loan revenue</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1,264</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Risk participations</w:t>
            </w:r>
          </w:p>
        </w:tc>
        <w:tc>
          <w:tcPr>
            <w:tcW w:w="2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Other noninterest income</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56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2,613</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Credit-Risk-Related Contingent Features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United manages its credit exposure on derivatives transactions by entering into a bilateral credit support agreement with each non-customer counterparty. The credit support agreements require collateralization of exposures beyond specified minimum threshold amounts. The details of these agreements, including the minimum thresholds, vary by counterparty. As of March 31, 2019, collateral totaling $11.9 million was pledged toward derivatives in a liability position.</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United’s agreements with each of its derivative counterparties contain a provision where if either party defaults on any of its indebtedness, then it could also be declared in default on its derivative obligations. The agreements with derivatives counterparties also include provisions that if not met, could result in United being declared in default. United has agreements with certain of its derivative counterparties that contain a provision where if United fails to maintain its status as a well-capitalized institution or is subject to a prompt corrective action directive, the counterparty could terminate the derivative positions and United would be required to settle its obligations under the agreements. Derivatives that are centrally cleared do not have credit-risk-related features that would require additional collateral if United’s credit rating were downgraded.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Stock-Based Compensation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United has an equity compensation plan that allows for grants of incentive stock options, nonqualified stock options, restricted stock and restricted stock unit awards (also referred to as “nonvested stock” awards), stock awards, performance share awards or stock appreciation rights. Options granted under the plan have had an exercise price no less than the fair market value of the underlying stock at the date of grant. The general terms of the plan include a vesting period (usually four years, although certain acquisition-related performance grants may have up to ten years) with an exercisable period not to exceed ten years. Certain options, restricted stock and restricted stock unit awards provide for accelerated vesting if there is a change in control (as defined in the plan). Through March 31, 2019, incentive stock options, nonqualified stock options, restricted stock and restricted stock unit awards, base salary stock grants and performance share awards have been granted under the plan. As of March 31, 2019, 1.53 million additional awards remained available for grant under the plan.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stock option activity for the first three months of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Average</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20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Average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20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5160" w:type="dxa"/>
            <w:vAlign w:val="bottom"/>
            <w:gridSpan w:val="2"/>
          </w:tcPr>
          <w:p>
            <w:pPr>
              <w:ind w:left="2220"/>
              <w:spacing w:after="0"/>
              <w:rPr>
                <w:sz w:val="20"/>
                <w:szCs w:val="20"/>
                <w:color w:val="auto"/>
              </w:rPr>
            </w:pPr>
            <w:r>
              <w:rPr>
                <w:rFonts w:ascii="Arial" w:cs="Arial" w:eastAsia="Arial" w:hAnsi="Arial"/>
                <w:sz w:val="18"/>
                <w:szCs w:val="18"/>
                <w:b w:val="1"/>
                <w:bCs w:val="1"/>
                <w:color w:val="auto"/>
              </w:rPr>
              <w:t>Options</w:t>
            </w: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Exercise Price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Term (Years)</w:t>
            </w:r>
          </w:p>
        </w:tc>
        <w:tc>
          <w:tcPr>
            <w:tcW w:w="200" w:type="dxa"/>
            <w:vAlign w:val="bottom"/>
          </w:tcPr>
          <w:p>
            <w:pPr>
              <w:spacing w:after="0"/>
              <w:rPr>
                <w:sz w:val="20"/>
                <w:szCs w:val="20"/>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Value ($000)</w:t>
            </w:r>
          </w:p>
        </w:tc>
      </w:tr>
      <w:tr>
        <w:trPr>
          <w:trHeight w:val="27"/>
        </w:trPr>
        <w:tc>
          <w:tcPr>
            <w:tcW w:w="5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47,139</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Pr>
          <w:p>
            <w:pPr>
              <w:jc w:val="right"/>
              <w:spacing w:after="0"/>
              <w:rPr>
                <w:sz w:val="20"/>
                <w:szCs w:val="20"/>
                <w:color w:val="auto"/>
              </w:rPr>
            </w:pPr>
            <w:r>
              <w:rPr>
                <w:rFonts w:ascii="Arial" w:cs="Arial" w:eastAsia="Arial" w:hAnsi="Arial"/>
                <w:sz w:val="18"/>
                <w:szCs w:val="18"/>
                <w:color w:val="auto"/>
              </w:rPr>
              <w:t>(12,000)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16.44</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Cancelled/forfeited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Expired</w:t>
            </w:r>
          </w:p>
        </w:tc>
        <w:tc>
          <w:tcPr>
            <w:tcW w:w="1500" w:type="dxa"/>
            <w:vAlign w:val="bottom"/>
          </w:tcPr>
          <w:p>
            <w:pPr>
              <w:jc w:val="right"/>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29.45</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57"/>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March 31, 2019</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33,612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30.72</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84"/>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Exercisable at March 31, 2019</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33,612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30.72</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each option is estimated on the date of grant using the Black-Scholes model. No stock options were granted during the three months ended March 31, 2019 and 2018.</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United recognized $6,000 in compensation expense related to stock options during the three months ended March 31, 2018, and no compensation expense related to stock options in the same period of 2019. The amount of compensation expense was determined based on the fair value of the options at the time of grant, multiplied by the number of options granted that were expected to vest, which was then amortized over the vesting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restricted stock units activity for the first three months of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1"/>
              </w:rPr>
              <w:t>Weighted-</w:t>
            </w:r>
          </w:p>
        </w:tc>
        <w:tc>
          <w:tcPr>
            <w:tcW w:w="1280" w:type="dxa"/>
            <w:vAlign w:val="bottom"/>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c>
          <w:tcPr>
            <w:tcW w:w="1280" w:type="dxa"/>
            <w:vAlign w:val="bottom"/>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17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1"/>
              </w:rPr>
              <w:t>Remaining</w:t>
            </w:r>
          </w:p>
        </w:tc>
        <w:tc>
          <w:tcPr>
            <w:tcW w:w="12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Average Grant-</w:t>
            </w:r>
          </w:p>
        </w:tc>
        <w:tc>
          <w:tcPr>
            <w:tcW w:w="17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1"/>
              </w:rPr>
              <w:t>Contractual</w:t>
            </w:r>
          </w:p>
        </w:tc>
        <w:tc>
          <w:tcPr>
            <w:tcW w:w="128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5160" w:type="dxa"/>
            <w:vAlign w:val="bottom"/>
            <w:gridSpan w:val="2"/>
          </w:tcPr>
          <w:p>
            <w:pPr>
              <w:ind w:left="1380"/>
              <w:spacing w:after="0"/>
              <w:rPr>
                <w:sz w:val="20"/>
                <w:szCs w:val="20"/>
                <w:color w:val="auto"/>
              </w:rPr>
            </w:pPr>
            <w:r>
              <w:rPr>
                <w:rFonts w:ascii="Arial" w:cs="Arial" w:eastAsia="Arial" w:hAnsi="Arial"/>
                <w:sz w:val="18"/>
                <w:szCs w:val="18"/>
                <w:b w:val="1"/>
                <w:bCs w:val="1"/>
                <w:color w:val="auto"/>
              </w:rPr>
              <w:t>Restricted Stock Unit Awards</w:t>
            </w: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Date Fair Value</w:t>
            </w:r>
          </w:p>
        </w:tc>
        <w:tc>
          <w:tcPr>
            <w:tcW w:w="17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0"/>
              </w:rPr>
              <w:t>Term (Years)</w:t>
            </w: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Value ($000)</w:t>
            </w:r>
          </w:p>
        </w:tc>
      </w:tr>
      <w:tr>
        <w:trPr>
          <w:trHeight w:val="27"/>
        </w:trPr>
        <w:tc>
          <w:tcPr>
            <w:tcW w:w="5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759,746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37,994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25.67</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25.72</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1,322</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Cancelled</w:t>
            </w:r>
          </w:p>
        </w:tc>
        <w:tc>
          <w:tcPr>
            <w:tcW w:w="1500" w:type="dxa"/>
            <w:vAlign w:val="bottom"/>
          </w:tcPr>
          <w:p>
            <w:pPr>
              <w:jc w:val="right"/>
              <w:spacing w:after="0"/>
              <w:rPr>
                <w:sz w:val="20"/>
                <w:szCs w:val="20"/>
                <w:color w:val="auto"/>
              </w:rPr>
            </w:pPr>
            <w:r>
              <w:rPr>
                <w:rFonts w:ascii="Arial" w:cs="Arial" w:eastAsia="Arial" w:hAnsi="Arial"/>
                <w:sz w:val="18"/>
                <w:szCs w:val="18"/>
                <w:color w:val="auto"/>
              </w:rPr>
              <w:t>(14,284)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25.30</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57"/>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March 31, 2019</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736,828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27.72</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18,369</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Compensation expense for restricted stock units without market conditions is based on the market value of United’s common stock on the date of grant. United recognizes the impact of forfeitures as they occur. The value of restricted stock unit awards is amortized into expense over the service period. For the three months ended March 31, 2019 and 2018, compensation expense of $1.91 million and $1.07 million, respectively, was recognized related to restricted stock unit awards granted to United employees. In addition, for the three months ended March 31, 2019 and 2018, $72,000 and $68,000, respectively, was recognized in other operating expense for restricted stock unit awards granted to members of United’s board of directors.</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deferred income tax benefit related to expense for options and restricted stock of $507,000 and $296,000 was included in the determination of income tax expense for the three months ended March 31, 2019 and 2018, respectively. As of March 31, 2019, there was $15.7 million of unrecognized expense related to non-vested restricted stock unit awards granted under the plan. That cost is expected to be recognized over a weighted-average period of 2.4 years. As of March 31, 2019, there was no unrecognized expense related to non-vested stock options granted under the plan.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Common Stock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of 2018, United’s Board of Directors approved an increase and extension of the existing common stock repurchase plan through December 31, 2019. Under the program, up to $50 million may be repurchased periodically in open market transactions at prevailing market prices, in privately negotiated transactions, or by other means in accordance with federal securities laws. The actual timing, number and value of shares repurchased depends on a number of factors, including the market price of United’s common stock, general market and economic conditions, and applicable legal requirements. During the three months ended March 31, 2019, 305,052 shares were repurchased under the program. During the three months ended March 31, 2018, no shares were repurchased under the</w:t>
      </w:r>
    </w:p>
    <w:p>
      <w:pPr>
        <w:sectPr>
          <w:pgSz w:w="11900" w:h="16838" w:orient="portrait"/>
          <w:cols w:equalWidth="0" w:num="1">
            <w:col w:w="11420"/>
          </w:cols>
          <w:pgMar w:left="240" w:top="121" w:right="239" w:bottom="1440" w:gutter="0" w:footer="0" w:header="0"/>
        </w:sect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1" w:right="239" w:bottom="1440" w:gutter="0" w:footer="0" w:header="0"/>
          <w:type w:val="continuous"/>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program. As of March 31, 2019, United had remaining authorization to repurchase up to $42.2 million of outstanding common stock under the program.</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income tax provision for the three months ended March 31, 2019 and March 31, 2018 was $13.0 million and $10.7 million, respectively, which represents an effective tax rate of 22.6% and 22.2%, respectively.</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At March 31, 2019 and December 31, 2018, United maintained a valuation allowance on its net deferred tax asset of $3.37 million. Management assesses the valuation allowance recorded against its net deferred tax asset at each reporting period. The determination of whether a valuation allowance for its net deferred tax asset is appropriate is subject to considerable judgment and requires an evaluation of all the positive and negative evidence.</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valuation allowance could fluctuate in future periods based on the assessment of the positive and negative evidence. Management’s conclusion at March 31, 2019 that it was more likely than not that the net deferred tax asset of $51.1 million will be realized is based upon management’s estimate of future taxable income. Management’s estimate of future taxable income is based on internal forecasts that consider historical performance, various internal estimates and assumptions, as well as certain external data all of which management believes to be reasonable although inherently subject to significant judgment. If actual results differ significantly from the current estimates of future taxable income, even if caused by adverse macro-economic conditions, the valuation allowance may need to be increased for some or all of the net deferred tax asset.</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United is subject to income taxation in the United States and various state jurisdictions. United’s federal and state income tax returns are filed on a consolidated basis. Currently, no years for which United filed a federal income tax return are under examination by the IRS, and there are no state tax examinations currently in progress. United is no longer subject to income tax examinations from state and local income tax authorities for years before 2015. Although it is not possible to know the ultimate outcome of future examinations, management believes that the liability recorded for uncertain tax positions is appropriate. At March 31, 2019 and December 31, 2018, unrecognized income tax benefits totaled $3.39 million and $3.26 million,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Assets and Liabilities Measured at Fair Value</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Fair value measurements are determined based on the assumptions that market participants would use in pricing the asset or liability. As a basis for considering market participant assumptions in fair value measurements, United uses a fair value hierarchy that distinguishes between market participant assumptions based on market data obtained from sources independent of the reporting entity (observable inputs that are classified within Levels 1 and 2 of the hierarchy) and the reporting entity’s own assumptions about market participant assumptions (unobservable inputs classified within Level 3 of the hierarchy). United has processes in place to review the significant valuation inputs and to reassess how the instruments are classified in the valuation framework.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Hierarchy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Valuation is based upon quoted prices (unadjusted) in active markets for identical assets or liabilities that United has the ability to access.</w:t>
      </w:r>
    </w:p>
    <w:p>
      <w:pPr>
        <w:spacing w:after="0" w:line="24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Valuation is based upon quoted prices for similar assets and liabilities in active markets, as well as inputs that are observable for the asset or</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liability (other than quoted prices), such as interest rates, foreign exchange rates, and yield curves that are observable at commonly quoted intervals.</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Valuation is generated from model-based techniques that use at least one significant assumption based on unobservable inputs for the asset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which are typically based on an entity’s own assumptions, as there is little, if any, related market activity.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The assessment of the significance of a particular input to the fair value measurement in its entirety requires judgment, and considers factors specific to the asset or liability.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valuation methodologies used for assets and liabilities recorded at fair value.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Securities</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Debt securities available-for-sale and equity securities with readily determinable fair values are recorded at fair value on a recurring basis. Fair value measurement is based upon quoted prices, if available. If quoted prices are not available, fair values are measured using independent pricing models or other model-based valuation techniques such as the present value of future cash flows, adjusted for the security’s credit rating, prepayment assumptions and other factors such as credit loss assumptions. Level 1 securities include those traded on an active exchange, such as the New York Stock Exchange, U.S. Treasury securities that are traded by dealers or brokers in active over-the-counter markets and money market funds. Level 2 securities include mortgage-backed securities issued by government sponsored entities, municipal bonds, corporate debt securities and asset-backed securities and are valued based on observable inputs that include: quoted market prices for similar assets, quoted market prices that are not in an active market, or other inputs that are observable in the market and can be corroborated by observable market data for substantially the full term of the securities. Securities classified as Level 3 include those traded in less liquid markets and are valued based on estimates obtained from broker-dealers that are not directly observable.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Compensation Plan Assets and Liabilities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Included in other assets in the consolidated balance sheet are assets related to employee deferred compensation plans. The assets associated with these plans are invested in mutual funds and classified as Level 1. Deferred compensation liabilities, also classified as Level 1, are carried at the fair value of the obligation to the employee, which mirrors the fair value of the invested assets and is included in other liabilities in the consolidated balance sheet.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Loans Held for Sale</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United has elected the fair value option for most of its newly originated mortgage loans held for sale in order to reduce certain timing differences and better match changes in fair values of the loans with changes in the value of derivative instruments used to economically hedge them. The fair value of mortgage loans held for sale is determined using quoted prices for a similar asset, adjusted for specific attributes of that loan (Level 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Loans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United does not record loans at fair value on a recurring basis. However, from time to time, a loan is considered impaired and an allowance for credit losses is established. Loans for which it is probable that payment of interest and principal will not be made in accordance with the contractual terms of the loan agreement are considered impaired. Once a loan is identified as individually impaired, management measures impairment based on the present value of expected future cash flows discounted at the loan’s effective interest rate, except that as a practical expedient, a creditor may measure impairment based on a loan’s observable market price, or the fair value of the collateral if repayment of the loan is dependent upon the sale of the underlying collateral.</w:t>
      </w:r>
    </w:p>
    <w:p>
      <w:pPr>
        <w:spacing w:after="0" w:line="1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Those impaired loans not requiring an allowance represent loans for which the fair value of the expected repayments or collateral exceed the recorded investments in such loans. In accordance with ASC 820, </w:t>
      </w:r>
      <w:r>
        <w:rPr>
          <w:rFonts w:ascii="Arial" w:cs="Arial" w:eastAsia="Arial" w:hAnsi="Arial"/>
          <w:sz w:val="18"/>
          <w:szCs w:val="18"/>
          <w:i w:val="1"/>
          <w:iCs w:val="1"/>
          <w:color w:val="auto"/>
        </w:rPr>
        <w:t>Fair Value Measures and Disclosures</w:t>
      </w:r>
      <w:r>
        <w:rPr>
          <w:rFonts w:ascii="Arial" w:cs="Arial" w:eastAsia="Arial" w:hAnsi="Arial"/>
          <w:sz w:val="18"/>
          <w:szCs w:val="18"/>
          <w:color w:val="auto"/>
        </w:rPr>
        <w:t>, impaired loans where an allowance is established based on the fair value of collateral require classification in the fair value hierarchy. When the fair value of the collateral is based on an observable market price or a current appraised value, United records the impaired loan as nonrecurring Level 2. When an appraised value is not available or management determines the fair value of the collateral is further impaired below the appraised value and there is no observable market price, United records the impaired loan as nonrecurring Level 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 Financial Instruments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United uses interest rate swaps and interest rate floors to manage its interest rate risk. The valuation of these instruments is typically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fair values of interest rate swaps are determined using the market standard methodology of netting the discounted future fixed cash receipts and the discounted expected variable cash payments. The variable cash payments are based on an expectation of future interest rates (forward curves) derived from observable market interest rate curves. United also uses best effort and mandatory delivery forward loan sale commitments to hedge risk in its mortgage lending business.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comply with the provisions of ASC 820, United incorporates credit valuation adjustments to appropriately reflect both its own nonperformance risk and the respective counterparty’s nonperformance risk in the fair value measurements. In adjusting the fair value of its derivative contracts for the effect of nonperformance risk, United has considered the effect of netting and any applicable credit enhancements, such as collateral postings, thresholds, mutual puts, and guarantees.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management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itself and its counterparties. However, management had assessed the significance of the effect of the credit valuation adjustments on the overall valuation of its derivative positions and has determined that the credit valuation adjustments are not significant to the overall valuation of its derivatives. Derivatives classified as Level 3 included structured derivatives for which</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broker quotes, used as a key valuation input, were not observable consistent with a Level 2 disclosure. The fair value of risk participations incorporates Level 3 inputs to evaluate the likelihood of customer default. The fair value of interest rate lock commitments, which is related to mortgage loan commitments, is categorized as Level 3 based on unobservable inputs for commitments that United does not expect to fund.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Servicing Rights for SBA/USDA Loans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United recognizes servicing rights upon the sale of SBA/USDA loans sold with servicing retained. Management has elected to carry this asset at fair value.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Given the nature of the asset, the key valuation inputs are unobservable and management classifies this asset as Level 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Residential Mortgage Servicing Rights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United recognizes servicing rights upon the sale of residential mortgage loans sold with servicing retained. Management has elected to carry this asset at fair value. Given the nature of the asset, the key valuation inputs are unobservable and management classifies this asset as Level 3.</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Pension Plan Assets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For information on the fair value of pension plan assets, see Note 17 in the Annual Report on Form 10-K for the year ended December 31, 2018.</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Assets and Liabilities Measured at Fair Value on a Recurring Basis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The table below presents United’s assets and liabilities measured at fair value on a recurring basis as of the dates indicated, aggregated by the level in the fair value hierarchy within which those measurements fall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Total</w:t>
            </w:r>
          </w:p>
        </w:tc>
      </w:tr>
      <w:tr>
        <w:trPr>
          <w:trHeight w:val="256"/>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64"/>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Debt securities available for sale:</w:t>
            </w: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U.S. Treasuries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141,855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141,855</w:t>
            </w:r>
          </w:p>
        </w:tc>
      </w:tr>
      <w:tr>
        <w:trPr>
          <w:trHeight w:val="264"/>
        </w:trPr>
        <w:tc>
          <w:tcPr>
            <w:tcW w:w="5160" w:type="dxa"/>
            <w:vAlign w:val="bottom"/>
            <w:gridSpan w:val="2"/>
          </w:tcPr>
          <w:p>
            <w:pPr>
              <w:ind w:left="280"/>
              <w:spacing w:after="0"/>
              <w:rPr>
                <w:sz w:val="20"/>
                <w:szCs w:val="20"/>
                <w:color w:val="auto"/>
              </w:rPr>
            </w:pPr>
            <w:r>
              <w:rPr>
                <w:rFonts w:ascii="Arial" w:cs="Arial" w:eastAsia="Arial" w:hAnsi="Arial"/>
                <w:sz w:val="14"/>
                <w:szCs w:val="14"/>
                <w:color w:val="auto"/>
              </w:rPr>
              <w:t>U.S. Government agencies</w:t>
            </w: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5,101</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5,101</w:t>
            </w:r>
          </w:p>
        </w:tc>
      </w:tr>
      <w:tr>
        <w:trPr>
          <w:trHeight w:val="276"/>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State and political subdivisions</w:t>
            </w:r>
          </w:p>
        </w:tc>
        <w:tc>
          <w:tcPr>
            <w:tcW w:w="3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222,180</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222,180</w:t>
            </w:r>
          </w:p>
        </w:tc>
      </w:tr>
      <w:tr>
        <w:trPr>
          <w:trHeight w:val="264"/>
        </w:trPr>
        <w:tc>
          <w:tcPr>
            <w:tcW w:w="5160" w:type="dxa"/>
            <w:vAlign w:val="bottom"/>
            <w:gridSpan w:val="2"/>
          </w:tcPr>
          <w:p>
            <w:pPr>
              <w:ind w:left="280"/>
              <w:spacing w:after="0"/>
              <w:rPr>
                <w:sz w:val="20"/>
                <w:szCs w:val="20"/>
                <w:color w:val="auto"/>
              </w:rPr>
            </w:pPr>
            <w:r>
              <w:rPr>
                <w:rFonts w:ascii="Arial" w:cs="Arial" w:eastAsia="Arial" w:hAnsi="Arial"/>
                <w:sz w:val="14"/>
                <w:szCs w:val="14"/>
                <w:color w:val="auto"/>
              </w:rPr>
              <w:t>Residential mortgage-backed securities</w:t>
            </w: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1,414,085</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1,414,085</w:t>
            </w:r>
          </w:p>
        </w:tc>
      </w:tr>
      <w:tr>
        <w:trPr>
          <w:trHeight w:val="276"/>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Commercial mortgage-backed securities</w:t>
            </w:r>
          </w:p>
        </w:tc>
        <w:tc>
          <w:tcPr>
            <w:tcW w:w="3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343,339</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343,339</w:t>
            </w:r>
          </w:p>
        </w:tc>
      </w:tr>
      <w:tr>
        <w:trPr>
          <w:trHeight w:val="264"/>
        </w:trPr>
        <w:tc>
          <w:tcPr>
            <w:tcW w:w="5160" w:type="dxa"/>
            <w:vAlign w:val="bottom"/>
            <w:gridSpan w:val="2"/>
          </w:tcPr>
          <w:p>
            <w:pPr>
              <w:ind w:left="280"/>
              <w:spacing w:after="0"/>
              <w:rPr>
                <w:sz w:val="20"/>
                <w:szCs w:val="20"/>
                <w:color w:val="auto"/>
              </w:rPr>
            </w:pPr>
            <w:r>
              <w:rPr>
                <w:rFonts w:ascii="Arial" w:cs="Arial" w:eastAsia="Arial" w:hAnsi="Arial"/>
                <w:sz w:val="14"/>
                <w:szCs w:val="14"/>
                <w:color w:val="auto"/>
              </w:rPr>
              <w:t>Corporate bonds</w:t>
            </w: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199,681</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995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200,676</w:t>
            </w:r>
          </w:p>
        </w:tc>
      </w:tr>
      <w:tr>
        <w:trPr>
          <w:trHeight w:val="276"/>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Asset-backed securities</w:t>
            </w:r>
          </w:p>
        </w:tc>
        <w:tc>
          <w:tcPr>
            <w:tcW w:w="3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127,389</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127,389</w:t>
            </w:r>
          </w:p>
        </w:tc>
      </w:tr>
      <w:tr>
        <w:trPr>
          <w:trHeight w:val="264"/>
        </w:trPr>
        <w:tc>
          <w:tcPr>
            <w:tcW w:w="5160" w:type="dxa"/>
            <w:vAlign w:val="bottom"/>
            <w:gridSpan w:val="2"/>
          </w:tcPr>
          <w:p>
            <w:pPr>
              <w:ind w:left="280"/>
              <w:spacing w:after="0"/>
              <w:rPr>
                <w:sz w:val="20"/>
                <w:szCs w:val="20"/>
                <w:color w:val="auto"/>
              </w:rPr>
            </w:pPr>
            <w:r>
              <w:rPr>
                <w:rFonts w:ascii="Arial" w:cs="Arial" w:eastAsia="Arial" w:hAnsi="Arial"/>
                <w:sz w:val="14"/>
                <w:szCs w:val="14"/>
                <w:color w:val="auto"/>
              </w:rPr>
              <w:t>Equity securities with readily available fair values</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910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910</w:t>
            </w:r>
          </w:p>
        </w:tc>
      </w:tr>
      <w:tr>
        <w:trPr>
          <w:trHeight w:val="276"/>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Mortgage loans held for sale</w:t>
            </w:r>
          </w:p>
        </w:tc>
        <w:tc>
          <w:tcPr>
            <w:tcW w:w="3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26,341</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26,341</w:t>
            </w:r>
          </w:p>
        </w:tc>
      </w:tr>
      <w:tr>
        <w:trPr>
          <w:trHeight w:val="264"/>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Deferred compensation plan assets</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7,129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7,129</w:t>
            </w:r>
          </w:p>
        </w:tc>
      </w:tr>
      <w:tr>
        <w:trPr>
          <w:trHeight w:val="276"/>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Servicing rights for SBA/USDA loans</w:t>
            </w:r>
          </w:p>
        </w:tc>
        <w:tc>
          <w:tcPr>
            <w:tcW w:w="3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7,401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7,401</w:t>
            </w:r>
          </w:p>
        </w:tc>
      </w:tr>
      <w:tr>
        <w:trPr>
          <w:trHeight w:val="264"/>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Residential mortgage servicing rights</w:t>
            </w: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w w:val="88"/>
              </w:rPr>
              <w:t>11,447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11,447</w:t>
            </w:r>
          </w:p>
        </w:tc>
      </w:tr>
      <w:tr>
        <w:trPr>
          <w:trHeight w:val="270"/>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Derivative financial instruments</w:t>
            </w:r>
          </w:p>
        </w:tc>
        <w:tc>
          <w:tcPr>
            <w:tcW w:w="3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16,363</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9,561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25,924</w:t>
            </w:r>
          </w:p>
        </w:tc>
      </w:tr>
      <w:tr>
        <w:trPr>
          <w:trHeight w:val="283"/>
        </w:trPr>
        <w:tc>
          <w:tcPr>
            <w:tcW w:w="516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Total assets</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149,894</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2,354,479</w:t>
            </w:r>
          </w:p>
        </w:tc>
        <w:tc>
          <w:tcPr>
            <w:tcW w:w="120" w:type="dxa"/>
            <w:vAlign w:val="bottom"/>
            <w:tcBorders>
              <w:bottom w:val="single" w:sz="8" w:color="CCEEFF"/>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88"/>
              </w:rPr>
              <w:t>29,404</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2,533,777</w:t>
            </w:r>
          </w:p>
        </w:tc>
      </w:tr>
      <w:tr>
        <w:trPr>
          <w:trHeight w:val="278"/>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Deferred compensation plan liability</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7,129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7,129</w:t>
            </w:r>
          </w:p>
        </w:tc>
      </w:tr>
      <w:tr>
        <w:trPr>
          <w:trHeight w:val="264"/>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Derivative financial instruments</w:t>
            </w: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7,345</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w w:val="88"/>
              </w:rPr>
              <w:t>11,444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18,789</w:t>
            </w:r>
          </w:p>
        </w:tc>
      </w:tr>
      <w:tr>
        <w:trPr>
          <w:trHeight w:val="243"/>
        </w:trPr>
        <w:tc>
          <w:tcPr>
            <w:tcW w:w="5160" w:type="dxa"/>
            <w:vAlign w:val="bottom"/>
            <w:tcBorders>
              <w:top w:val="single" w:sz="8" w:color="CCEEFF"/>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Total liabilities</w:t>
            </w: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7,345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88"/>
              </w:rPr>
              <w:t>11,444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25,918</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Total</w:t>
            </w:r>
          </w:p>
        </w:tc>
      </w:tr>
      <w:tr>
        <w:trPr>
          <w:trHeight w:val="256"/>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64"/>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Debt securities available for sale</w:t>
            </w: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U.S. Treasuries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149,307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149,307</w:t>
            </w:r>
          </w:p>
        </w:tc>
      </w:tr>
      <w:tr>
        <w:trPr>
          <w:trHeight w:val="264"/>
        </w:trPr>
        <w:tc>
          <w:tcPr>
            <w:tcW w:w="5160" w:type="dxa"/>
            <w:vAlign w:val="bottom"/>
            <w:gridSpan w:val="2"/>
          </w:tcPr>
          <w:p>
            <w:pPr>
              <w:ind w:left="280"/>
              <w:spacing w:after="0"/>
              <w:rPr>
                <w:sz w:val="20"/>
                <w:szCs w:val="20"/>
                <w:color w:val="auto"/>
              </w:rPr>
            </w:pPr>
            <w:r>
              <w:rPr>
                <w:rFonts w:ascii="Arial" w:cs="Arial" w:eastAsia="Arial" w:hAnsi="Arial"/>
                <w:sz w:val="14"/>
                <w:szCs w:val="14"/>
                <w:color w:val="auto"/>
              </w:rPr>
              <w:t>U.S. Agencies</w:t>
            </w: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25,553</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25,553</w:t>
            </w:r>
          </w:p>
        </w:tc>
      </w:tr>
      <w:tr>
        <w:trPr>
          <w:trHeight w:val="276"/>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State and political subdivisions</w:t>
            </w:r>
          </w:p>
        </w:tc>
        <w:tc>
          <w:tcPr>
            <w:tcW w:w="3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233,941</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233,941</w:t>
            </w:r>
          </w:p>
        </w:tc>
      </w:tr>
      <w:tr>
        <w:trPr>
          <w:trHeight w:val="264"/>
        </w:trPr>
        <w:tc>
          <w:tcPr>
            <w:tcW w:w="5160" w:type="dxa"/>
            <w:vAlign w:val="bottom"/>
            <w:gridSpan w:val="2"/>
          </w:tcPr>
          <w:p>
            <w:pPr>
              <w:ind w:left="280"/>
              <w:spacing w:after="0"/>
              <w:rPr>
                <w:sz w:val="20"/>
                <w:szCs w:val="20"/>
                <w:color w:val="auto"/>
              </w:rPr>
            </w:pPr>
            <w:r>
              <w:rPr>
                <w:rFonts w:ascii="Arial" w:cs="Arial" w:eastAsia="Arial" w:hAnsi="Arial"/>
                <w:sz w:val="14"/>
                <w:szCs w:val="14"/>
                <w:color w:val="auto"/>
              </w:rPr>
              <w:t>Residential mortgage-backed securities</w:t>
            </w: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1,445,910</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1,445,910</w:t>
            </w:r>
          </w:p>
        </w:tc>
      </w:tr>
      <w:tr>
        <w:trPr>
          <w:trHeight w:val="276"/>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Commercial mortgage-backed securities</w:t>
            </w:r>
          </w:p>
        </w:tc>
        <w:tc>
          <w:tcPr>
            <w:tcW w:w="3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391,917</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391,917</w:t>
            </w:r>
          </w:p>
        </w:tc>
      </w:tr>
      <w:tr>
        <w:trPr>
          <w:trHeight w:val="264"/>
        </w:trPr>
        <w:tc>
          <w:tcPr>
            <w:tcW w:w="5160" w:type="dxa"/>
            <w:vAlign w:val="bottom"/>
            <w:gridSpan w:val="2"/>
          </w:tcPr>
          <w:p>
            <w:pPr>
              <w:ind w:left="280"/>
              <w:spacing w:after="0"/>
              <w:rPr>
                <w:sz w:val="20"/>
                <w:szCs w:val="20"/>
                <w:color w:val="auto"/>
              </w:rPr>
            </w:pPr>
            <w:r>
              <w:rPr>
                <w:rFonts w:ascii="Arial" w:cs="Arial" w:eastAsia="Arial" w:hAnsi="Arial"/>
                <w:sz w:val="14"/>
                <w:szCs w:val="14"/>
                <w:color w:val="auto"/>
              </w:rPr>
              <w:t>Corporate bonds</w:t>
            </w: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198,168</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995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199,163</w:t>
            </w:r>
          </w:p>
        </w:tc>
      </w:tr>
      <w:tr>
        <w:trPr>
          <w:trHeight w:val="276"/>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Asset-backed securities</w:t>
            </w:r>
          </w:p>
        </w:tc>
        <w:tc>
          <w:tcPr>
            <w:tcW w:w="3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182,676</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182,676</w:t>
            </w:r>
          </w:p>
        </w:tc>
      </w:tr>
      <w:tr>
        <w:trPr>
          <w:trHeight w:val="264"/>
        </w:trPr>
        <w:tc>
          <w:tcPr>
            <w:tcW w:w="5160" w:type="dxa"/>
            <w:vAlign w:val="bottom"/>
            <w:gridSpan w:val="2"/>
          </w:tcPr>
          <w:p>
            <w:pPr>
              <w:ind w:left="280"/>
              <w:spacing w:after="0"/>
              <w:rPr>
                <w:sz w:val="20"/>
                <w:szCs w:val="20"/>
                <w:color w:val="auto"/>
              </w:rPr>
            </w:pPr>
            <w:r>
              <w:rPr>
                <w:rFonts w:ascii="Arial" w:cs="Arial" w:eastAsia="Arial" w:hAnsi="Arial"/>
                <w:sz w:val="14"/>
                <w:szCs w:val="14"/>
                <w:color w:val="auto"/>
              </w:rPr>
              <w:t>Equity securities with readily available fair values</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1,076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1,076</w:t>
            </w:r>
          </w:p>
        </w:tc>
      </w:tr>
      <w:tr>
        <w:trPr>
          <w:trHeight w:val="276"/>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Mortgage loans held for sale</w:t>
            </w:r>
          </w:p>
        </w:tc>
        <w:tc>
          <w:tcPr>
            <w:tcW w:w="3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18,935</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18,935</w:t>
            </w:r>
          </w:p>
        </w:tc>
      </w:tr>
      <w:tr>
        <w:trPr>
          <w:trHeight w:val="264"/>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Deferred compensation plan assets</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6,404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6,404</w:t>
            </w:r>
          </w:p>
        </w:tc>
      </w:tr>
      <w:tr>
        <w:trPr>
          <w:trHeight w:val="276"/>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Servicing rights for SBA/USDA loans</w:t>
            </w:r>
          </w:p>
        </w:tc>
        <w:tc>
          <w:tcPr>
            <w:tcW w:w="3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7,510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7,510</w:t>
            </w:r>
          </w:p>
        </w:tc>
      </w:tr>
      <w:tr>
        <w:trPr>
          <w:trHeight w:val="264"/>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Residential mortgage servicing rights</w:t>
            </w: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w w:val="88"/>
              </w:rPr>
              <w:t>11,877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11,877</w:t>
            </w:r>
          </w:p>
        </w:tc>
      </w:tr>
      <w:tr>
        <w:trPr>
          <w:trHeight w:val="270"/>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Derivative financial instruments</w:t>
            </w:r>
          </w:p>
        </w:tc>
        <w:tc>
          <w:tcPr>
            <w:tcW w:w="3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12,864</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88"/>
              </w:rPr>
              <w:t>11,841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24,705</w:t>
            </w:r>
          </w:p>
        </w:tc>
      </w:tr>
      <w:tr>
        <w:trPr>
          <w:trHeight w:val="283"/>
        </w:trPr>
        <w:tc>
          <w:tcPr>
            <w:tcW w:w="516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Total assets</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156,787</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2,509,964</w:t>
            </w:r>
          </w:p>
        </w:tc>
        <w:tc>
          <w:tcPr>
            <w:tcW w:w="120" w:type="dxa"/>
            <w:vAlign w:val="bottom"/>
            <w:tcBorders>
              <w:bottom w:val="single" w:sz="8" w:color="CCEEFF"/>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88"/>
              </w:rPr>
              <w:t>32,223</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2,698,974</w:t>
            </w:r>
          </w:p>
        </w:tc>
      </w:tr>
      <w:tr>
        <w:trPr>
          <w:trHeight w:val="278"/>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Deferred compensation plan liability</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6,404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6,404</w:t>
            </w:r>
          </w:p>
        </w:tc>
      </w:tr>
      <w:tr>
        <w:trPr>
          <w:trHeight w:val="264"/>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Derivative financial instruments</w:t>
            </w: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10,701</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w w:val="88"/>
              </w:rPr>
              <w:t>15,732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26,433</w:t>
            </w:r>
          </w:p>
        </w:tc>
      </w:tr>
      <w:tr>
        <w:trPr>
          <w:trHeight w:val="243"/>
        </w:trPr>
        <w:tc>
          <w:tcPr>
            <w:tcW w:w="5160" w:type="dxa"/>
            <w:vAlign w:val="bottom"/>
            <w:tcBorders>
              <w:top w:val="single" w:sz="8" w:color="CCEEFF"/>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Total liabilities</w:t>
            </w: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10,701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88"/>
              </w:rPr>
              <w:t>15,732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32,837</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table shows a reconciliation of the beginning and ending balances for the periods indicated for assets measured at fair value on a recurring basis using significant unobservable inputs that are classified as Level 3 values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Servicing rights</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Residential</w:t>
            </w: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Debt Securities</w:t>
            </w:r>
          </w:p>
        </w:tc>
      </w:tr>
      <w:tr>
        <w:trPr>
          <w:trHeight w:val="203"/>
        </w:trPr>
        <w:tc>
          <w:tcPr>
            <w:tcW w:w="4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Derivative</w:t>
            </w:r>
          </w:p>
        </w:tc>
        <w:tc>
          <w:tcPr>
            <w:tcW w:w="13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5"/>
              </w:rPr>
              <w:t>for SBA/USDA</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mortgage</w:t>
            </w:r>
          </w:p>
        </w:tc>
        <w:tc>
          <w:tcPr>
            <w:tcW w:w="120" w:type="dxa"/>
            <w:vAlign w:val="bottom"/>
          </w:tcPr>
          <w:p>
            <w:pPr>
              <w:spacing w:after="0"/>
              <w:rPr>
                <w:sz w:val="17"/>
                <w:szCs w:val="17"/>
                <w:color w:val="auto"/>
              </w:rPr>
            </w:pPr>
          </w:p>
        </w:tc>
        <w:tc>
          <w:tcPr>
            <w:tcW w:w="112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Available-for-</w:t>
            </w:r>
          </w:p>
        </w:tc>
      </w:tr>
      <w:tr>
        <w:trPr>
          <w:trHeight w:val="210"/>
        </w:trPr>
        <w:tc>
          <w:tcPr>
            <w:tcW w:w="4700" w:type="dxa"/>
            <w:vAlign w:val="bottom"/>
          </w:tcPr>
          <w:p>
            <w:pPr>
              <w:spacing w:after="0"/>
              <w:rPr>
                <w:sz w:val="18"/>
                <w:szCs w:val="18"/>
                <w:color w:val="auto"/>
              </w:rPr>
            </w:pPr>
          </w:p>
        </w:tc>
        <w:tc>
          <w:tcPr>
            <w:tcW w:w="1400" w:type="dxa"/>
            <w:vAlign w:val="bottom"/>
            <w:gridSpan w:val="3"/>
          </w:tcPr>
          <w:p>
            <w:pPr>
              <w:ind w:left="80"/>
              <w:spacing w:after="0"/>
              <w:rPr>
                <w:sz w:val="20"/>
                <w:szCs w:val="20"/>
                <w:color w:val="auto"/>
              </w:rPr>
            </w:pPr>
            <w:r>
              <w:rPr>
                <w:rFonts w:ascii="Arial" w:cs="Arial" w:eastAsia="Arial" w:hAnsi="Arial"/>
                <w:sz w:val="16"/>
                <w:szCs w:val="16"/>
                <w:b w:val="1"/>
                <w:bCs w:val="1"/>
                <w:color w:val="auto"/>
              </w:rPr>
              <w:t>Derivative Asset</w:t>
            </w:r>
          </w:p>
        </w:tc>
        <w:tc>
          <w:tcPr>
            <w:tcW w:w="2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Liability</w:t>
            </w:r>
          </w:p>
        </w:tc>
        <w:tc>
          <w:tcPr>
            <w:tcW w:w="28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6"/>
              </w:rPr>
              <w:t>loans</w:t>
            </w:r>
          </w:p>
        </w:tc>
        <w:tc>
          <w:tcPr>
            <w:tcW w:w="13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8"/>
              </w:rPr>
              <w:t>servicing rights</w:t>
            </w:r>
          </w:p>
        </w:tc>
        <w:tc>
          <w:tcPr>
            <w:tcW w:w="120" w:type="dxa"/>
            <w:vAlign w:val="bottom"/>
          </w:tcPr>
          <w:p>
            <w:pPr>
              <w:spacing w:after="0"/>
              <w:rPr>
                <w:sz w:val="18"/>
                <w:szCs w:val="18"/>
                <w:color w:val="auto"/>
              </w:rPr>
            </w:pPr>
          </w:p>
        </w:tc>
        <w:tc>
          <w:tcPr>
            <w:tcW w:w="1120" w:type="dxa"/>
            <w:vAlign w:val="bottom"/>
          </w:tcPr>
          <w:p>
            <w:pPr>
              <w:jc w:val="center"/>
              <w:ind w:right="39"/>
              <w:spacing w:after="0"/>
              <w:rPr>
                <w:sz w:val="20"/>
                <w:szCs w:val="20"/>
                <w:color w:val="auto"/>
              </w:rPr>
            </w:pPr>
            <w:r>
              <w:rPr>
                <w:rFonts w:ascii="Arial" w:cs="Arial" w:eastAsia="Arial" w:hAnsi="Arial"/>
                <w:sz w:val="16"/>
                <w:szCs w:val="16"/>
                <w:b w:val="1"/>
                <w:bCs w:val="1"/>
                <w:color w:val="auto"/>
                <w:w w:val="84"/>
              </w:rPr>
              <w:t>Sale</w:t>
            </w:r>
          </w:p>
        </w:tc>
      </w:tr>
      <w:tr>
        <w:trPr>
          <w:trHeight w:val="33"/>
        </w:trPr>
        <w:tc>
          <w:tcPr>
            <w:tcW w:w="47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March 31, 2019</w:t>
            </w:r>
          </w:p>
        </w:tc>
        <w:tc>
          <w:tcPr>
            <w:tcW w:w="4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Balance at beginning of period</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11,841</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15,732</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7,510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11,877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995</w:t>
            </w:r>
          </w:p>
        </w:tc>
      </w:tr>
      <w:tr>
        <w:trPr>
          <w:trHeight w:val="33"/>
        </w:trPr>
        <w:tc>
          <w:tcPr>
            <w:tcW w:w="4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Additions</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Sales and settlements</w:t>
            </w: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(1,135)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(2,330)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Amounts included in earnings - fair value adjustments</w:t>
            </w:r>
          </w:p>
        </w:tc>
        <w:tc>
          <w:tcPr>
            <w:tcW w:w="4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Balance at end of period</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9,561</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11,444</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7,401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11,447</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995</w:t>
            </w:r>
          </w:p>
        </w:tc>
      </w:tr>
      <w:tr>
        <w:trPr>
          <w:trHeight w:val="311"/>
        </w:trPr>
        <w:tc>
          <w:tcPr>
            <w:tcW w:w="47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Three Months Ended March 31, 2018</w:t>
            </w: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900</w:t>
            </w: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Business combinations</w:t>
            </w:r>
          </w:p>
        </w:tc>
        <w:tc>
          <w:tcPr>
            <w:tcW w:w="4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Additions</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Sales and settlements</w:t>
            </w: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(1,029)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(1,347)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Amounts included in earnings - fair value adjustments</w:t>
            </w:r>
          </w:p>
        </w:tc>
        <w:tc>
          <w:tcPr>
            <w:tcW w:w="4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2,699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4"/>
        </w:trPr>
        <w:tc>
          <w:tcPr>
            <w:tcW w:w="4700" w:type="dxa"/>
            <w:vAlign w:val="bottom"/>
          </w:tcPr>
          <w:p>
            <w:pPr>
              <w:ind w:left="40"/>
              <w:spacing w:after="0"/>
              <w:rPr>
                <w:sz w:val="20"/>
                <w:szCs w:val="20"/>
                <w:color w:val="auto"/>
              </w:rPr>
            </w:pPr>
            <w:r>
              <w:rPr>
                <w:rFonts w:ascii="Arial" w:cs="Arial" w:eastAsia="Arial" w:hAnsi="Arial"/>
                <w:sz w:val="16"/>
                <w:szCs w:val="16"/>
                <w:color w:val="auto"/>
              </w:rPr>
              <w:t>Balance at end of period</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13,877</w:t>
            </w: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17,788</w:t>
            </w:r>
          </w:p>
        </w:tc>
        <w:tc>
          <w:tcPr>
            <w:tcW w:w="12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7,470</w:t>
            </w: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9,718</w:t>
            </w: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900</w:t>
            </w:r>
          </w:p>
        </w:tc>
      </w:tr>
      <w:tr>
        <w:trPr>
          <w:trHeight w:val="20"/>
        </w:trPr>
        <w:tc>
          <w:tcPr>
            <w:tcW w:w="4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following table presents quantitative information about Level 3 fair value measurements for fair value on a recurring basis as of the dates indicated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ectPr>
          <w:pgSz w:w="11900" w:h="16838" w:orient="portrait"/>
          <w:cols w:equalWidth="0" w:num="1">
            <w:col w:w="11420"/>
          </w:cols>
          <w:pgMar w:left="240" w:top="121" w:right="239" w:bottom="1440" w:gutter="0" w:footer="0" w:header="0"/>
        </w:sectPr>
      </w:pP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2"/>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52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Level 3 Assets and Liabilities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88"/>
              </w:rPr>
              <w:t>March 31, 2019</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15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w w:val="99"/>
              </w:rPr>
              <w:t>Valuation Technique</w:t>
            </w:r>
          </w:p>
        </w:tc>
        <w:tc>
          <w:tcPr>
            <w:tcW w:w="0" w:type="dxa"/>
            <w:vAlign w:val="bottom"/>
          </w:tcPr>
          <w:p>
            <w:pPr>
              <w:spacing w:after="0"/>
              <w:rPr>
                <w:sz w:val="1"/>
                <w:szCs w:val="1"/>
                <w:color w:val="auto"/>
              </w:rPr>
            </w:pPr>
          </w:p>
        </w:tc>
      </w:tr>
      <w:tr>
        <w:trPr>
          <w:trHeight w:val="216"/>
        </w:trPr>
        <w:tc>
          <w:tcPr>
            <w:tcW w:w="2640" w:type="dxa"/>
            <w:vAlign w:val="bottom"/>
            <w:gridSpan w:val="2"/>
          </w:tcPr>
          <w:p>
            <w:pPr>
              <w:ind w:left="40"/>
              <w:spacing w:after="0"/>
              <w:rPr>
                <w:sz w:val="20"/>
                <w:szCs w:val="20"/>
                <w:color w:val="auto"/>
              </w:rPr>
            </w:pPr>
            <w:r>
              <w:rPr>
                <w:rFonts w:ascii="Arial" w:cs="Arial" w:eastAsia="Arial" w:hAnsi="Arial"/>
                <w:sz w:val="14"/>
                <w:szCs w:val="14"/>
                <w:color w:val="auto"/>
              </w:rPr>
              <w:t>Servicing rights for SBA/USDA loans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2"/>
              <w:spacing w:after="0"/>
              <w:rPr>
                <w:sz w:val="20"/>
                <w:szCs w:val="20"/>
                <w:color w:val="auto"/>
              </w:rPr>
            </w:pPr>
            <w:r>
              <w:rPr>
                <w:rFonts w:ascii="Arial" w:cs="Arial" w:eastAsia="Arial" w:hAnsi="Arial"/>
                <w:sz w:val="14"/>
                <w:szCs w:val="14"/>
                <w:color w:val="auto"/>
              </w:rPr>
              <w:t>7,401</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7,510</w:t>
            </w:r>
          </w:p>
        </w:tc>
        <w:tc>
          <w:tcPr>
            <w:tcW w:w="120" w:type="dxa"/>
            <w:vAlign w:val="bottom"/>
          </w:tcPr>
          <w:p>
            <w:pPr>
              <w:spacing w:after="0"/>
              <w:rPr>
                <w:sz w:val="18"/>
                <w:szCs w:val="18"/>
                <w:color w:val="auto"/>
              </w:rPr>
            </w:pPr>
          </w:p>
        </w:tc>
        <w:tc>
          <w:tcPr>
            <w:tcW w:w="1580" w:type="dxa"/>
            <w:vAlign w:val="bottom"/>
          </w:tcPr>
          <w:p>
            <w:pPr>
              <w:ind w:left="20"/>
              <w:spacing w:after="0"/>
              <w:rPr>
                <w:sz w:val="20"/>
                <w:szCs w:val="20"/>
                <w:color w:val="auto"/>
              </w:rPr>
            </w:pPr>
            <w:r>
              <w:rPr>
                <w:rFonts w:ascii="Arial" w:cs="Arial" w:eastAsia="Arial" w:hAnsi="Arial"/>
                <w:sz w:val="14"/>
                <w:szCs w:val="14"/>
                <w:color w:val="auto"/>
              </w:rPr>
              <w:t>Discounted cash flow</w:t>
            </w:r>
          </w:p>
        </w:tc>
        <w:tc>
          <w:tcPr>
            <w:tcW w:w="0" w:type="dxa"/>
            <w:vAlign w:val="bottom"/>
          </w:tcPr>
          <w:p>
            <w:pPr>
              <w:spacing w:after="0"/>
              <w:rPr>
                <w:sz w:val="1"/>
                <w:szCs w:val="1"/>
                <w:color w:val="auto"/>
              </w:rPr>
            </w:pPr>
          </w:p>
        </w:tc>
      </w:tr>
      <w:tr>
        <w:trPr>
          <w:trHeight w:val="527"/>
        </w:trPr>
        <w:tc>
          <w:tcPr>
            <w:tcW w:w="2640" w:type="dxa"/>
            <w:vAlign w:val="bottom"/>
            <w:gridSpan w:val="2"/>
          </w:tcPr>
          <w:p>
            <w:pPr>
              <w:ind w:left="40"/>
              <w:spacing w:after="0"/>
              <w:rPr>
                <w:sz w:val="20"/>
                <w:szCs w:val="20"/>
                <w:color w:val="auto"/>
              </w:rPr>
            </w:pPr>
            <w:r>
              <w:rPr>
                <w:rFonts w:ascii="Arial" w:cs="Arial" w:eastAsia="Arial" w:hAnsi="Arial"/>
                <w:sz w:val="14"/>
                <w:szCs w:val="14"/>
                <w:color w:val="auto"/>
              </w:rPr>
              <w:t>Residential mortgage servicing rights</w:t>
            </w:r>
          </w:p>
        </w:tc>
        <w:tc>
          <w:tcPr>
            <w:tcW w:w="100" w:type="dxa"/>
            <w:vAlign w:val="bottom"/>
          </w:tcPr>
          <w:p>
            <w:pPr>
              <w:spacing w:after="0"/>
              <w:rPr>
                <w:sz w:val="24"/>
                <w:szCs w:val="24"/>
                <w:color w:val="auto"/>
              </w:rPr>
            </w:pPr>
          </w:p>
        </w:tc>
        <w:tc>
          <w:tcPr>
            <w:tcW w:w="1020" w:type="dxa"/>
            <w:vAlign w:val="bottom"/>
          </w:tcPr>
          <w:p>
            <w:pPr>
              <w:jc w:val="right"/>
              <w:ind w:right="32"/>
              <w:spacing w:after="0"/>
              <w:rPr>
                <w:sz w:val="20"/>
                <w:szCs w:val="20"/>
                <w:color w:val="auto"/>
              </w:rPr>
            </w:pPr>
            <w:r>
              <w:rPr>
                <w:rFonts w:ascii="Arial" w:cs="Arial" w:eastAsia="Arial" w:hAnsi="Arial"/>
                <w:sz w:val="14"/>
                <w:szCs w:val="14"/>
                <w:color w:val="auto"/>
              </w:rPr>
              <w:t>11,447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11,877</w:t>
            </w:r>
          </w:p>
        </w:tc>
        <w:tc>
          <w:tcPr>
            <w:tcW w:w="12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Arial" w:cs="Arial" w:eastAsia="Arial" w:hAnsi="Arial"/>
                <w:sz w:val="14"/>
                <w:szCs w:val="14"/>
                <w:color w:val="auto"/>
              </w:rPr>
              <w:t>Discounted cash flow</w:t>
            </w:r>
          </w:p>
        </w:tc>
        <w:tc>
          <w:tcPr>
            <w:tcW w:w="0" w:type="dxa"/>
            <w:vAlign w:val="bottom"/>
          </w:tcPr>
          <w:p>
            <w:pPr>
              <w:spacing w:after="0"/>
              <w:rPr>
                <w:sz w:val="1"/>
                <w:szCs w:val="1"/>
                <w:color w:val="auto"/>
              </w:rPr>
            </w:pPr>
          </w:p>
        </w:tc>
      </w:tr>
      <w:tr>
        <w:trPr>
          <w:trHeight w:val="706"/>
        </w:trPr>
        <w:tc>
          <w:tcPr>
            <w:tcW w:w="2640" w:type="dxa"/>
            <w:vAlign w:val="bottom"/>
            <w:gridSpan w:val="2"/>
            <w:vMerge w:val="restart"/>
          </w:tcPr>
          <w:p>
            <w:pPr>
              <w:ind w:left="40"/>
              <w:spacing w:after="0"/>
              <w:rPr>
                <w:sz w:val="20"/>
                <w:szCs w:val="20"/>
                <w:color w:val="auto"/>
              </w:rPr>
            </w:pPr>
            <w:r>
              <w:rPr>
                <w:rFonts w:ascii="Arial" w:cs="Arial" w:eastAsia="Arial" w:hAnsi="Arial"/>
                <w:sz w:val="14"/>
                <w:szCs w:val="14"/>
                <w:color w:val="auto"/>
              </w:rPr>
              <w:t>Corporate bonds</w:t>
            </w:r>
          </w:p>
        </w:tc>
        <w:tc>
          <w:tcPr>
            <w:tcW w:w="100" w:type="dxa"/>
            <w:vAlign w:val="bottom"/>
          </w:tcPr>
          <w:p>
            <w:pPr>
              <w:spacing w:after="0"/>
              <w:rPr>
                <w:sz w:val="24"/>
                <w:szCs w:val="24"/>
                <w:color w:val="auto"/>
              </w:rPr>
            </w:pPr>
          </w:p>
        </w:tc>
        <w:tc>
          <w:tcPr>
            <w:tcW w:w="1020" w:type="dxa"/>
            <w:vAlign w:val="bottom"/>
            <w:vMerge w:val="restart"/>
          </w:tcPr>
          <w:p>
            <w:pPr>
              <w:jc w:val="right"/>
              <w:ind w:right="32"/>
              <w:spacing w:after="0"/>
              <w:rPr>
                <w:sz w:val="20"/>
                <w:szCs w:val="20"/>
                <w:color w:val="auto"/>
              </w:rPr>
            </w:pPr>
            <w:r>
              <w:rPr>
                <w:rFonts w:ascii="Arial" w:cs="Arial" w:eastAsia="Arial" w:hAnsi="Arial"/>
                <w:sz w:val="14"/>
                <w:szCs w:val="14"/>
                <w:color w:val="auto"/>
              </w:rPr>
              <w:t>995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vMerge w:val="restart"/>
          </w:tcPr>
          <w:p>
            <w:pPr>
              <w:jc w:val="right"/>
              <w:ind w:right="32"/>
              <w:spacing w:after="0"/>
              <w:rPr>
                <w:sz w:val="20"/>
                <w:szCs w:val="20"/>
                <w:color w:val="auto"/>
              </w:rPr>
            </w:pPr>
            <w:r>
              <w:rPr>
                <w:rFonts w:ascii="Arial" w:cs="Arial" w:eastAsia="Arial" w:hAnsi="Arial"/>
                <w:sz w:val="14"/>
                <w:szCs w:val="14"/>
                <w:color w:val="auto"/>
              </w:rPr>
              <w:t>995</w:t>
            </w:r>
          </w:p>
        </w:tc>
        <w:tc>
          <w:tcPr>
            <w:tcW w:w="12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Arial" w:cs="Arial" w:eastAsia="Arial" w:hAnsi="Arial"/>
                <w:sz w:val="14"/>
                <w:szCs w:val="14"/>
                <w:color w:val="auto"/>
                <w:w w:val="90"/>
              </w:rPr>
              <w:t>Indicative bid provided by a</w:t>
            </w:r>
          </w:p>
        </w:tc>
        <w:tc>
          <w:tcPr>
            <w:tcW w:w="0" w:type="dxa"/>
            <w:vAlign w:val="bottom"/>
          </w:tcPr>
          <w:p>
            <w:pPr>
              <w:spacing w:after="0"/>
              <w:rPr>
                <w:sz w:val="1"/>
                <w:szCs w:val="1"/>
                <w:color w:val="auto"/>
              </w:rPr>
            </w:pPr>
          </w:p>
        </w:tc>
      </w:tr>
      <w:tr>
        <w:trPr>
          <w:trHeight w:val="105"/>
        </w:trPr>
        <w:tc>
          <w:tcPr>
            <w:tcW w:w="26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vMerge w:val="restart"/>
          </w:tcPr>
          <w:p>
            <w:pPr>
              <w:ind w:left="20"/>
              <w:spacing w:after="0"/>
              <w:rPr>
                <w:sz w:val="20"/>
                <w:szCs w:val="20"/>
                <w:color w:val="auto"/>
              </w:rPr>
            </w:pPr>
            <w:r>
              <w:rPr>
                <w:rFonts w:ascii="Arial" w:cs="Arial" w:eastAsia="Arial" w:hAnsi="Arial"/>
                <w:sz w:val="14"/>
                <w:szCs w:val="14"/>
                <w:color w:val="auto"/>
              </w:rPr>
              <w:t>broker</w:t>
            </w: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-1036955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-693420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-350520</wp:posOffset>
            </wp:positionV>
            <wp:extent cx="7246620" cy="5060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5060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Weighted Average</w:t>
            </w:r>
          </w:p>
        </w:tc>
      </w:tr>
      <w:tr>
        <w:trPr>
          <w:trHeight w:val="352"/>
        </w:trPr>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ind w:left="140"/>
              <w:spacing w:after="0"/>
              <w:rPr>
                <w:sz w:val="20"/>
                <w:szCs w:val="20"/>
                <w:color w:val="auto"/>
              </w:rPr>
            </w:pPr>
            <w:r>
              <w:rPr>
                <w:rFonts w:ascii="Arial" w:cs="Arial" w:eastAsia="Arial" w:hAnsi="Arial"/>
                <w:sz w:val="14"/>
                <w:szCs w:val="14"/>
                <w:b w:val="1"/>
                <w:bCs w:val="1"/>
                <w:color w:val="auto"/>
                <w:w w:val="98"/>
              </w:rPr>
              <w:t>December 31,</w:t>
            </w:r>
          </w:p>
        </w:tc>
      </w:tr>
      <w:tr>
        <w:trPr>
          <w:trHeight w:val="182"/>
        </w:trPr>
        <w:tc>
          <w:tcPr>
            <w:tcW w:w="228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Unobservable Inputs</w:t>
            </w:r>
          </w:p>
        </w:tc>
        <w:tc>
          <w:tcPr>
            <w:tcW w:w="100" w:type="dxa"/>
            <w:vAlign w:val="bottom"/>
          </w:tcPr>
          <w:p>
            <w:pPr>
              <w:spacing w:after="0"/>
              <w:rPr>
                <w:sz w:val="15"/>
                <w:szCs w:val="15"/>
                <w:color w:val="auto"/>
              </w:rPr>
            </w:pPr>
          </w:p>
        </w:tc>
        <w:tc>
          <w:tcPr>
            <w:tcW w:w="11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Pr>
          <w:p>
            <w:pPr>
              <w:spacing w:after="0"/>
              <w:rPr>
                <w:sz w:val="15"/>
                <w:szCs w:val="15"/>
                <w:color w:val="auto"/>
              </w:rPr>
            </w:pPr>
          </w:p>
        </w:tc>
        <w:tc>
          <w:tcPr>
            <w:tcW w:w="106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2018</w:t>
            </w:r>
          </w:p>
        </w:tc>
      </w:tr>
      <w:tr>
        <w:trPr>
          <w:trHeight w:val="216"/>
        </w:trPr>
        <w:tc>
          <w:tcPr>
            <w:tcW w:w="2280" w:type="dxa"/>
            <w:vAlign w:val="bottom"/>
          </w:tcPr>
          <w:p>
            <w:pPr>
              <w:ind w:left="20"/>
              <w:spacing w:after="0"/>
              <w:rPr>
                <w:sz w:val="20"/>
                <w:szCs w:val="20"/>
                <w:color w:val="auto"/>
              </w:rPr>
            </w:pPr>
            <w:r>
              <w:rPr>
                <w:rFonts w:ascii="Arial" w:cs="Arial" w:eastAsia="Arial" w:hAnsi="Arial"/>
                <w:sz w:val="14"/>
                <w:szCs w:val="14"/>
                <w:color w:val="auto"/>
              </w:rPr>
              <w:t>Discount rate</w:t>
            </w:r>
          </w:p>
        </w:tc>
        <w:tc>
          <w:tcPr>
            <w:tcW w:w="1280" w:type="dxa"/>
            <w:vAlign w:val="bottom"/>
            <w:gridSpan w:val="2"/>
          </w:tcPr>
          <w:p>
            <w:pPr>
              <w:ind w:left="900"/>
              <w:spacing w:after="0"/>
              <w:rPr>
                <w:sz w:val="20"/>
                <w:szCs w:val="20"/>
                <w:color w:val="auto"/>
              </w:rPr>
            </w:pPr>
            <w:r>
              <w:rPr>
                <w:rFonts w:ascii="Arial" w:cs="Arial" w:eastAsia="Arial" w:hAnsi="Arial"/>
                <w:sz w:val="14"/>
                <w:szCs w:val="14"/>
                <w:color w:val="auto"/>
                <w:w w:val="90"/>
              </w:rPr>
              <w:t>13.6%</w:t>
            </w:r>
          </w:p>
        </w:tc>
        <w:tc>
          <w:tcPr>
            <w:tcW w:w="100" w:type="dxa"/>
            <w:vAlign w:val="bottom"/>
          </w:tcPr>
          <w:p>
            <w:pPr>
              <w:spacing w:after="0"/>
              <w:rPr>
                <w:sz w:val="18"/>
                <w:szCs w:val="18"/>
                <w:color w:val="auto"/>
              </w:rPr>
            </w:pPr>
          </w:p>
        </w:tc>
        <w:tc>
          <w:tcPr>
            <w:tcW w:w="1060" w:type="dxa"/>
            <w:vAlign w:val="bottom"/>
          </w:tcPr>
          <w:p>
            <w:pPr>
              <w:ind w:left="680"/>
              <w:spacing w:after="0"/>
              <w:rPr>
                <w:sz w:val="20"/>
                <w:szCs w:val="20"/>
                <w:color w:val="auto"/>
              </w:rPr>
            </w:pPr>
            <w:r>
              <w:rPr>
                <w:rFonts w:ascii="Arial" w:cs="Arial" w:eastAsia="Arial" w:hAnsi="Arial"/>
                <w:sz w:val="14"/>
                <w:szCs w:val="14"/>
                <w:color w:val="auto"/>
                <w:w w:val="90"/>
              </w:rPr>
              <w:t>14.5%</w:t>
            </w:r>
          </w:p>
        </w:tc>
      </w:tr>
      <w:tr>
        <w:trPr>
          <w:trHeight w:val="257"/>
        </w:trPr>
        <w:tc>
          <w:tcPr>
            <w:tcW w:w="2280" w:type="dxa"/>
            <w:vAlign w:val="bottom"/>
          </w:tcPr>
          <w:p>
            <w:pPr>
              <w:ind w:left="20"/>
              <w:spacing w:after="0"/>
              <w:rPr>
                <w:sz w:val="20"/>
                <w:szCs w:val="20"/>
                <w:color w:val="auto"/>
              </w:rPr>
            </w:pPr>
            <w:r>
              <w:rPr>
                <w:rFonts w:ascii="Arial" w:cs="Arial" w:eastAsia="Arial" w:hAnsi="Arial"/>
                <w:sz w:val="14"/>
                <w:szCs w:val="14"/>
                <w:color w:val="auto"/>
              </w:rPr>
              <w:t>Prepayment rate</w:t>
            </w:r>
          </w:p>
        </w:tc>
        <w:tc>
          <w:tcPr>
            <w:tcW w:w="1280" w:type="dxa"/>
            <w:vAlign w:val="bottom"/>
            <w:gridSpan w:val="2"/>
          </w:tcPr>
          <w:p>
            <w:pPr>
              <w:ind w:left="900"/>
              <w:spacing w:after="0"/>
              <w:rPr>
                <w:sz w:val="20"/>
                <w:szCs w:val="20"/>
                <w:color w:val="auto"/>
              </w:rPr>
            </w:pPr>
            <w:r>
              <w:rPr>
                <w:rFonts w:ascii="Arial" w:cs="Arial" w:eastAsia="Arial" w:hAnsi="Arial"/>
                <w:sz w:val="14"/>
                <w:szCs w:val="14"/>
                <w:color w:val="auto"/>
                <w:w w:val="90"/>
              </w:rPr>
              <w:t>12.5%</w:t>
            </w:r>
          </w:p>
        </w:tc>
        <w:tc>
          <w:tcPr>
            <w:tcW w:w="100" w:type="dxa"/>
            <w:vAlign w:val="bottom"/>
          </w:tcPr>
          <w:p>
            <w:pPr>
              <w:spacing w:after="0"/>
              <w:rPr>
                <w:sz w:val="22"/>
                <w:szCs w:val="22"/>
                <w:color w:val="auto"/>
              </w:rPr>
            </w:pPr>
          </w:p>
        </w:tc>
        <w:tc>
          <w:tcPr>
            <w:tcW w:w="1060" w:type="dxa"/>
            <w:vAlign w:val="bottom"/>
          </w:tcPr>
          <w:p>
            <w:pPr>
              <w:ind w:left="680"/>
              <w:spacing w:after="0"/>
              <w:rPr>
                <w:sz w:val="20"/>
                <w:szCs w:val="20"/>
                <w:color w:val="auto"/>
              </w:rPr>
            </w:pPr>
            <w:r>
              <w:rPr>
                <w:rFonts w:ascii="Arial" w:cs="Arial" w:eastAsia="Arial" w:hAnsi="Arial"/>
                <w:sz w:val="14"/>
                <w:szCs w:val="14"/>
                <w:color w:val="auto"/>
                <w:w w:val="90"/>
              </w:rPr>
              <w:t>12.1%</w:t>
            </w:r>
          </w:p>
        </w:tc>
      </w:tr>
      <w:tr>
        <w:trPr>
          <w:trHeight w:val="270"/>
        </w:trPr>
        <w:tc>
          <w:tcPr>
            <w:tcW w:w="2280" w:type="dxa"/>
            <w:vAlign w:val="bottom"/>
          </w:tcPr>
          <w:p>
            <w:pPr>
              <w:ind w:left="20"/>
              <w:spacing w:after="0"/>
              <w:rPr>
                <w:sz w:val="20"/>
                <w:szCs w:val="20"/>
                <w:color w:val="auto"/>
              </w:rPr>
            </w:pPr>
            <w:r>
              <w:rPr>
                <w:rFonts w:ascii="Arial" w:cs="Arial" w:eastAsia="Arial" w:hAnsi="Arial"/>
                <w:sz w:val="14"/>
                <w:szCs w:val="14"/>
                <w:color w:val="auto"/>
              </w:rPr>
              <w:t>Discount rate</w:t>
            </w:r>
          </w:p>
        </w:tc>
        <w:tc>
          <w:tcPr>
            <w:tcW w:w="1280" w:type="dxa"/>
            <w:vAlign w:val="bottom"/>
            <w:gridSpan w:val="2"/>
          </w:tcPr>
          <w:p>
            <w:pPr>
              <w:ind w:left="900"/>
              <w:spacing w:after="0"/>
              <w:rPr>
                <w:sz w:val="20"/>
                <w:szCs w:val="20"/>
                <w:color w:val="auto"/>
              </w:rPr>
            </w:pPr>
            <w:r>
              <w:rPr>
                <w:rFonts w:ascii="Arial" w:cs="Arial" w:eastAsia="Arial" w:hAnsi="Arial"/>
                <w:sz w:val="14"/>
                <w:szCs w:val="14"/>
                <w:color w:val="auto"/>
                <w:w w:val="90"/>
              </w:rPr>
              <w:t>10.0%</w:t>
            </w:r>
          </w:p>
        </w:tc>
        <w:tc>
          <w:tcPr>
            <w:tcW w:w="100" w:type="dxa"/>
            <w:vAlign w:val="bottom"/>
          </w:tcPr>
          <w:p>
            <w:pPr>
              <w:spacing w:after="0"/>
              <w:rPr>
                <w:sz w:val="23"/>
                <w:szCs w:val="23"/>
                <w:color w:val="auto"/>
              </w:rPr>
            </w:pPr>
          </w:p>
        </w:tc>
        <w:tc>
          <w:tcPr>
            <w:tcW w:w="1060" w:type="dxa"/>
            <w:vAlign w:val="bottom"/>
          </w:tcPr>
          <w:p>
            <w:pPr>
              <w:ind w:left="680"/>
              <w:spacing w:after="0"/>
              <w:rPr>
                <w:sz w:val="20"/>
                <w:szCs w:val="20"/>
                <w:color w:val="auto"/>
              </w:rPr>
            </w:pPr>
            <w:r>
              <w:rPr>
                <w:rFonts w:ascii="Arial" w:cs="Arial" w:eastAsia="Arial" w:hAnsi="Arial"/>
                <w:sz w:val="14"/>
                <w:szCs w:val="14"/>
                <w:color w:val="auto"/>
                <w:w w:val="90"/>
              </w:rPr>
              <w:t>10.0%</w:t>
            </w:r>
          </w:p>
        </w:tc>
      </w:tr>
      <w:tr>
        <w:trPr>
          <w:trHeight w:val="270"/>
        </w:trPr>
        <w:tc>
          <w:tcPr>
            <w:tcW w:w="2280" w:type="dxa"/>
            <w:vAlign w:val="bottom"/>
          </w:tcPr>
          <w:p>
            <w:pPr>
              <w:ind w:left="20"/>
              <w:spacing w:after="0"/>
              <w:rPr>
                <w:sz w:val="20"/>
                <w:szCs w:val="20"/>
                <w:color w:val="auto"/>
              </w:rPr>
            </w:pPr>
            <w:r>
              <w:rPr>
                <w:rFonts w:ascii="Arial" w:cs="Arial" w:eastAsia="Arial" w:hAnsi="Arial"/>
                <w:sz w:val="14"/>
                <w:szCs w:val="14"/>
                <w:color w:val="auto"/>
              </w:rPr>
              <w:t>Prepayment rate</w:t>
            </w:r>
          </w:p>
        </w:tc>
        <w:tc>
          <w:tcPr>
            <w:tcW w:w="1280" w:type="dxa"/>
            <w:vAlign w:val="bottom"/>
            <w:gridSpan w:val="2"/>
          </w:tcPr>
          <w:p>
            <w:pPr>
              <w:ind w:left="900"/>
              <w:spacing w:after="0"/>
              <w:rPr>
                <w:sz w:val="20"/>
                <w:szCs w:val="20"/>
                <w:color w:val="auto"/>
              </w:rPr>
            </w:pPr>
            <w:r>
              <w:rPr>
                <w:rFonts w:ascii="Arial" w:cs="Arial" w:eastAsia="Arial" w:hAnsi="Arial"/>
                <w:sz w:val="14"/>
                <w:szCs w:val="14"/>
                <w:color w:val="auto"/>
                <w:w w:val="90"/>
              </w:rPr>
              <w:t>12.8%</w:t>
            </w:r>
          </w:p>
        </w:tc>
        <w:tc>
          <w:tcPr>
            <w:tcW w:w="100" w:type="dxa"/>
            <w:vAlign w:val="bottom"/>
          </w:tcPr>
          <w:p>
            <w:pPr>
              <w:spacing w:after="0"/>
              <w:rPr>
                <w:sz w:val="23"/>
                <w:szCs w:val="23"/>
                <w:color w:val="auto"/>
              </w:rPr>
            </w:pPr>
          </w:p>
        </w:tc>
        <w:tc>
          <w:tcPr>
            <w:tcW w:w="1060" w:type="dxa"/>
            <w:vAlign w:val="bottom"/>
          </w:tcPr>
          <w:p>
            <w:pPr>
              <w:ind w:left="680"/>
              <w:spacing w:after="0"/>
              <w:rPr>
                <w:sz w:val="20"/>
                <w:szCs w:val="20"/>
                <w:color w:val="auto"/>
              </w:rPr>
            </w:pPr>
            <w:r>
              <w:rPr>
                <w:rFonts w:ascii="Arial" w:cs="Arial" w:eastAsia="Arial" w:hAnsi="Arial"/>
                <w:sz w:val="14"/>
                <w:szCs w:val="14"/>
                <w:color w:val="auto"/>
                <w:w w:val="90"/>
              </w:rPr>
              <w:t>10.6%</w:t>
            </w:r>
          </w:p>
        </w:tc>
      </w:tr>
      <w:tr>
        <w:trPr>
          <w:trHeight w:val="219"/>
        </w:trPr>
        <w:tc>
          <w:tcPr>
            <w:tcW w:w="2280" w:type="dxa"/>
            <w:vAlign w:val="bottom"/>
          </w:tcPr>
          <w:p>
            <w:pPr>
              <w:ind w:left="20"/>
              <w:spacing w:after="0"/>
              <w:rPr>
                <w:sz w:val="20"/>
                <w:szCs w:val="20"/>
                <w:color w:val="auto"/>
              </w:rPr>
            </w:pPr>
            <w:r>
              <w:rPr>
                <w:rFonts w:ascii="Arial" w:cs="Arial" w:eastAsia="Arial" w:hAnsi="Arial"/>
                <w:sz w:val="14"/>
                <w:szCs w:val="14"/>
                <w:color w:val="auto"/>
              </w:rPr>
              <w:t>Multiple factors, including but not</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149"/>
        </w:trPr>
        <w:tc>
          <w:tcPr>
            <w:tcW w:w="2280" w:type="dxa"/>
            <w:vAlign w:val="bottom"/>
          </w:tcPr>
          <w:p>
            <w:pPr>
              <w:ind w:left="20"/>
              <w:spacing w:after="0" w:line="149" w:lineRule="exact"/>
              <w:rPr>
                <w:sz w:val="20"/>
                <w:szCs w:val="20"/>
                <w:color w:val="auto"/>
              </w:rPr>
            </w:pPr>
            <w:r>
              <w:rPr>
                <w:rFonts w:ascii="Arial" w:cs="Arial" w:eastAsia="Arial" w:hAnsi="Arial"/>
                <w:sz w:val="14"/>
                <w:szCs w:val="14"/>
                <w:color w:val="auto"/>
                <w:w w:val="94"/>
              </w:rPr>
              <w:t>limited to, current operations, financial</w:t>
            </w: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9"/>
        </w:trPr>
        <w:tc>
          <w:tcPr>
            <w:tcW w:w="2280" w:type="dxa"/>
            <w:vAlign w:val="bottom"/>
          </w:tcPr>
          <w:p>
            <w:pPr>
              <w:ind w:left="20"/>
              <w:spacing w:after="0" w:line="149" w:lineRule="exact"/>
              <w:rPr>
                <w:sz w:val="20"/>
                <w:szCs w:val="20"/>
                <w:color w:val="auto"/>
              </w:rPr>
            </w:pPr>
            <w:r>
              <w:rPr>
                <w:rFonts w:ascii="Arial" w:cs="Arial" w:eastAsia="Arial" w:hAnsi="Arial"/>
                <w:sz w:val="14"/>
                <w:szCs w:val="14"/>
                <w:color w:val="auto"/>
              </w:rPr>
              <w:t>condition, cash flows, and recently</w:t>
            </w:r>
          </w:p>
        </w:tc>
        <w:tc>
          <w:tcPr>
            <w:tcW w:w="100" w:type="dxa"/>
            <w:vAlign w:val="bottom"/>
          </w:tcPr>
          <w:p>
            <w:pPr>
              <w:spacing w:after="0"/>
              <w:rPr>
                <w:sz w:val="12"/>
                <w:szCs w:val="12"/>
                <w:color w:val="auto"/>
              </w:rPr>
            </w:pPr>
          </w:p>
        </w:tc>
        <w:tc>
          <w:tcPr>
            <w:tcW w:w="1280" w:type="dxa"/>
            <w:vAlign w:val="bottom"/>
            <w:gridSpan w:val="2"/>
          </w:tcPr>
          <w:p>
            <w:pPr>
              <w:ind w:left="800"/>
              <w:spacing w:after="0" w:line="149" w:lineRule="exact"/>
              <w:rPr>
                <w:sz w:val="20"/>
                <w:szCs w:val="20"/>
                <w:color w:val="auto"/>
              </w:rPr>
            </w:pPr>
            <w:r>
              <w:rPr>
                <w:rFonts w:ascii="Arial" w:cs="Arial" w:eastAsia="Arial" w:hAnsi="Arial"/>
                <w:sz w:val="14"/>
                <w:szCs w:val="14"/>
                <w:color w:val="auto"/>
              </w:rPr>
              <w:t>N/A</w:t>
            </w:r>
          </w:p>
        </w:tc>
        <w:tc>
          <w:tcPr>
            <w:tcW w:w="1060" w:type="dxa"/>
            <w:vAlign w:val="bottom"/>
          </w:tcPr>
          <w:p>
            <w:pPr>
              <w:ind w:left="680"/>
              <w:spacing w:after="0" w:line="149" w:lineRule="exact"/>
              <w:rPr>
                <w:sz w:val="20"/>
                <w:szCs w:val="20"/>
                <w:color w:val="auto"/>
              </w:rPr>
            </w:pPr>
            <w:r>
              <w:rPr>
                <w:rFonts w:ascii="Arial" w:cs="Arial" w:eastAsia="Arial" w:hAnsi="Arial"/>
                <w:sz w:val="14"/>
                <w:szCs w:val="14"/>
                <w:color w:val="auto"/>
              </w:rPr>
              <w:t>N/A</w:t>
            </w:r>
          </w:p>
        </w:tc>
      </w:tr>
      <w:tr>
        <w:trPr>
          <w:trHeight w:val="149"/>
        </w:trPr>
        <w:tc>
          <w:tcPr>
            <w:tcW w:w="2280" w:type="dxa"/>
            <w:vAlign w:val="bottom"/>
          </w:tcPr>
          <w:p>
            <w:pPr>
              <w:ind w:left="20"/>
              <w:spacing w:after="0" w:line="149" w:lineRule="exact"/>
              <w:rPr>
                <w:sz w:val="20"/>
                <w:szCs w:val="20"/>
                <w:color w:val="auto"/>
              </w:rPr>
            </w:pPr>
            <w:r>
              <w:rPr>
                <w:rFonts w:ascii="Arial" w:cs="Arial" w:eastAsia="Arial" w:hAnsi="Arial"/>
                <w:sz w:val="14"/>
                <w:szCs w:val="14"/>
                <w:color w:val="auto"/>
                <w:w w:val="92"/>
              </w:rPr>
              <w:t>executed financing transactions related</w:t>
            </w: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72"/>
        </w:trPr>
        <w:tc>
          <w:tcPr>
            <w:tcW w:w="2280" w:type="dxa"/>
            <w:vAlign w:val="bottom"/>
          </w:tcPr>
          <w:p>
            <w:pPr>
              <w:ind w:left="20"/>
              <w:spacing w:after="0"/>
              <w:rPr>
                <w:sz w:val="20"/>
                <w:szCs w:val="20"/>
                <w:color w:val="auto"/>
              </w:rPr>
            </w:pPr>
            <w:r>
              <w:rPr>
                <w:rFonts w:ascii="Arial" w:cs="Arial" w:eastAsia="Arial" w:hAnsi="Arial"/>
                <w:sz w:val="14"/>
                <w:szCs w:val="14"/>
                <w:color w:val="auto"/>
              </w:rPr>
              <w:t>to the company</w:t>
            </w: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2">
            <w:col w:w="6580" w:space="120"/>
            <w:col w:w="4720"/>
          </w:cols>
          <w:pgMar w:left="240" w:top="121" w:right="239" w:bottom="1440" w:gutter="0" w:footer="0" w:header="0"/>
          <w:type w:val="continuous"/>
        </w:sectPr>
      </w:pP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Derivative assets - mortgage</w:t>
            </w:r>
          </w:p>
        </w:tc>
        <w:tc>
          <w:tcPr>
            <w:tcW w:w="126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4"/>
                <w:szCs w:val="14"/>
                <w:color w:val="auto"/>
              </w:rPr>
              <w:t>1,796</w:t>
            </w: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1,190</w:t>
            </w:r>
          </w:p>
        </w:tc>
        <w:tc>
          <w:tcPr>
            <w:tcW w:w="1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Internal model</w:t>
            </w:r>
          </w:p>
        </w:tc>
        <w:tc>
          <w:tcPr>
            <w:tcW w:w="2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Pull through rate</w:t>
            </w:r>
          </w:p>
        </w:tc>
        <w:tc>
          <w:tcPr>
            <w:tcW w:w="162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4"/>
                <w:szCs w:val="14"/>
                <w:color w:val="auto"/>
              </w:rPr>
              <w:t>78.9%</w:t>
            </w:r>
          </w:p>
        </w:tc>
        <w:tc>
          <w:tcPr>
            <w:tcW w:w="8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w w:val="90"/>
              </w:rPr>
              <w:t>80.7%</w:t>
            </w:r>
          </w:p>
        </w:tc>
      </w:tr>
      <w:tr>
        <w:trPr>
          <w:trHeight w:val="216"/>
        </w:trPr>
        <w:tc>
          <w:tcPr>
            <w:tcW w:w="2760" w:type="dxa"/>
            <w:vAlign w:val="bottom"/>
          </w:tcPr>
          <w:p>
            <w:pPr>
              <w:ind w:left="40"/>
              <w:spacing w:after="0"/>
              <w:rPr>
                <w:sz w:val="20"/>
                <w:szCs w:val="20"/>
                <w:color w:val="auto"/>
              </w:rPr>
            </w:pPr>
            <w:r>
              <w:rPr>
                <w:rFonts w:ascii="Arial" w:cs="Arial" w:eastAsia="Arial" w:hAnsi="Arial"/>
                <w:sz w:val="14"/>
                <w:szCs w:val="14"/>
                <w:color w:val="auto"/>
              </w:rPr>
              <w:t>Derivative assets - other</w:t>
            </w:r>
          </w:p>
        </w:tc>
        <w:tc>
          <w:tcPr>
            <w:tcW w:w="1260" w:type="dxa"/>
            <w:vAlign w:val="bottom"/>
          </w:tcPr>
          <w:p>
            <w:pPr>
              <w:jc w:val="right"/>
              <w:ind w:right="292"/>
              <w:spacing w:after="0"/>
              <w:rPr>
                <w:sz w:val="20"/>
                <w:szCs w:val="20"/>
                <w:color w:val="auto"/>
              </w:rPr>
            </w:pPr>
            <w:r>
              <w:rPr>
                <w:rFonts w:ascii="Arial" w:cs="Arial" w:eastAsia="Arial" w:hAnsi="Arial"/>
                <w:sz w:val="14"/>
                <w:szCs w:val="14"/>
                <w:color w:val="auto"/>
              </w:rPr>
              <w:t>7,765</w:t>
            </w: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10,651</w:t>
            </w:r>
          </w:p>
        </w:tc>
        <w:tc>
          <w:tcPr>
            <w:tcW w:w="1360" w:type="dxa"/>
            <w:vAlign w:val="bottom"/>
          </w:tcPr>
          <w:p>
            <w:pPr>
              <w:ind w:left="120"/>
              <w:spacing w:after="0"/>
              <w:rPr>
                <w:sz w:val="20"/>
                <w:szCs w:val="20"/>
                <w:color w:val="auto"/>
              </w:rPr>
            </w:pPr>
            <w:r>
              <w:rPr>
                <w:rFonts w:ascii="Arial" w:cs="Arial" w:eastAsia="Arial" w:hAnsi="Arial"/>
                <w:sz w:val="14"/>
                <w:szCs w:val="14"/>
                <w:color w:val="auto"/>
              </w:rPr>
              <w:t>Dealer priced</w:t>
            </w:r>
          </w:p>
        </w:tc>
        <w:tc>
          <w:tcPr>
            <w:tcW w:w="2740" w:type="dxa"/>
            <w:vAlign w:val="bottom"/>
          </w:tcPr>
          <w:p>
            <w:pPr>
              <w:ind w:left="460"/>
              <w:spacing w:after="0"/>
              <w:rPr>
                <w:sz w:val="20"/>
                <w:szCs w:val="20"/>
                <w:color w:val="auto"/>
              </w:rPr>
            </w:pPr>
            <w:r>
              <w:rPr>
                <w:rFonts w:ascii="Arial" w:cs="Arial" w:eastAsia="Arial" w:hAnsi="Arial"/>
                <w:sz w:val="14"/>
                <w:szCs w:val="14"/>
                <w:color w:val="auto"/>
              </w:rPr>
              <w:t>Dealer priced</w:t>
            </w:r>
          </w:p>
        </w:tc>
        <w:tc>
          <w:tcPr>
            <w:tcW w:w="1620" w:type="dxa"/>
            <w:vAlign w:val="bottom"/>
          </w:tcPr>
          <w:p>
            <w:pPr>
              <w:ind w:left="880"/>
              <w:spacing w:after="0"/>
              <w:rPr>
                <w:sz w:val="20"/>
                <w:szCs w:val="20"/>
                <w:color w:val="auto"/>
              </w:rPr>
            </w:pPr>
            <w:r>
              <w:rPr>
                <w:rFonts w:ascii="Arial" w:cs="Arial" w:eastAsia="Arial" w:hAnsi="Arial"/>
                <w:sz w:val="14"/>
                <w:szCs w:val="14"/>
                <w:color w:val="auto"/>
              </w:rPr>
              <w:t>N/A</w:t>
            </w:r>
          </w:p>
        </w:tc>
        <w:tc>
          <w:tcPr>
            <w:tcW w:w="800" w:type="dxa"/>
            <w:vAlign w:val="bottom"/>
          </w:tcPr>
          <w:p>
            <w:pPr>
              <w:ind w:left="420"/>
              <w:spacing w:after="0"/>
              <w:rPr>
                <w:sz w:val="20"/>
                <w:szCs w:val="20"/>
                <w:color w:val="auto"/>
              </w:rPr>
            </w:pPr>
            <w:r>
              <w:rPr>
                <w:rFonts w:ascii="Arial" w:cs="Arial" w:eastAsia="Arial" w:hAnsi="Arial"/>
                <w:sz w:val="14"/>
                <w:szCs w:val="14"/>
                <w:color w:val="auto"/>
              </w:rPr>
              <w:t>N/A</w:t>
            </w:r>
          </w:p>
        </w:tc>
      </w:tr>
      <w:tr>
        <w:trPr>
          <w:trHeight w:val="55"/>
        </w:trPr>
        <w:tc>
          <w:tcPr>
            <w:tcW w:w="27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62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Derivative liabilities - risk participations</w:t>
            </w:r>
          </w:p>
        </w:tc>
        <w:tc>
          <w:tcPr>
            <w:tcW w:w="126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4"/>
                <w:szCs w:val="14"/>
                <w:color w:val="auto"/>
              </w:rPr>
              <w:t>6</w:t>
            </w: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8</w:t>
            </w:r>
          </w:p>
        </w:tc>
        <w:tc>
          <w:tcPr>
            <w:tcW w:w="1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Internal model</w:t>
            </w:r>
          </w:p>
        </w:tc>
        <w:tc>
          <w:tcPr>
            <w:tcW w:w="2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Probable exposure rate</w:t>
            </w:r>
          </w:p>
        </w:tc>
        <w:tc>
          <w:tcPr>
            <w:tcW w:w="162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4"/>
                <w:szCs w:val="14"/>
                <w:color w:val="auto"/>
              </w:rPr>
              <w:t>0.37%</w:t>
            </w:r>
          </w:p>
        </w:tc>
        <w:tc>
          <w:tcPr>
            <w:tcW w:w="8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w w:val="90"/>
              </w:rPr>
              <w:t>0.44%</w:t>
            </w:r>
          </w:p>
        </w:tc>
      </w:tr>
      <w:tr>
        <w:trPr>
          <w:trHeight w:val="216"/>
        </w:trPr>
        <w:tc>
          <w:tcPr>
            <w:tcW w:w="2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740" w:type="dxa"/>
            <w:vAlign w:val="bottom"/>
          </w:tcPr>
          <w:p>
            <w:pPr>
              <w:ind w:left="460"/>
              <w:spacing w:after="0"/>
              <w:rPr>
                <w:sz w:val="20"/>
                <w:szCs w:val="20"/>
                <w:color w:val="auto"/>
              </w:rPr>
            </w:pPr>
            <w:r>
              <w:rPr>
                <w:rFonts w:ascii="Arial" w:cs="Arial" w:eastAsia="Arial" w:hAnsi="Arial"/>
                <w:sz w:val="14"/>
                <w:szCs w:val="14"/>
                <w:color w:val="auto"/>
              </w:rPr>
              <w:t>Probability of default rate</w:t>
            </w:r>
          </w:p>
        </w:tc>
        <w:tc>
          <w:tcPr>
            <w:tcW w:w="1620" w:type="dxa"/>
            <w:vAlign w:val="bottom"/>
          </w:tcPr>
          <w:p>
            <w:pPr>
              <w:ind w:left="880"/>
              <w:spacing w:after="0"/>
              <w:rPr>
                <w:sz w:val="20"/>
                <w:szCs w:val="20"/>
                <w:color w:val="auto"/>
              </w:rPr>
            </w:pPr>
            <w:r>
              <w:rPr>
                <w:rFonts w:ascii="Arial" w:cs="Arial" w:eastAsia="Arial" w:hAnsi="Arial"/>
                <w:sz w:val="14"/>
                <w:szCs w:val="14"/>
                <w:color w:val="auto"/>
              </w:rPr>
              <w:t>1.80%</w:t>
            </w:r>
          </w:p>
        </w:tc>
        <w:tc>
          <w:tcPr>
            <w:tcW w:w="800" w:type="dxa"/>
            <w:vAlign w:val="bottom"/>
          </w:tcPr>
          <w:p>
            <w:pPr>
              <w:ind w:left="420"/>
              <w:spacing w:after="0"/>
              <w:rPr>
                <w:sz w:val="20"/>
                <w:szCs w:val="20"/>
                <w:color w:val="auto"/>
              </w:rPr>
            </w:pPr>
            <w:r>
              <w:rPr>
                <w:rFonts w:ascii="Arial" w:cs="Arial" w:eastAsia="Arial" w:hAnsi="Arial"/>
                <w:sz w:val="14"/>
                <w:szCs w:val="14"/>
                <w:color w:val="auto"/>
                <w:w w:val="90"/>
              </w:rPr>
              <w:t>1.80%</w:t>
            </w:r>
          </w:p>
        </w:tc>
      </w:tr>
      <w:tr>
        <w:trPr>
          <w:trHeight w:val="55"/>
        </w:trPr>
        <w:tc>
          <w:tcPr>
            <w:tcW w:w="27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62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16"/>
        </w:trPr>
        <w:tc>
          <w:tcPr>
            <w:tcW w:w="2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Derivative liabilities - other</w:t>
            </w:r>
          </w:p>
        </w:tc>
        <w:tc>
          <w:tcPr>
            <w:tcW w:w="1260" w:type="dxa"/>
            <w:vAlign w:val="bottom"/>
            <w:shd w:val="clear" w:color="auto" w:fill="CCEEFF"/>
          </w:tcPr>
          <w:p>
            <w:pPr>
              <w:jc w:val="right"/>
              <w:ind w:right="292"/>
              <w:spacing w:after="0"/>
              <w:rPr>
                <w:sz w:val="20"/>
                <w:szCs w:val="20"/>
                <w:color w:val="auto"/>
              </w:rPr>
            </w:pPr>
            <w:r>
              <w:rPr>
                <w:rFonts w:ascii="Arial" w:cs="Arial" w:eastAsia="Arial" w:hAnsi="Arial"/>
                <w:sz w:val="14"/>
                <w:szCs w:val="14"/>
                <w:color w:val="auto"/>
              </w:rPr>
              <w:t>11,438</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15,724</w:t>
            </w:r>
          </w:p>
        </w:tc>
        <w:tc>
          <w:tcPr>
            <w:tcW w:w="1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Dealer priced</w:t>
            </w:r>
          </w:p>
        </w:tc>
        <w:tc>
          <w:tcPr>
            <w:tcW w:w="27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Dealer priced</w:t>
            </w:r>
          </w:p>
        </w:tc>
        <w:tc>
          <w:tcPr>
            <w:tcW w:w="1620" w:type="dxa"/>
            <w:vAlign w:val="bottom"/>
            <w:shd w:val="clear" w:color="auto" w:fill="CCEEFF"/>
          </w:tcPr>
          <w:p>
            <w:pPr>
              <w:ind w:left="880"/>
              <w:spacing w:after="0"/>
              <w:rPr>
                <w:sz w:val="20"/>
                <w:szCs w:val="20"/>
                <w:color w:val="auto"/>
              </w:rPr>
            </w:pPr>
            <w:r>
              <w:rPr>
                <w:rFonts w:ascii="Arial" w:cs="Arial" w:eastAsia="Arial" w:hAnsi="Arial"/>
                <w:sz w:val="14"/>
                <w:szCs w:val="14"/>
                <w:color w:val="auto"/>
              </w:rPr>
              <w:t>N/A</w:t>
            </w:r>
          </w:p>
        </w:tc>
        <w:tc>
          <w:tcPr>
            <w:tcW w:w="8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N/A</w:t>
            </w:r>
          </w:p>
        </w:tc>
      </w:tr>
      <w:tr>
        <w:trPr>
          <w:trHeight w:val="55"/>
        </w:trPr>
        <w:tc>
          <w:tcPr>
            <w:tcW w:w="2760" w:type="dxa"/>
            <w:vAlign w:val="bottom"/>
            <w:shd w:val="clear" w:color="auto" w:fill="CCEEFF"/>
          </w:tcPr>
          <w:p>
            <w:pPr>
              <w:spacing w:after="0"/>
              <w:rPr>
                <w:sz w:val="4"/>
                <w:szCs w:val="4"/>
                <w:color w:val="auto"/>
              </w:rPr>
            </w:pPr>
          </w:p>
        </w:tc>
        <w:tc>
          <w:tcPr>
            <w:tcW w:w="126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1360" w:type="dxa"/>
            <w:vAlign w:val="bottom"/>
            <w:shd w:val="clear" w:color="auto" w:fill="CCEEFF"/>
          </w:tcPr>
          <w:p>
            <w:pPr>
              <w:spacing w:after="0"/>
              <w:rPr>
                <w:sz w:val="4"/>
                <w:szCs w:val="4"/>
                <w:color w:val="auto"/>
              </w:rPr>
            </w:pPr>
          </w:p>
        </w:tc>
        <w:tc>
          <w:tcPr>
            <w:tcW w:w="2740" w:type="dxa"/>
            <w:vAlign w:val="bottom"/>
            <w:shd w:val="clear" w:color="auto" w:fill="CCEEFF"/>
          </w:tcPr>
          <w:p>
            <w:pPr>
              <w:spacing w:after="0"/>
              <w:rPr>
                <w:sz w:val="4"/>
                <w:szCs w:val="4"/>
                <w:color w:val="auto"/>
              </w:rPr>
            </w:pPr>
          </w:p>
        </w:tc>
        <w:tc>
          <w:tcPr>
            <w:tcW w:w="162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Option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At March 31, 2019, mortgage loans held for sale for which the fair value option was elected had an aggregate fair value and outstanding principal balance of $26.3 million and $25.3 million, respectively. At December 31, 2018, mortgage loans held for sale for which the fair value option was elected had an aggregate fair value and outstanding principal balance of $18.9 million and $18.2 million, respectively. Interest income on these loans is calculated based on the note rate of the loan and is recorded in interest revenue. During the three months ended March 31, 2019, changes in fair value of these loans resulted in net gains of $306,000. During the three months ended March 31, 2018, changes in fair value of these loans resulted in net losses of $72,000. Gains and losses resulting from the change in fair value of these loans are recorded in mortgage loan and other related fees. These changes in fair value were mostly offset by hedging activities. An immaterial portion of these amounts was attributable to changes in instrument-specific credit risk.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Assets and Liabilities Measured at Fair Value on a Nonrecurring Basis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United may be required, from time to time, to measure certain assets at fair value on a nonrecurring basis. These adjustments to fair value usually result from the application of the lower of the amortized cost or fair value accounting or write-downs of individual assets due to impairment. The following table presents the fair value hierarchy and carrying value of all assets that were still held as of March 31, 2019 and December 31, 2018, for which a nonrecurring fair value adjustment was recorded during the year-to-date periods presented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1</w:t>
            </w:r>
          </w:p>
        </w:tc>
        <w:tc>
          <w:tcPr>
            <w:tcW w:w="18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3</w:t>
            </w:r>
          </w:p>
        </w:tc>
        <w:tc>
          <w:tcPr>
            <w:tcW w:w="220" w:type="dxa"/>
            <w:vAlign w:val="bottom"/>
          </w:tcPr>
          <w:p>
            <w:pPr>
              <w:spacing w:after="0"/>
              <w:rPr>
                <w:sz w:val="18"/>
                <w:szCs w:val="18"/>
                <w:color w:val="auto"/>
              </w:rPr>
            </w:pPr>
          </w:p>
        </w:tc>
        <w:tc>
          <w:tcPr>
            <w:tcW w:w="250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r>
      <w:tr>
        <w:trPr>
          <w:trHeight w:val="33"/>
        </w:trPr>
        <w:tc>
          <w:tcPr>
            <w:tcW w:w="162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50"/>
        </w:trPr>
        <w:tc>
          <w:tcPr>
            <w:tcW w:w="162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March 31, 2019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17"/>
        </w:trPr>
        <w:tc>
          <w:tcPr>
            <w:tcW w:w="1620" w:type="dxa"/>
            <w:vAlign w:val="bottom"/>
          </w:tcPr>
          <w:p>
            <w:pPr>
              <w:spacing w:after="0"/>
              <w:rPr>
                <w:sz w:val="18"/>
                <w:szCs w:val="18"/>
                <w:color w:val="auto"/>
              </w:rPr>
            </w:pPr>
          </w:p>
        </w:tc>
        <w:tc>
          <w:tcPr>
            <w:tcW w:w="35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Loans</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1,286</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1,286</w:t>
            </w:r>
          </w:p>
        </w:tc>
        <w:tc>
          <w:tcPr>
            <w:tcW w:w="1700" w:type="dxa"/>
            <w:vAlign w:val="bottom"/>
          </w:tcPr>
          <w:p>
            <w:pPr>
              <w:spacing w:after="0"/>
              <w:rPr>
                <w:sz w:val="18"/>
                <w:szCs w:val="18"/>
                <w:color w:val="auto"/>
              </w:rPr>
            </w:pPr>
          </w:p>
        </w:tc>
      </w:tr>
      <w:tr>
        <w:trPr>
          <w:trHeight w:val="33"/>
        </w:trPr>
        <w:tc>
          <w:tcPr>
            <w:tcW w:w="16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84"/>
        </w:trPr>
        <w:tc>
          <w:tcPr>
            <w:tcW w:w="1620" w:type="dxa"/>
            <w:vAlign w:val="bottom"/>
            <w:shd w:val="clear" w:color="auto" w:fill="CCEEFF"/>
          </w:tcPr>
          <w:p>
            <w:pPr>
              <w:spacing w:after="0"/>
              <w:rPr>
                <w:sz w:val="24"/>
                <w:szCs w:val="24"/>
                <w:color w:val="auto"/>
              </w:rPr>
            </w:pPr>
          </w:p>
        </w:tc>
        <w:tc>
          <w:tcPr>
            <w:tcW w:w="3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r>
      <w:tr>
        <w:trPr>
          <w:trHeight w:val="237"/>
        </w:trPr>
        <w:tc>
          <w:tcPr>
            <w:tcW w:w="1620" w:type="dxa"/>
            <w:vAlign w:val="bottom"/>
          </w:tcPr>
          <w:p>
            <w:pPr>
              <w:spacing w:after="0"/>
              <w:rPr>
                <w:sz w:val="20"/>
                <w:szCs w:val="20"/>
                <w:color w:val="auto"/>
              </w:rPr>
            </w:pPr>
          </w:p>
        </w:tc>
        <w:tc>
          <w:tcPr>
            <w:tcW w:w="3540" w:type="dxa"/>
            <w:vAlign w:val="bottom"/>
          </w:tcPr>
          <w:p>
            <w:pPr>
              <w:ind w:left="20"/>
              <w:spacing w:after="0"/>
              <w:rPr>
                <w:sz w:val="20"/>
                <w:szCs w:val="20"/>
                <w:color w:val="auto"/>
              </w:rPr>
            </w:pPr>
            <w:r>
              <w:rPr>
                <w:rFonts w:ascii="Arial" w:cs="Arial" w:eastAsia="Arial" w:hAnsi="Arial"/>
                <w:sz w:val="16"/>
                <w:szCs w:val="16"/>
                <w:b w:val="1"/>
                <w:bCs w:val="1"/>
                <w:color w:val="auto"/>
              </w:rPr>
              <w:t>December 31, 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17"/>
        </w:trPr>
        <w:tc>
          <w:tcPr>
            <w:tcW w:w="1620" w:type="dxa"/>
            <w:vAlign w:val="bottom"/>
            <w:shd w:val="clear" w:color="auto" w:fill="CCEEFF"/>
          </w:tcPr>
          <w:p>
            <w:pPr>
              <w:spacing w:after="0"/>
              <w:rPr>
                <w:sz w:val="18"/>
                <w:szCs w:val="18"/>
                <w:color w:val="auto"/>
              </w:rPr>
            </w:pPr>
          </w:p>
        </w:tc>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Loans</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8,631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8,631</w:t>
            </w:r>
          </w:p>
        </w:tc>
        <w:tc>
          <w:tcPr>
            <w:tcW w:w="1700" w:type="dxa"/>
            <w:vAlign w:val="bottom"/>
            <w:shd w:val="clear" w:color="auto" w:fill="CCEEFF"/>
          </w:tcPr>
          <w:p>
            <w:pPr>
              <w:spacing w:after="0"/>
              <w:rPr>
                <w:sz w:val="18"/>
                <w:szCs w:val="18"/>
                <w:color w:val="auto"/>
              </w:rPr>
            </w:pPr>
          </w:p>
        </w:tc>
      </w:tr>
      <w:tr>
        <w:trPr>
          <w:trHeight w:val="33"/>
        </w:trPr>
        <w:tc>
          <w:tcPr>
            <w:tcW w:w="1620" w:type="dxa"/>
            <w:vAlign w:val="bottom"/>
            <w:shd w:val="clear" w:color="auto" w:fill="CCEEFF"/>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Loans that are reported above as being measured at fair value on a nonrecurring basis are generally impaired loans that have either been partially charged off or have specific reserves assigned to them. Nonaccrual impaired loans that are collateral dependent are generally written down to 80% of appraised value which considers the estimated costs to sell. Specific reserves are established for impaired loans based on appraised value of collateral or discounted cash flows, although only those specific reserves based on the fair value of collateral are considered nonrecurring fair value adjustments.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type w:val="continuous"/>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Assets and Liabilities Not Measured at Fair Value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financial instruments that have quoted market prices, those quotes are used to determine fair value. Financial instruments that have no defined maturity, have a remaining maturity of 180 days or less, or reprice frequently to a market rate, are assumed to have a fair value that approximates reported book value, after taking into consideration any applicable credit risk. If no market quotes are available, financial instruments are valued by discounting the expected cash flows using an estimated current market interest rate for the financial instrument. For off-balance sheet derivative instruments, fair value is estimated as the amount that United would receive or pay to terminate the contracts at the reporting date, taking into account the current unrealized gains or losses on open contracts.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and repurchase agreements have short maturities and therefore the carrying value approximates fair value. Due to the short-term settlement of accrued interest receivable and payable, the carrying amount closely approximates fair value.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All estimates are inherently subjective in nature. Changes in assumptions could significantly affect the estimates.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Fair value estimates are based on existing on and off-balance sheet financial instruments without attempting to estimate the value of anticipated future business and the value of assets and liabilities that are not considered financial instruments. Significant assets and liabilities that are not considered financial instruments include the mortgage banking operation, brokerage network, deferred income taxes, premises and equipment and goodwill. In addition, the tax ramifications related to the realization of the unrealized gains and losses can have a significant effect on fair value estimates and have not been considered in the estimates.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Off-balance sheet instruments (commitments to extend credit and standby letters of credit) for which draws can be reasonably predicted are generally short-term in maturity and are priced at variable rates. Therefore, the estimated fair value associated with these instruments is immaterial.</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carrying amount and fair values as of the dates indicated for other financial instruments that are not measured at fair value on a recurring basis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Fair Value Level</w:t>
            </w: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4"/>
                <w:szCs w:val="14"/>
                <w:b w:val="1"/>
                <w:bCs w:val="1"/>
                <w:color w:val="auto"/>
              </w:rPr>
              <w:t>Carrying Amount</w:t>
            </w:r>
          </w:p>
        </w:tc>
        <w:tc>
          <w:tcPr>
            <w:tcW w:w="280" w:type="dxa"/>
            <w:vAlign w:val="bottom"/>
          </w:tcPr>
          <w:p>
            <w:pPr>
              <w:spacing w:after="0"/>
              <w:rPr>
                <w:sz w:val="22"/>
                <w:szCs w:val="22"/>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22"/>
                <w:szCs w:val="22"/>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440" w:type="dxa"/>
            <w:vAlign w:val="bottom"/>
          </w:tcPr>
          <w:p>
            <w:pPr>
              <w:spacing w:after="0"/>
              <w:rPr>
                <w:sz w:val="22"/>
                <w:szCs w:val="22"/>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22"/>
                <w:szCs w:val="22"/>
                <w:color w:val="auto"/>
              </w:rPr>
            </w:pPr>
          </w:p>
        </w:tc>
        <w:tc>
          <w:tcPr>
            <w:tcW w:w="1040" w:type="dxa"/>
            <w:vAlign w:val="bottom"/>
          </w:tcPr>
          <w:p>
            <w:pPr>
              <w:jc w:val="right"/>
              <w:ind w:right="448"/>
              <w:spacing w:after="0"/>
              <w:rPr>
                <w:sz w:val="20"/>
                <w:szCs w:val="20"/>
                <w:color w:val="auto"/>
              </w:rPr>
            </w:pPr>
            <w:r>
              <w:rPr>
                <w:rFonts w:ascii="Arial" w:cs="Arial" w:eastAsia="Arial" w:hAnsi="Arial"/>
                <w:sz w:val="14"/>
                <w:szCs w:val="14"/>
                <w:b w:val="1"/>
                <w:bCs w:val="1"/>
                <w:color w:val="auto"/>
              </w:rPr>
              <w:t>Total</w:t>
            </w:r>
          </w:p>
        </w:tc>
      </w:tr>
      <w:tr>
        <w:trPr>
          <w:trHeight w:val="250"/>
        </w:trPr>
        <w:tc>
          <w:tcPr>
            <w:tcW w:w="3900" w:type="dxa"/>
            <w:vAlign w:val="bottom"/>
            <w:tcBorders>
              <w:top w:val="single" w:sz="8" w:color="CCEEFF"/>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r>
      <w:tr>
        <w:trPr>
          <w:trHeight w:val="250"/>
        </w:trPr>
        <w:tc>
          <w:tcPr>
            <w:tcW w:w="3900" w:type="dxa"/>
            <w:vAlign w:val="bottom"/>
          </w:tcPr>
          <w:p>
            <w:pPr>
              <w:ind w:left="40"/>
              <w:spacing w:after="0"/>
              <w:rPr>
                <w:sz w:val="20"/>
                <w:szCs w:val="20"/>
                <w:color w:val="auto"/>
              </w:rPr>
            </w:pPr>
            <w:r>
              <w:rPr>
                <w:rFonts w:ascii="Arial" w:cs="Arial" w:eastAsia="Arial" w:hAnsi="Arial"/>
                <w:sz w:val="14"/>
                <w:szCs w:val="14"/>
                <w:color w:val="auto"/>
              </w:rPr>
              <w:t>Assets: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6"/>
        </w:trPr>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Securities held to maturity</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265,329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265,117</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265,117</w:t>
            </w:r>
          </w:p>
        </w:tc>
      </w:tr>
      <w:tr>
        <w:trPr>
          <w:trHeight w:val="264"/>
        </w:trPr>
        <w:tc>
          <w:tcPr>
            <w:tcW w:w="3900" w:type="dxa"/>
            <w:vAlign w:val="bottom"/>
          </w:tcPr>
          <w:p>
            <w:pPr>
              <w:ind w:left="180"/>
              <w:spacing w:after="0"/>
              <w:rPr>
                <w:sz w:val="20"/>
                <w:szCs w:val="20"/>
                <w:color w:val="auto"/>
              </w:rPr>
            </w:pPr>
            <w:r>
              <w:rPr>
                <w:rFonts w:ascii="Arial" w:cs="Arial" w:eastAsia="Arial" w:hAnsi="Arial"/>
                <w:sz w:val="14"/>
                <w:szCs w:val="14"/>
                <w:color w:val="auto"/>
              </w:rPr>
              <w:t>Loans and leases, net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8,431,612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8,401,018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8,401,018</w:t>
            </w:r>
          </w:p>
        </w:tc>
      </w:tr>
      <w:tr>
        <w:trPr>
          <w:trHeight w:val="290"/>
        </w:trPr>
        <w:tc>
          <w:tcPr>
            <w:tcW w:w="3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3900" w:type="dxa"/>
            <w:vAlign w:val="bottom"/>
          </w:tcPr>
          <w:p>
            <w:pPr>
              <w:ind w:left="40"/>
              <w:spacing w:after="0"/>
              <w:rPr>
                <w:sz w:val="20"/>
                <w:szCs w:val="20"/>
                <w:color w:val="auto"/>
              </w:rPr>
            </w:pPr>
            <w:r>
              <w:rPr>
                <w:rFonts w:ascii="Arial" w:cs="Arial" w:eastAsia="Arial" w:hAnsi="Arial"/>
                <w:sz w:val="14"/>
                <w:szCs w:val="14"/>
                <w:color w:val="auto"/>
              </w:rPr>
              <w:t>Liabilities:</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Deposits</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10,534,306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10,527,436</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10,527,436</w:t>
            </w:r>
          </w:p>
        </w:tc>
      </w:tr>
      <w:tr>
        <w:trPr>
          <w:trHeight w:val="264"/>
        </w:trPr>
        <w:tc>
          <w:tcPr>
            <w:tcW w:w="3900" w:type="dxa"/>
            <w:vAlign w:val="bottom"/>
          </w:tcPr>
          <w:p>
            <w:pPr>
              <w:ind w:left="180"/>
              <w:spacing w:after="0"/>
              <w:rPr>
                <w:sz w:val="20"/>
                <w:szCs w:val="20"/>
                <w:color w:val="auto"/>
              </w:rPr>
            </w:pPr>
            <w:r>
              <w:rPr>
                <w:rFonts w:ascii="Arial" w:cs="Arial" w:eastAsia="Arial" w:hAnsi="Arial"/>
                <w:sz w:val="14"/>
                <w:szCs w:val="14"/>
                <w:color w:val="auto"/>
              </w:rPr>
              <w:t>Federal Home Loan Bank advances</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40,000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39,998</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39,998</w:t>
            </w:r>
          </w:p>
        </w:tc>
      </w:tr>
      <w:tr>
        <w:trPr>
          <w:trHeight w:val="276"/>
        </w:trPr>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Long-term debt</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257,259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266,468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266,468</w:t>
            </w:r>
          </w:p>
        </w:tc>
      </w:tr>
      <w:tr>
        <w:trPr>
          <w:trHeight w:val="284"/>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4"/>
        </w:trPr>
        <w:tc>
          <w:tcPr>
            <w:tcW w:w="39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50"/>
        </w:trPr>
        <w:tc>
          <w:tcPr>
            <w:tcW w:w="3900" w:type="dxa"/>
            <w:vAlign w:val="bottom"/>
          </w:tcPr>
          <w:p>
            <w:pPr>
              <w:ind w:left="40"/>
              <w:spacing w:after="0"/>
              <w:rPr>
                <w:sz w:val="20"/>
                <w:szCs w:val="20"/>
                <w:color w:val="auto"/>
              </w:rPr>
            </w:pPr>
            <w:r>
              <w:rPr>
                <w:rFonts w:ascii="Arial" w:cs="Arial" w:eastAsia="Arial" w:hAnsi="Arial"/>
                <w:sz w:val="14"/>
                <w:szCs w:val="14"/>
                <w:color w:val="auto"/>
              </w:rPr>
              <w:t>Assets: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6"/>
        </w:trPr>
        <w:tc>
          <w:tcPr>
            <w:tcW w:w="3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Securities held to maturity</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274,407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268,803</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268,803</w:t>
            </w:r>
          </w:p>
        </w:tc>
      </w:tr>
      <w:tr>
        <w:trPr>
          <w:trHeight w:val="264"/>
        </w:trPr>
        <w:tc>
          <w:tcPr>
            <w:tcW w:w="3900" w:type="dxa"/>
            <w:vAlign w:val="bottom"/>
          </w:tcPr>
          <w:p>
            <w:pPr>
              <w:ind w:left="280"/>
              <w:spacing w:after="0"/>
              <w:rPr>
                <w:sz w:val="20"/>
                <w:szCs w:val="20"/>
                <w:color w:val="auto"/>
              </w:rPr>
            </w:pPr>
            <w:r>
              <w:rPr>
                <w:rFonts w:ascii="Arial" w:cs="Arial" w:eastAsia="Arial" w:hAnsi="Arial"/>
                <w:sz w:val="14"/>
                <w:szCs w:val="14"/>
                <w:color w:val="auto"/>
              </w:rPr>
              <w:t>Loans and leases, net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8,322,198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8,277,387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8,277,387</w:t>
            </w:r>
          </w:p>
        </w:tc>
      </w:tr>
      <w:tr>
        <w:trPr>
          <w:trHeight w:val="290"/>
        </w:trPr>
        <w:tc>
          <w:tcPr>
            <w:tcW w:w="3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3900" w:type="dxa"/>
            <w:vAlign w:val="bottom"/>
          </w:tcPr>
          <w:p>
            <w:pPr>
              <w:ind w:left="40"/>
              <w:spacing w:after="0"/>
              <w:rPr>
                <w:sz w:val="20"/>
                <w:szCs w:val="20"/>
                <w:color w:val="auto"/>
              </w:rPr>
            </w:pPr>
            <w:r>
              <w:rPr>
                <w:rFonts w:ascii="Arial" w:cs="Arial" w:eastAsia="Arial" w:hAnsi="Arial"/>
                <w:sz w:val="14"/>
                <w:szCs w:val="14"/>
                <w:color w:val="auto"/>
              </w:rPr>
              <w:t>Liabilities:</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Deposits</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10,534,513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10,528,834</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10,528,834</w:t>
            </w:r>
          </w:p>
        </w:tc>
      </w:tr>
      <w:tr>
        <w:trPr>
          <w:trHeight w:val="264"/>
        </w:trPr>
        <w:tc>
          <w:tcPr>
            <w:tcW w:w="3900" w:type="dxa"/>
            <w:vAlign w:val="bottom"/>
          </w:tcPr>
          <w:p>
            <w:pPr>
              <w:ind w:left="180"/>
              <w:spacing w:after="0"/>
              <w:rPr>
                <w:sz w:val="20"/>
                <w:szCs w:val="20"/>
                <w:color w:val="auto"/>
              </w:rPr>
            </w:pPr>
            <w:r>
              <w:rPr>
                <w:rFonts w:ascii="Arial" w:cs="Arial" w:eastAsia="Arial" w:hAnsi="Arial"/>
                <w:sz w:val="14"/>
                <w:szCs w:val="14"/>
                <w:color w:val="auto"/>
              </w:rPr>
              <w:t>Federal Home Loan Bank advances</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160,000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159,988</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159,988</w:t>
            </w:r>
          </w:p>
        </w:tc>
      </w:tr>
      <w:tr>
        <w:trPr>
          <w:trHeight w:val="276"/>
        </w:trPr>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Long-term debt</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267,189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278,996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278,996</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is party to financial instruments with off-balance sheet risk in the normal course of business to meet the financing needs of its customers. These financial instruments include commitments to extend credit and letters of credit. These instruments involve, to varying degrees, elements of credit risk in excess of the amount recognized in the balance sheet. The contract amounts of these instruments reflect</w:t>
      </w:r>
    </w:p>
    <w:p>
      <w:pPr>
        <w:sectPr>
          <w:pgSz w:w="11900" w:h="16838" w:orient="portrait"/>
          <w:cols w:equalWidth="0" w:num="1">
            <w:col w:w="11420"/>
          </w:cols>
          <w:pgMar w:left="240" w:top="121"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1" w:right="239" w:bottom="1440" w:gutter="0" w:footer="0" w:header="0"/>
          <w:type w:val="continuous"/>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extent of involvement United has in particular classes of financial instruments. The exposure to credit loss in the event of nonperformance by the other party to the financial instrument for commitments to extend credit and letters of credit written is represented by the contractual amount of these instruments. United uses the same credit policies in making commitments and conditional obligations as it uses for underwriting on-balance sheet instruments. In most cases, collateral or other security is required to support financial instruments with credit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summarizes the contractual amount of off-balance sheet instruments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2019</w:t>
            </w:r>
          </w:p>
        </w:tc>
        <w:tc>
          <w:tcPr>
            <w:tcW w:w="180" w:type="dxa"/>
            <w:vAlign w:val="bottom"/>
          </w:tcPr>
          <w:p>
            <w:pPr>
              <w:spacing w:after="0"/>
              <w:rPr>
                <w:sz w:val="20"/>
                <w:szCs w:val="20"/>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 2018</w:t>
            </w:r>
          </w:p>
        </w:tc>
      </w:tr>
      <w:tr>
        <w:trPr>
          <w:trHeight w:val="27"/>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instruments whose contract amounts represent credit risk:</w:t>
            </w: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Commitments to extend credit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2,053,155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2,129,463</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3"/>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Letters of credit</w:t>
            </w:r>
          </w:p>
        </w:tc>
        <w:tc>
          <w:tcPr>
            <w:tcW w:w="24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26,867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25,447</w:t>
            </w:r>
          </w:p>
        </w:tc>
      </w:tr>
      <w:tr>
        <w:trPr>
          <w:trHeight w:val="27"/>
        </w:trPr>
        <w:tc>
          <w:tcPr>
            <w:tcW w:w="74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United’s wholly-owned bank subsidiary, United Community Bank (the “Bank”), holds minor investments in certain limited partnerships for Community Reinvestment Act purposes. As of March 31, 2019, the Bank had committed to fund an additional $7.93 million related to future capital calls that had not been reflected in the consolidated balance sheet.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in the normal course of business, is subject to various pending and threatened lawsuits in which claims for monetary damages are asserted. Although it is not possible to predict the outcome of these lawsuits, or the range of any possible loss, management, after consultation with legal counsel, does not anticipate that the ultimate aggregate liability, if any, arising from these lawsuits will have a material adverse effect on United’s financial position or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Operating Leases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United’s leases for which it is the lessee consist of operating leases for land, buildings, and equipment. Payments related to these leases consist primarily of base rent and, in the case of building leases, additional operating costs associated with the leased property such as common area maintenance and utilities. In most cases these operating costs vary over the term of the lease, and therefore are classified as variable lease costs, which are recognized as incurred in the consolidated statement of income. In addition, certain operating leases include costs such as property taxes and insurance, which are recognized as incurred in the consolidated statement of income. Many of United’s operating leases contain renewal options, most of which are excluded from the measurement of the right-of-use asset and lease liability as they are not reasonably certain to be exercised. United also subleases and leases certain real estate properties to third parties under operating leases. As of March 31, 2019, United had a right-of-use asset and lease liability of $22.7 million and $25.2 million, respectively, included in other assets and other liabilities, respectively, on the balance sheet.</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table below presents the operating lease income and expense recognized for the period indicated and other supplemental information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2"/>
          </w:tcPr>
          <w:p>
            <w:pPr>
              <w:jc w:val="center"/>
              <w:ind w:right="1980"/>
              <w:spacing w:after="0"/>
              <w:rPr>
                <w:sz w:val="20"/>
                <w:szCs w:val="20"/>
                <w:color w:val="auto"/>
              </w:rPr>
            </w:pPr>
            <w:r>
              <w:rPr>
                <w:rFonts w:ascii="Arial" w:cs="Arial" w:eastAsia="Arial" w:hAnsi="Arial"/>
                <w:sz w:val="16"/>
                <w:szCs w:val="16"/>
                <w:b w:val="1"/>
                <w:bCs w:val="1"/>
                <w:color w:val="auto"/>
                <w:w w:val="93"/>
              </w:rPr>
              <w:t>Three Months Ended</w:t>
            </w:r>
          </w:p>
        </w:tc>
      </w:tr>
      <w:tr>
        <w:trPr>
          <w:trHeight w:val="210"/>
        </w:trPr>
        <w:tc>
          <w:tcPr>
            <w:tcW w:w="5160" w:type="dxa"/>
            <w:vAlign w:val="bottom"/>
          </w:tcPr>
          <w:p>
            <w:pPr>
              <w:spacing w:after="0"/>
              <w:rPr>
                <w:sz w:val="18"/>
                <w:szCs w:val="18"/>
                <w:color w:val="auto"/>
              </w:rPr>
            </w:pPr>
          </w:p>
        </w:tc>
        <w:tc>
          <w:tcPr>
            <w:tcW w:w="2520" w:type="dxa"/>
            <w:vAlign w:val="bottom"/>
            <w:gridSpan w:val="2"/>
          </w:tcPr>
          <w:p>
            <w:pPr>
              <w:ind w:left="300"/>
              <w:spacing w:after="0"/>
              <w:rPr>
                <w:sz w:val="20"/>
                <w:szCs w:val="20"/>
                <w:color w:val="auto"/>
              </w:rPr>
            </w:pPr>
            <w:r>
              <w:rPr>
                <w:rFonts w:ascii="Arial" w:cs="Arial" w:eastAsia="Arial" w:hAnsi="Arial"/>
                <w:sz w:val="16"/>
                <w:szCs w:val="16"/>
                <w:b w:val="1"/>
                <w:bCs w:val="1"/>
                <w:color w:val="auto"/>
              </w:rPr>
              <w:t>Income Statement Location</w:t>
            </w:r>
          </w:p>
        </w:tc>
        <w:tc>
          <w:tcPr>
            <w:tcW w:w="160" w:type="dxa"/>
            <w:vAlign w:val="bottom"/>
          </w:tcPr>
          <w:p>
            <w:pPr>
              <w:spacing w:after="0"/>
              <w:rPr>
                <w:sz w:val="18"/>
                <w:szCs w:val="18"/>
                <w:color w:val="auto"/>
              </w:rPr>
            </w:pPr>
          </w:p>
        </w:tc>
        <w:tc>
          <w:tcPr>
            <w:tcW w:w="3580" w:type="dxa"/>
            <w:vAlign w:val="bottom"/>
            <w:gridSpan w:val="2"/>
          </w:tcPr>
          <w:p>
            <w:pPr>
              <w:jc w:val="center"/>
              <w:ind w:right="1980"/>
              <w:spacing w:after="0"/>
              <w:rPr>
                <w:sz w:val="20"/>
                <w:szCs w:val="20"/>
                <w:color w:val="auto"/>
              </w:rPr>
            </w:pPr>
            <w:r>
              <w:rPr>
                <w:rFonts w:ascii="Arial" w:cs="Arial" w:eastAsia="Arial" w:hAnsi="Arial"/>
                <w:sz w:val="16"/>
                <w:szCs w:val="16"/>
                <w:b w:val="1"/>
                <w:bCs w:val="1"/>
                <w:color w:val="auto"/>
                <w:w w:val="94"/>
              </w:rPr>
              <w:t>March 31, 2019</w:t>
            </w:r>
          </w:p>
        </w:tc>
      </w:tr>
      <w:tr>
        <w:trPr>
          <w:trHeight w:val="33"/>
        </w:trPr>
        <w:tc>
          <w:tcPr>
            <w:tcW w:w="5160" w:type="dxa"/>
            <w:vAlign w:val="bottom"/>
            <w:tcBorders>
              <w:bottom w:val="single" w:sz="8" w:color="CCEEFF"/>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6"/>
                <w:szCs w:val="16"/>
                <w:color w:val="auto"/>
              </w:rPr>
              <w:t>Operating lease cost</w:t>
            </w:r>
          </w:p>
        </w:tc>
        <w:tc>
          <w:tcPr>
            <w:tcW w:w="2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Occupancy expense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1,258</w:t>
            </w:r>
          </w:p>
        </w:tc>
        <w:tc>
          <w:tcPr>
            <w:tcW w:w="1820" w:type="dxa"/>
            <w:vAlign w:val="bottom"/>
            <w:tcBorders>
              <w:bottom w:val="single" w:sz="8" w:color="CCEEFF"/>
            </w:tcBorders>
            <w:shd w:val="clear" w:color="auto" w:fill="CCEEFF"/>
          </w:tcPr>
          <w:p>
            <w:pPr>
              <w:spacing w:after="0"/>
              <w:rPr>
                <w:sz w:val="21"/>
                <w:szCs w:val="21"/>
                <w:color w:val="auto"/>
              </w:rPr>
            </w:pPr>
          </w:p>
        </w:tc>
      </w:tr>
      <w:tr>
        <w:trPr>
          <w:trHeight w:val="237"/>
        </w:trPr>
        <w:tc>
          <w:tcPr>
            <w:tcW w:w="5160" w:type="dxa"/>
            <w:vAlign w:val="bottom"/>
          </w:tcPr>
          <w:p>
            <w:pPr>
              <w:ind w:left="1640"/>
              <w:spacing w:after="0"/>
              <w:rPr>
                <w:sz w:val="20"/>
                <w:szCs w:val="20"/>
                <w:color w:val="auto"/>
              </w:rPr>
            </w:pPr>
            <w:r>
              <w:rPr>
                <w:rFonts w:ascii="Arial" w:cs="Arial" w:eastAsia="Arial" w:hAnsi="Arial"/>
                <w:sz w:val="16"/>
                <w:szCs w:val="16"/>
                <w:color w:val="auto"/>
              </w:rPr>
              <w:t>Variable lease cost</w:t>
            </w:r>
          </w:p>
        </w:tc>
        <w:tc>
          <w:tcPr>
            <w:tcW w:w="2520" w:type="dxa"/>
            <w:vAlign w:val="bottom"/>
            <w:gridSpan w:val="2"/>
          </w:tcPr>
          <w:p>
            <w:pPr>
              <w:ind w:left="140"/>
              <w:spacing w:after="0"/>
              <w:rPr>
                <w:sz w:val="20"/>
                <w:szCs w:val="20"/>
                <w:color w:val="auto"/>
              </w:rPr>
            </w:pPr>
            <w:r>
              <w:rPr>
                <w:rFonts w:ascii="Arial" w:cs="Arial" w:eastAsia="Arial" w:hAnsi="Arial"/>
                <w:sz w:val="16"/>
                <w:szCs w:val="16"/>
                <w:color w:val="auto"/>
              </w:rPr>
              <w:t>Occupancy expense</w:t>
            </w:r>
          </w:p>
        </w:tc>
        <w:tc>
          <w:tcPr>
            <w:tcW w:w="16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111</w:t>
            </w:r>
          </w:p>
        </w:tc>
        <w:tc>
          <w:tcPr>
            <w:tcW w:w="1820" w:type="dxa"/>
            <w:vAlign w:val="bottom"/>
          </w:tcPr>
          <w:p>
            <w:pPr>
              <w:spacing w:after="0"/>
              <w:rPr>
                <w:sz w:val="20"/>
                <w:szCs w:val="20"/>
                <w:color w:val="auto"/>
              </w:rPr>
            </w:pPr>
          </w:p>
        </w:tc>
      </w:tr>
      <w:tr>
        <w:trPr>
          <w:trHeight w:val="33"/>
        </w:trPr>
        <w:tc>
          <w:tcPr>
            <w:tcW w:w="51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6"/>
                <w:szCs w:val="16"/>
                <w:color w:val="auto"/>
              </w:rPr>
              <w:t>Short-term lease cost</w:t>
            </w:r>
          </w:p>
        </w:tc>
        <w:tc>
          <w:tcPr>
            <w:tcW w:w="2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Occupancy expense</w:t>
            </w: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820" w:type="dxa"/>
            <w:vAlign w:val="bottom"/>
            <w:tcBorders>
              <w:bottom w:val="single" w:sz="8" w:color="CCEEFF"/>
            </w:tcBorders>
            <w:shd w:val="clear" w:color="auto" w:fill="CCEEFF"/>
          </w:tcPr>
          <w:p>
            <w:pPr>
              <w:spacing w:after="0"/>
              <w:rPr>
                <w:sz w:val="21"/>
                <w:szCs w:val="21"/>
                <w:color w:val="auto"/>
              </w:rPr>
            </w:pPr>
          </w:p>
        </w:tc>
      </w:tr>
      <w:tr>
        <w:trPr>
          <w:trHeight w:val="237"/>
        </w:trPr>
        <w:tc>
          <w:tcPr>
            <w:tcW w:w="5160" w:type="dxa"/>
            <w:vAlign w:val="bottom"/>
          </w:tcPr>
          <w:p>
            <w:pPr>
              <w:ind w:left="1640"/>
              <w:spacing w:after="0"/>
              <w:rPr>
                <w:sz w:val="20"/>
                <w:szCs w:val="20"/>
                <w:color w:val="auto"/>
              </w:rPr>
            </w:pPr>
            <w:r>
              <w:rPr>
                <w:rFonts w:ascii="Arial" w:cs="Arial" w:eastAsia="Arial" w:hAnsi="Arial"/>
                <w:sz w:val="16"/>
                <w:szCs w:val="16"/>
                <w:color w:val="auto"/>
              </w:rPr>
              <w:t>Sublease income</w:t>
            </w:r>
          </w:p>
        </w:tc>
        <w:tc>
          <w:tcPr>
            <w:tcW w:w="2520" w:type="dxa"/>
            <w:vAlign w:val="bottom"/>
            <w:gridSpan w:val="2"/>
          </w:tcPr>
          <w:p>
            <w:pPr>
              <w:ind w:left="140"/>
              <w:spacing w:after="0"/>
              <w:rPr>
                <w:sz w:val="20"/>
                <w:szCs w:val="20"/>
                <w:color w:val="auto"/>
              </w:rPr>
            </w:pPr>
            <w:r>
              <w:rPr>
                <w:rFonts w:ascii="Arial" w:cs="Arial" w:eastAsia="Arial" w:hAnsi="Arial"/>
                <w:sz w:val="16"/>
                <w:szCs w:val="16"/>
                <w:color w:val="auto"/>
              </w:rPr>
              <w:t>Occupancy expense</w:t>
            </w: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(149)</w:t>
            </w:r>
          </w:p>
        </w:tc>
        <w:tc>
          <w:tcPr>
            <w:tcW w:w="1820" w:type="dxa"/>
            <w:vAlign w:val="bottom"/>
          </w:tcPr>
          <w:p>
            <w:pPr>
              <w:spacing w:after="0"/>
              <w:rPr>
                <w:sz w:val="20"/>
                <w:szCs w:val="20"/>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1780"/>
              <w:spacing w:after="0"/>
              <w:rPr>
                <w:sz w:val="20"/>
                <w:szCs w:val="20"/>
                <w:color w:val="auto"/>
              </w:rPr>
            </w:pPr>
            <w:r>
              <w:rPr>
                <w:rFonts w:ascii="Arial" w:cs="Arial" w:eastAsia="Arial" w:hAnsi="Arial"/>
                <w:sz w:val="16"/>
                <w:szCs w:val="16"/>
                <w:color w:val="auto"/>
              </w:rPr>
              <w:t>Net lease cost</w:t>
            </w:r>
          </w:p>
        </w:tc>
        <w:tc>
          <w:tcPr>
            <w:tcW w:w="2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1,239</w:t>
            </w:r>
          </w:p>
        </w:tc>
        <w:tc>
          <w:tcPr>
            <w:tcW w:w="1820" w:type="dxa"/>
            <w:vAlign w:val="bottom"/>
            <w:tcBorders>
              <w:bottom w:val="single" w:sz="8" w:color="CCEEFF"/>
            </w:tcBorders>
            <w:shd w:val="clear" w:color="auto" w:fill="CCEEFF"/>
          </w:tcPr>
          <w:p>
            <w:pPr>
              <w:spacing w:after="0"/>
              <w:rPr>
                <w:sz w:val="21"/>
                <w:szCs w:val="21"/>
                <w:color w:val="auto"/>
              </w:rPr>
            </w:pPr>
          </w:p>
        </w:tc>
      </w:tr>
      <w:tr>
        <w:trPr>
          <w:trHeight w:val="20"/>
        </w:trPr>
        <w:tc>
          <w:tcPr>
            <w:tcW w:w="51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71"/>
        </w:trPr>
        <w:tc>
          <w:tcPr>
            <w:tcW w:w="516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20"/>
        </w:trPr>
        <w:tc>
          <w:tcPr>
            <w:tcW w:w="5160" w:type="dxa"/>
            <w:vAlign w:val="bottom"/>
            <w:shd w:val="clear" w:color="auto" w:fill="CCEEFF"/>
          </w:tcPr>
          <w:p>
            <w:pPr>
              <w:ind w:left="1640"/>
              <w:spacing w:after="0"/>
              <w:rPr>
                <w:sz w:val="20"/>
                <w:szCs w:val="20"/>
                <w:color w:val="auto"/>
              </w:rPr>
            </w:pPr>
            <w:r>
              <w:rPr>
                <w:rFonts w:ascii="Arial" w:cs="Arial" w:eastAsia="Arial" w:hAnsi="Arial"/>
                <w:sz w:val="16"/>
                <w:szCs w:val="16"/>
                <w:color w:val="auto"/>
              </w:rPr>
              <w:t>Rental income from owned properties under</w:t>
            </w: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19"/>
        </w:trPr>
        <w:tc>
          <w:tcPr>
            <w:tcW w:w="516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6"/>
                <w:szCs w:val="16"/>
                <w:color w:val="auto"/>
              </w:rPr>
              <w:t>operating leases</w:t>
            </w:r>
          </w:p>
        </w:tc>
        <w:tc>
          <w:tcPr>
            <w:tcW w:w="2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Other noninterest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216</w:t>
            </w:r>
          </w:p>
        </w:tc>
        <w:tc>
          <w:tcPr>
            <w:tcW w:w="1820" w:type="dxa"/>
            <w:vAlign w:val="bottom"/>
            <w:tcBorders>
              <w:bottom w:val="single" w:sz="8" w:color="CCEEFF"/>
            </w:tcBorders>
            <w:shd w:val="clear" w:color="auto" w:fill="CCEEFF"/>
          </w:tcPr>
          <w:p>
            <w:pPr>
              <w:spacing w:after="0"/>
              <w:rPr>
                <w:sz w:val="19"/>
                <w:szCs w:val="19"/>
                <w:color w:val="auto"/>
              </w:rPr>
            </w:pPr>
          </w:p>
        </w:tc>
      </w:tr>
      <w:tr>
        <w:trPr>
          <w:trHeight w:val="284"/>
        </w:trPr>
        <w:tc>
          <w:tcPr>
            <w:tcW w:w="51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37"/>
        </w:trPr>
        <w:tc>
          <w:tcPr>
            <w:tcW w:w="5160" w:type="dxa"/>
            <w:vAlign w:val="bottom"/>
            <w:shd w:val="clear" w:color="auto" w:fill="CCEEFF"/>
          </w:tcPr>
          <w:p>
            <w:pPr>
              <w:ind w:left="1640"/>
              <w:spacing w:after="0"/>
              <w:rPr>
                <w:sz w:val="20"/>
                <w:szCs w:val="20"/>
                <w:color w:val="auto"/>
              </w:rPr>
            </w:pPr>
            <w:r>
              <w:rPr>
                <w:rFonts w:ascii="Arial" w:cs="Arial" w:eastAsia="Arial" w:hAnsi="Arial"/>
                <w:sz w:val="16"/>
                <w:szCs w:val="16"/>
                <w:color w:val="auto"/>
              </w:rPr>
              <w:t>Operating cash flows from operating leases</w:t>
            </w:r>
          </w:p>
        </w:tc>
        <w:tc>
          <w:tcPr>
            <w:tcW w:w="2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1,348</w:t>
            </w:r>
          </w:p>
        </w:tc>
        <w:tc>
          <w:tcPr>
            <w:tcW w:w="1820" w:type="dxa"/>
            <w:vAlign w:val="bottom"/>
            <w:shd w:val="clear" w:color="auto" w:fill="CCEEFF"/>
          </w:tcPr>
          <w:p>
            <w:pPr>
              <w:spacing w:after="0"/>
              <w:rPr>
                <w:sz w:val="20"/>
                <w:szCs w:val="20"/>
                <w:color w:val="auto"/>
              </w:rPr>
            </w:pPr>
          </w:p>
        </w:tc>
      </w:tr>
      <w:tr>
        <w:trPr>
          <w:trHeight w:val="33"/>
        </w:trPr>
        <w:tc>
          <w:tcPr>
            <w:tcW w:w="516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2019 the weighted average remaining lease term and weighted average discount rate of operating leases was 6.03 years and 2.80%, respectively. Absent a readily determinable interest rate in the lease agreement, the discount rate applied to each individual lease obligation was the Bank’s incremental borrowing rate for secured borrowings.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 of March 31, 2019 future minimum lease payments under operating leases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5" w:lineRule="exact"/>
        <w:rPr>
          <w:sz w:val="20"/>
          <w:szCs w:val="20"/>
          <w:color w:val="auto"/>
        </w:rPr>
      </w:pPr>
    </w:p>
    <w:p>
      <w:pPr>
        <w:ind w:left="3000"/>
        <w:spacing w:after="0"/>
        <w:rPr>
          <w:sz w:val="20"/>
          <w:szCs w:val="20"/>
          <w:color w:val="auto"/>
        </w:rPr>
      </w:pPr>
      <w:r>
        <w:rPr>
          <w:rFonts w:ascii="Arial" w:cs="Arial" w:eastAsia="Arial" w:hAnsi="Arial"/>
          <w:sz w:val="16"/>
          <w:szCs w:val="16"/>
          <w:b w:val="1"/>
          <w:bCs w:val="1"/>
          <w:color w:val="auto"/>
        </w:rPr>
        <w:t>Year</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980" w:type="dxa"/>
            <w:vAlign w:val="bottom"/>
            <w:tcBorders>
              <w:top w:val="single" w:sz="8" w:color="CCEEFF"/>
              <w:bottom w:val="single" w:sz="8" w:color="CCEEFF"/>
            </w:tcBorders>
            <w:shd w:val="clear" w:color="auto" w:fill="CCEEFF"/>
          </w:tcPr>
          <w:p>
            <w:pPr>
              <w:spacing w:after="0"/>
              <w:rPr>
                <w:sz w:val="21"/>
                <w:szCs w:val="21"/>
                <w:color w:val="auto"/>
              </w:rPr>
            </w:pPr>
          </w:p>
        </w:tc>
        <w:tc>
          <w:tcPr>
            <w:tcW w:w="35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Remainder of 2019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CCEEFF"/>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3,627</w:t>
            </w:r>
          </w:p>
        </w:tc>
        <w:tc>
          <w:tcPr>
            <w:tcW w:w="28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37"/>
        </w:trPr>
        <w:tc>
          <w:tcPr>
            <w:tcW w:w="6520" w:type="dxa"/>
            <w:vAlign w:val="bottom"/>
            <w:gridSpan w:val="2"/>
          </w:tcPr>
          <w:p>
            <w:pPr>
              <w:ind w:left="3000"/>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5,253</w:t>
            </w:r>
          </w:p>
        </w:tc>
        <w:tc>
          <w:tcPr>
            <w:tcW w:w="2840" w:type="dxa"/>
            <w:vAlign w:val="bottom"/>
          </w:tcPr>
          <w:p>
            <w:pPr>
              <w:spacing w:after="0"/>
              <w:rPr>
                <w:sz w:val="20"/>
                <w:szCs w:val="20"/>
                <w:color w:val="auto"/>
              </w:rPr>
            </w:pPr>
          </w:p>
        </w:tc>
      </w:tr>
      <w:tr>
        <w:trPr>
          <w:trHeight w:val="33"/>
        </w:trPr>
        <w:tc>
          <w:tcPr>
            <w:tcW w:w="29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3000"/>
              <w:spacing w:after="0"/>
              <w:rPr>
                <w:sz w:val="20"/>
                <w:szCs w:val="20"/>
                <w:color w:val="auto"/>
              </w:rPr>
            </w:pPr>
            <w:r>
              <w:rPr>
                <w:rFonts w:ascii="Arial" w:cs="Arial" w:eastAsia="Arial" w:hAnsi="Arial"/>
                <w:sz w:val="16"/>
                <w:szCs w:val="16"/>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4,983</w:t>
            </w:r>
          </w:p>
        </w:tc>
        <w:tc>
          <w:tcPr>
            <w:tcW w:w="2840" w:type="dxa"/>
            <w:vAlign w:val="bottom"/>
            <w:tcBorders>
              <w:bottom w:val="single" w:sz="8" w:color="CCEEFF"/>
            </w:tcBorders>
            <w:shd w:val="clear" w:color="auto" w:fill="CCEEFF"/>
          </w:tcPr>
          <w:p>
            <w:pPr>
              <w:spacing w:after="0"/>
              <w:rPr>
                <w:sz w:val="21"/>
                <w:szCs w:val="21"/>
                <w:color w:val="auto"/>
              </w:rPr>
            </w:pPr>
          </w:p>
        </w:tc>
      </w:tr>
      <w:tr>
        <w:trPr>
          <w:trHeight w:val="237"/>
        </w:trPr>
        <w:tc>
          <w:tcPr>
            <w:tcW w:w="6520" w:type="dxa"/>
            <w:vAlign w:val="bottom"/>
            <w:gridSpan w:val="2"/>
          </w:tcPr>
          <w:p>
            <w:pPr>
              <w:ind w:left="3000"/>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4,553</w:t>
            </w:r>
          </w:p>
        </w:tc>
        <w:tc>
          <w:tcPr>
            <w:tcW w:w="2840" w:type="dxa"/>
            <w:vAlign w:val="bottom"/>
          </w:tcPr>
          <w:p>
            <w:pPr>
              <w:spacing w:after="0"/>
              <w:rPr>
                <w:sz w:val="20"/>
                <w:szCs w:val="20"/>
                <w:color w:val="auto"/>
              </w:rPr>
            </w:pPr>
          </w:p>
        </w:tc>
      </w:tr>
      <w:tr>
        <w:trPr>
          <w:trHeight w:val="33"/>
        </w:trPr>
        <w:tc>
          <w:tcPr>
            <w:tcW w:w="29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3000"/>
              <w:spacing w:after="0"/>
              <w:rPr>
                <w:sz w:val="20"/>
                <w:szCs w:val="20"/>
                <w:color w:val="auto"/>
              </w:rPr>
            </w:pPr>
            <w:r>
              <w:rPr>
                <w:rFonts w:ascii="Arial" w:cs="Arial" w:eastAsia="Arial" w:hAnsi="Arial"/>
                <w:sz w:val="16"/>
                <w:szCs w:val="16"/>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3,979</w:t>
            </w:r>
          </w:p>
        </w:tc>
        <w:tc>
          <w:tcPr>
            <w:tcW w:w="2840" w:type="dxa"/>
            <w:vAlign w:val="bottom"/>
            <w:tcBorders>
              <w:bottom w:val="single" w:sz="8" w:color="CCEEFF"/>
            </w:tcBorders>
            <w:shd w:val="clear" w:color="auto" w:fill="CCEEFF"/>
          </w:tcPr>
          <w:p>
            <w:pPr>
              <w:spacing w:after="0"/>
              <w:rPr>
                <w:sz w:val="21"/>
                <w:szCs w:val="21"/>
                <w:color w:val="auto"/>
              </w:rPr>
            </w:pPr>
          </w:p>
        </w:tc>
      </w:tr>
      <w:tr>
        <w:trPr>
          <w:trHeight w:val="237"/>
        </w:trPr>
        <w:tc>
          <w:tcPr>
            <w:tcW w:w="2980" w:type="dxa"/>
            <w:vAlign w:val="bottom"/>
          </w:tcPr>
          <w:p>
            <w:pPr>
              <w:spacing w:after="0"/>
              <w:rPr>
                <w:sz w:val="20"/>
                <w:szCs w:val="20"/>
                <w:color w:val="auto"/>
              </w:rPr>
            </w:pPr>
          </w:p>
        </w:tc>
        <w:tc>
          <w:tcPr>
            <w:tcW w:w="3660" w:type="dxa"/>
            <w:vAlign w:val="bottom"/>
            <w:gridSpan w:val="2"/>
          </w:tcPr>
          <w:p>
            <w:pPr>
              <w:ind w:left="20"/>
              <w:spacing w:after="0"/>
              <w:rPr>
                <w:sz w:val="20"/>
                <w:szCs w:val="20"/>
                <w:color w:val="auto"/>
              </w:rPr>
            </w:pPr>
            <w:r>
              <w:rPr>
                <w:rFonts w:ascii="Arial" w:cs="Arial" w:eastAsia="Arial" w:hAnsi="Arial"/>
                <w:sz w:val="16"/>
                <w:szCs w:val="16"/>
                <w:color w:val="auto"/>
              </w:rPr>
              <w:t>Thereafter</w:t>
            </w:r>
          </w:p>
        </w:tc>
        <w:tc>
          <w:tcPr>
            <w:tcW w:w="74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5,092</w:t>
            </w:r>
          </w:p>
        </w:tc>
        <w:tc>
          <w:tcPr>
            <w:tcW w:w="2840" w:type="dxa"/>
            <w:vAlign w:val="bottom"/>
          </w:tcPr>
          <w:p>
            <w:pPr>
              <w:spacing w:after="0"/>
              <w:rPr>
                <w:sz w:val="20"/>
                <w:szCs w:val="20"/>
                <w:color w:val="auto"/>
              </w:rPr>
            </w:pPr>
          </w:p>
        </w:tc>
      </w:tr>
      <w:tr>
        <w:trPr>
          <w:trHeight w:val="33"/>
        </w:trPr>
        <w:tc>
          <w:tcPr>
            <w:tcW w:w="298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r>
      <w:tr>
        <w:trPr>
          <w:trHeight w:val="230"/>
        </w:trPr>
        <w:tc>
          <w:tcPr>
            <w:tcW w:w="2980" w:type="dxa"/>
            <w:vAlign w:val="bottom"/>
            <w:tcBorders>
              <w:bottom w:val="single" w:sz="8" w:color="CCEEFF"/>
            </w:tcBorders>
            <w:shd w:val="clear" w:color="auto" w:fill="CCEEFF"/>
          </w:tcPr>
          <w:p>
            <w:pPr>
              <w:spacing w:after="0"/>
              <w:rPr>
                <w:sz w:val="20"/>
                <w:szCs w:val="20"/>
                <w:color w:val="auto"/>
              </w:rPr>
            </w:pPr>
          </w:p>
        </w:tc>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7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27,487</w:t>
            </w:r>
          </w:p>
        </w:tc>
        <w:tc>
          <w:tcPr>
            <w:tcW w:w="2840" w:type="dxa"/>
            <w:vAlign w:val="bottom"/>
            <w:tcBorders>
              <w:bottom w:val="single" w:sz="8" w:color="CCEEFF"/>
            </w:tcBorders>
            <w:shd w:val="clear" w:color="auto" w:fill="CCEEFF"/>
          </w:tcPr>
          <w:p>
            <w:pPr>
              <w:spacing w:after="0"/>
              <w:rPr>
                <w:sz w:val="20"/>
                <w:szCs w:val="20"/>
                <w:color w:val="auto"/>
              </w:rPr>
            </w:pPr>
          </w:p>
        </w:tc>
      </w:tr>
      <w:tr>
        <w:trPr>
          <w:trHeight w:val="237"/>
        </w:trPr>
        <w:tc>
          <w:tcPr>
            <w:tcW w:w="2980" w:type="dxa"/>
            <w:vAlign w:val="bottom"/>
          </w:tcPr>
          <w:p>
            <w:pPr>
              <w:spacing w:after="0"/>
              <w:rPr>
                <w:sz w:val="20"/>
                <w:szCs w:val="20"/>
                <w:color w:val="auto"/>
              </w:rPr>
            </w:pPr>
          </w:p>
        </w:tc>
        <w:tc>
          <w:tcPr>
            <w:tcW w:w="3660" w:type="dxa"/>
            <w:vAlign w:val="bottom"/>
            <w:gridSpan w:val="2"/>
          </w:tcPr>
          <w:p>
            <w:pPr>
              <w:ind w:left="20"/>
              <w:spacing w:after="0"/>
              <w:rPr>
                <w:sz w:val="20"/>
                <w:szCs w:val="20"/>
                <w:color w:val="auto"/>
              </w:rPr>
            </w:pPr>
            <w:r>
              <w:rPr>
                <w:rFonts w:ascii="Arial" w:cs="Arial" w:eastAsia="Arial" w:hAnsi="Arial"/>
                <w:sz w:val="16"/>
                <w:szCs w:val="16"/>
                <w:color w:val="auto"/>
              </w:rPr>
              <w:t>Less discount</w:t>
            </w:r>
          </w:p>
        </w:tc>
        <w:tc>
          <w:tcPr>
            <w:tcW w:w="7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(2,287)</w:t>
            </w:r>
          </w:p>
        </w:tc>
        <w:tc>
          <w:tcPr>
            <w:tcW w:w="2840" w:type="dxa"/>
            <w:vAlign w:val="bottom"/>
          </w:tcPr>
          <w:p>
            <w:pPr>
              <w:spacing w:after="0"/>
              <w:rPr>
                <w:sz w:val="20"/>
                <w:szCs w:val="20"/>
                <w:color w:val="auto"/>
              </w:rPr>
            </w:pPr>
          </w:p>
        </w:tc>
      </w:tr>
      <w:tr>
        <w:trPr>
          <w:trHeight w:val="33"/>
        </w:trPr>
        <w:tc>
          <w:tcPr>
            <w:tcW w:w="298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spacing w:after="0"/>
              <w:rPr>
                <w:sz w:val="21"/>
                <w:szCs w:val="21"/>
                <w:color w:val="auto"/>
              </w:rPr>
            </w:pPr>
          </w:p>
        </w:tc>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Present value of lease liability</w:t>
            </w: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25,200</w:t>
            </w:r>
          </w:p>
        </w:tc>
        <w:tc>
          <w:tcPr>
            <w:tcW w:w="2840" w:type="dxa"/>
            <w:vAlign w:val="bottom"/>
            <w:tcBorders>
              <w:bottom w:val="single" w:sz="8" w:color="CCEEFF"/>
            </w:tcBorders>
            <w:shd w:val="clear" w:color="auto" w:fill="CCEEFF"/>
          </w:tcPr>
          <w:p>
            <w:pPr>
              <w:spacing w:after="0"/>
              <w:rPr>
                <w:sz w:val="21"/>
                <w:szCs w:val="21"/>
                <w:color w:val="auto"/>
              </w:rPr>
            </w:pPr>
          </w:p>
        </w:tc>
      </w:tr>
      <w:tr>
        <w:trPr>
          <w:trHeight w:val="20"/>
        </w:trPr>
        <w:tc>
          <w:tcPr>
            <w:tcW w:w="29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 discussed in Note 2, United adopted Topic 842 using the modified retrospective method with a cumulative effect adjustment to shareholders’ equity without restating comparable periods. As a result, disclosures for comparative periods under the predecessor standard, ASC 840, </w:t>
      </w:r>
      <w:r>
        <w:rPr>
          <w:rFonts w:ascii="Arial" w:cs="Arial" w:eastAsia="Arial" w:hAnsi="Arial"/>
          <w:sz w:val="18"/>
          <w:szCs w:val="18"/>
          <w:i w:val="1"/>
          <w:iCs w:val="1"/>
          <w:color w:val="auto"/>
        </w:rPr>
        <w:t>Leases</w:t>
      </w:r>
      <w:r>
        <w:rPr>
          <w:rFonts w:ascii="Arial" w:cs="Arial" w:eastAsia="Arial" w:hAnsi="Arial"/>
          <w:sz w:val="18"/>
          <w:szCs w:val="18"/>
          <w:color w:val="auto"/>
        </w:rPr>
        <w:t>, are required in the year of transition. As of December 31, 2018, rent commitments under operating leases were $5.35 million, $5.16 million, $4.91 million, $4.48 million, $3.91 million, for 2019 through 2023, respectively, and $5.04 million in the aggregate for years thereafter.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Subsequent Events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 2019, United completed its previously announced acquisition of First Madison Bank &amp; Trust (“First Madison”). First Madison operated four banking offices in Athens-Clarke County, Georgia and, as of March 31, 2019, had total assets of $244 million, loans of $199 million and deposits of $213 million. First Madison has merged into the Bank and will operate under the First Madison brand until system conversions are completed in the third quarter of 2019, at which time it will begin to operate under the United Community Bank brand.</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Under the terms of the merger agreement, First Madison shareholders received $52.1 million in cash. The acquisition will be accounted for as a business combination, subject to the provisions of ASC 805-10-50,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Due to the timing of the acquisition, United is currently in the process of completing the purchase accounting and has not made all of the remaining disclosures required by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such as the fair value of assets acquired and supplemental pro forma information, which will be disclosed in subsequent filings.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40" w:name="page41"/>
    <w:bookmarkEnd w:id="40"/>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Form 10-Q contains forward-looking statements within the meaning of Section 27A of the Securities Act of 1933, as amended, and Section 21E of the Securities Exchange Act of 1934, as amended, (the “Exchange Act”), about United Community Banks, Inc. and its subsidiaries (collectively referred to herein as “United”). These forward-looking statements are intended to be covered by the safe harbor for forward-looking statements provided by the Private Securities Litigation Reform Act of 1995. Forward-looking statements are not statements of historical fact and generally can be identified by the use of forward-looking terminology such as “believes”, “expects”, “may”, “will”, “could”, “should”, “projects”, “plans”, “goal”, “targets”, “potential”, “estimates”, “pro forma”, “seeks”, “intends”, or “anticipates”, or the negative thereof or comparable terminology. Forward-looking statements include discussions of strategy, financial projections, guidance and estimates (including their underlying assumptions), statements regarding plans, objectives, expectations or consequences of various transactions or events, and statements about the future performance, operations, products and services of United. We caution our shareholders and other readers not to place undue reliance on such statements.</w:t>
      </w:r>
    </w:p>
    <w:p>
      <w:pPr>
        <w:spacing w:after="0" w:line="18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Forward-looking statements are subject to risks, uncertainties and assumptions that are difficult to predict with regard to timing, extent, likelihood and degree of occurrence, which could cause actual results to differ materially from anticipated results. Such risks, uncertainties and assumptions include, but are not limited to, the risk factors set forth in our Annual Report on Form 10-K for the year ended December 31, 2018 as well as the following factors:</w:t>
      </w:r>
    </w:p>
    <w:p>
      <w:pPr>
        <w:spacing w:after="0" w:line="147"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condition of the general business and economic environment, banking system and financial markets;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strategic, market, operational, liquidity and interest rate risks associated with our business;</w:t>
      </w:r>
    </w:p>
    <w:p>
      <w:pPr>
        <w:spacing w:after="0" w:line="9" w:lineRule="exact"/>
        <w:rPr>
          <w:rFonts w:ascii="Arial" w:cs="Arial" w:eastAsia="Arial" w:hAnsi="Arial"/>
          <w:sz w:val="18"/>
          <w:szCs w:val="18"/>
          <w:color w:val="auto"/>
        </w:rPr>
      </w:pPr>
    </w:p>
    <w:p>
      <w:pPr>
        <w:ind w:left="340" w:right="20" w:hanging="332"/>
        <w:spacing w:after="0" w:line="265"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changes in the interest rate environment, including interest rate changes made by the Federal Reserve, as well as cash flow reassessments may reduce net interest margin and/or the volumes and values of loans made or held as well as the value of other financial assets;</w:t>
      </w: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lack of geographic diversification and the success of the local economies in which we operate;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risks with respect to our ability to successfully expand and complete acquisitions and integrate businesses and operations that are acquired;</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attract and retain key employees;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competition from financial institutions and other financial service providers including financial technology providers;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losses due to fraudulent and negligent conduct of our customers, third party service providers or employees;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cybersecurity risks that could adversely affect our business and financial performance or reputation;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reliance on third parties to provide key components of our business infrastructure and services required to operate our business;</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risk that we may be required to make substantial expenditures to keep pace with regulatory initiatives and the rapid technological changes in the financial services market;</w:t>
      </w: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legislative, regulatory or accounting changes that may adversely affect us;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the securities markets;</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the allowance for loan losses resulting from the adoption and implementation of the new Current Expected Credit Loss (“CECL”) methodology;</w:t>
      </w: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costs and effects of litigation, examinations, investigations, or similar matters, or adverse facts and developments related thereto;</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possible regulatory or judicial proceedings, board resolutions, informal memorandums of understanding or formal enforcement actions imposed by regulators;</w:t>
      </w: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risk that our allowance for loan losses may not be sufficient to cover our actual loan losses; and</w:t>
      </w:r>
    </w:p>
    <w:p>
      <w:pPr>
        <w:spacing w:after="0" w:line="9" w:lineRule="exact"/>
        <w:rPr>
          <w:rFonts w:ascii="Arial" w:cs="Arial" w:eastAsia="Arial" w:hAnsi="Arial"/>
          <w:sz w:val="18"/>
          <w:szCs w:val="18"/>
          <w:color w:val="auto"/>
        </w:rPr>
      </w:pPr>
    </w:p>
    <w:p>
      <w:pPr>
        <w:ind w:left="340" w:right="20" w:hanging="332"/>
        <w:spacing w:after="0" w:line="290"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limitations on the ability of United Community Bank (the “Bank”) to pay dividends to United Community Banks, Inc. (the “Holding Company”), which could affect Holding Company liquidity, including the ability to pay dividends to shareholders or take other capital actions.</w:t>
      </w:r>
    </w:p>
    <w:p>
      <w:pPr>
        <w:spacing w:after="0" w:line="16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Additional information with respect to factors that may cause actual results to differ materially from those contemplated by such forward-looking statements may also be included in other reports that United files with the Securities and Exchange Commission (the “SEC”). United cautions that the foregoing list of factors is not exclusive and not to place undue reliance on forward-looking statements. United does not intend to update any forward-looking statement, whether written or oral, relating to the matters discussed in this Form 10-Q. The financial statements and information contained herein have not been reviewed, or confirmed for accuracy or relevance, by the Federal Deposit Insurance Corporation (the “FDIC”) or any other regulator.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0"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is intended to provide insight into the results of operations and financial condition of United and should be read in conjunction with the consolidated financial statements and accompanying notes.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Holding Company is a bank holding company incorporated in the state of Georgia in 1987, which began operations in 1988 by acquiring the capital stock of the Bank, a Georgia state-chartered bank that opened in 1950. United offers a wide array of commercial and consumer banking services and investment advisory services through a 149 branch network throughout Georgia, South Carolina, North Carolina and Tennessee.</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March 31, 2019, United had total consolidated assets of $12.5 billion, total loans of $8.49 billion, total deposits of $10.5 billion, and shareholders’ equity of $1.51 billion. United reported net income of $44.3 million, or $0.55 per diluted share, for the first quarter of 2019, compared to net income of $37.7 million, or $0.47 per diluted share, for the first quarter of 2018.</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interest revenue increased to $116 million for the first quarter of 2019, compared to $103 million for the first quarter of 2018, due to higher loan volume and rising interest rates. The net interest margin increased to 4.10% for the three months ended March 31, 2019 from 3.80% for the same period in 2018 primarily due to the effect of rising interest rates on floating rate loans and the inclusion of higher yielding equipment financing loans acquired from NLFC Holdings Corp. and its subsidiaries, collectively known as “Navitas”, for the full first quarter of 2019.</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provision for credit losses was $3.30 million for the first quarter of 2019, compared to $3.80 million for the first quarter of 2018. Net charge-offs for the first quarter of 2019 were $3.13 million compared to $1.50 million for the same period in 2018. As of March 31, 2019, United’s allowance for loan losses was $61.6 million, or 0.73% of loans, compared to $61.2 million, or 0.73% of loans, at December 31, 2018, reflecting stable asset quality. At March 31, 2019 and December 31, 2018, nonperforming assets of $24.8 million and $25.1 million, respectively, were 0.20% of total assets.</w:t>
      </w:r>
    </w:p>
    <w:p>
      <w:pPr>
        <w:spacing w:after="0" w:line="17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Noninterest income of $21.0 million for the first quarter of 2019 was down $1.43 million, or 6%, from the first quarter of 2018. The decrease was primarily attributable to the decrease in mortgage fees resulting from a decline in the fair value of the mortgage servicing rights asset in the first quarter of 2019.</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the first quarter of 2019, noninterest expenses of $76.1 million increased $2.61 million from the same period of 2018. Decreases in professional fees, FDIC assessments and other regulatory charges, amortization of intangibles, and merger-related and other charges offset much of the impact of higher salaries and employee benefits, communications and equipment expenses and other noninterest expense. Nearly half of the increase in salaries and employee benefits and approximately half of the increase in other expense were in our equipment finance business which we owned for only two of the three months of first quarter 2018. The rest of the increase in salaries and employee benefits expense resulted from annual merit increases, an increase in our 401(k) matching contribution, higher group medical insurance costs and higher incentives.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accounting and reporting policies of United are in accordance with accounting principles generally accepted in the United States (“GAAP”) and conform to general practices within the banking industry. The more critical accounting and reporting policies include United’s accounting for the allowance for loan losses, fair value measurements, and income taxes, all of which involve the use of estimates and require significant judgments to be made by management. Different assumptions in the application of these policies could result in material changes in United’s consolidated financial position or consolidated results of operations. See “Asset Quality and Risk Elements” herein for additional discussion of United’s accounting methodologies related to the allowance for loan losses.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GAAP Reconciliation and Explanation</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This Form 10-Q contains financial information determined by methods other than in accordance with GAAP. Such non-GAAP financial information includes the following measures: “tangible book value per common share,” “average tangible common equity to average assets,” and “tangible common equity to risk-weighted assets.” In addition, management presents non-GAAP operating performance measures, which exclude merger-related and other items that are not part of United’s ongoing business operations. Operating performance measures include “expenses – operating,” “net income – operating,” “diluted income per common share – operating,” “return on common equity – operating,” “return on tangible common equity – operating,” “return on assets – operating,” “dividend payout ratio – operating” and “efficiency ratio – operating.” Management has developed internal policies and procedures to accurately capture and account for merger-related and other charges and those charges are reviewed with the audit committee of United’s Board of Directors each quarter. Management uses these non-GAAP measures because it believes they may provide useful supplemental information for evaluating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0" w:right="239" w:bottom="1440" w:gutter="0" w:footer="0" w:header="0"/>
        </w:sectPr>
      </w:pPr>
    </w:p>
    <w:bookmarkStart w:id="42" w:name="page43"/>
    <w:bookmarkEnd w:id="42"/>
    <w:p>
      <w:pPr>
        <w:jc w:val="both"/>
        <w:spacing w:after="0" w:line="293" w:lineRule="auto"/>
        <w:rPr>
          <w:sz w:val="20"/>
          <w:szCs w:val="20"/>
          <w:color w:val="auto"/>
        </w:rPr>
      </w:pPr>
      <w:r>
        <w:rPr>
          <w:rFonts w:ascii="Arial" w:cs="Arial" w:eastAsia="Arial" w:hAnsi="Arial"/>
          <w:sz w:val="16"/>
          <w:szCs w:val="16"/>
          <w:color w:val="auto"/>
        </w:rPr>
        <w:t>United’s operations and performance over periods of time, as well as in managing and evaluating United’s business and in discussions about United’s operations and performance. Management believes these non-GAAP measures may also provide users of United’s financial information with a meaningful measure for assessing United’s financial results and credit trends, as well as a comparison to financial results for prior periods. These non-GAAP measures should be viewed in addition to, and not as an alternative to or substitute for, measures determined in accordance with GAAP and are not necessarily comparable to other similarly titled measures used by other companies. To the extent applicable, reconciliations of these non-GAAP measures to the most directly comparable measures as reported in accordance with GAAP are included in Table 1 of Management’s Discussion and Analysis.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United reported net income and diluted earnings per common share of $44.3 million and $0.55, respectively, for the first quarter of 2019. This compared to net income and diluted earnings per common share of $37.7 million and $0.47, respectively, for the same period in 2018.</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reported operating net income of $44.8 million for the first quarter of 2019, compared to $39.7 million for the same period in 2018. For the first quarter of 2019, operating net income excludes merger-related and other charges, which net of tax, totaled $567,000. For the first quarter of 2018, operating net income excludes merger-related and branch closure charges of $2.02 million, net of tax.</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sectPr>
      </w:pPr>
    </w:p>
    <w:bookmarkStart w:id="43" w:name="page44"/>
    <w:bookmarkEnd w:id="4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380" w:type="dxa"/>
            <w:vAlign w:val="bottom"/>
            <w:gridSpan w:val="2"/>
          </w:tcPr>
          <w:p>
            <w:pPr>
              <w:ind w:left="40"/>
              <w:spacing w:after="0"/>
              <w:rPr>
                <w:sz w:val="20"/>
                <w:szCs w:val="20"/>
                <w:color w:val="auto"/>
              </w:rPr>
            </w:pPr>
            <w:r>
              <w:rPr>
                <w:rFonts w:ascii="Arial" w:cs="Arial" w:eastAsia="Arial" w:hAnsi="Arial"/>
                <w:sz w:val="12"/>
                <w:szCs w:val="12"/>
                <w:b w:val="1"/>
                <w:bCs w:val="1"/>
                <w:color w:val="auto"/>
              </w:rPr>
              <w:t>UNITED COMMUNITY BANKS, INC.</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3380" w:type="dxa"/>
            <w:vAlign w:val="bottom"/>
            <w:gridSpan w:val="2"/>
          </w:tcPr>
          <w:p>
            <w:pPr>
              <w:ind w:left="40"/>
              <w:spacing w:after="0"/>
              <w:rPr>
                <w:sz w:val="20"/>
                <w:szCs w:val="20"/>
                <w:color w:val="auto"/>
              </w:rPr>
            </w:pPr>
            <w:r>
              <w:rPr>
                <w:rFonts w:ascii="Arial" w:cs="Arial" w:eastAsia="Arial" w:hAnsi="Arial"/>
                <w:sz w:val="12"/>
                <w:szCs w:val="12"/>
                <w:b w:val="1"/>
                <w:bCs w:val="1"/>
                <w:color w:val="auto"/>
              </w:rPr>
              <w:t>Table 1 - Financial Highlights</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3380" w:type="dxa"/>
            <w:vAlign w:val="bottom"/>
            <w:gridSpan w:val="2"/>
          </w:tcPr>
          <w:p>
            <w:pPr>
              <w:ind w:left="40"/>
              <w:spacing w:after="0"/>
              <w:rPr>
                <w:sz w:val="20"/>
                <w:szCs w:val="20"/>
                <w:color w:val="auto"/>
              </w:rPr>
            </w:pPr>
            <w:r>
              <w:rPr>
                <w:rFonts w:ascii="Arial" w:cs="Arial" w:eastAsia="Arial" w:hAnsi="Arial"/>
                <w:sz w:val="12"/>
                <w:szCs w:val="12"/>
                <w:b w:val="1"/>
                <w:bCs w:val="1"/>
                <w:color w:val="auto"/>
              </w:rPr>
              <w:t>Selected Financial Information</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2"/>
                <w:szCs w:val="12"/>
                <w:b w:val="1"/>
                <w:bCs w:val="1"/>
                <w:color w:val="auto"/>
              </w:rPr>
              <w:t>2018</w:t>
            </w:r>
          </w:p>
        </w:tc>
        <w:tc>
          <w:tcPr>
            <w:tcW w:w="1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vMerge w:val="restart"/>
          </w:tcPr>
          <w:p>
            <w:pPr>
              <w:jc w:val="right"/>
              <w:ind w:right="20"/>
              <w:spacing w:after="0"/>
              <w:rPr>
                <w:sz w:val="20"/>
                <w:szCs w:val="20"/>
                <w:color w:val="auto"/>
              </w:rPr>
            </w:pPr>
            <w:r>
              <w:rPr>
                <w:rFonts w:ascii="Arial" w:cs="Arial" w:eastAsia="Arial" w:hAnsi="Arial"/>
                <w:sz w:val="12"/>
                <w:szCs w:val="12"/>
                <w:b w:val="1"/>
                <w:bCs w:val="1"/>
                <w:color w:val="auto"/>
                <w:w w:val="98"/>
              </w:rPr>
              <w:t>First Quarter 2019 -</w:t>
            </w:r>
          </w:p>
        </w:tc>
        <w:tc>
          <w:tcPr>
            <w:tcW w:w="0" w:type="dxa"/>
            <w:vAlign w:val="bottom"/>
          </w:tcPr>
          <w:p>
            <w:pPr>
              <w:spacing w:after="0"/>
              <w:rPr>
                <w:sz w:val="1"/>
                <w:szCs w:val="1"/>
                <w:color w:val="auto"/>
              </w:rPr>
            </w:pPr>
          </w:p>
        </w:tc>
      </w:tr>
      <w:tr>
        <w:trPr>
          <w:trHeight w:val="95"/>
        </w:trPr>
        <w:tc>
          <w:tcPr>
            <w:tcW w:w="3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326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i w:val="1"/>
                <w:iCs w:val="1"/>
                <w:color w:val="auto"/>
              </w:rPr>
              <w:t>(in thousands, except per share data)</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First Quarter</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rPr>
              <w:t>Fourth Quarter</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rPr>
              <w:t>Third Quarter</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w w:val="95"/>
              </w:rPr>
              <w:t>Second Quarter</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First Quarter</w:t>
            </w:r>
          </w:p>
        </w:tc>
        <w:tc>
          <w:tcPr>
            <w:tcW w:w="120" w:type="dxa"/>
            <w:vAlign w:val="bottom"/>
          </w:tcPr>
          <w:p>
            <w:pPr>
              <w:spacing w:after="0"/>
              <w:rPr>
                <w:sz w:val="14"/>
                <w:szCs w:val="14"/>
                <w:color w:val="auto"/>
              </w:rPr>
            </w:pPr>
          </w:p>
        </w:tc>
        <w:tc>
          <w:tcPr>
            <w:tcW w:w="118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2018 Change</w:t>
            </w:r>
          </w:p>
        </w:tc>
        <w:tc>
          <w:tcPr>
            <w:tcW w:w="0" w:type="dxa"/>
            <w:vAlign w:val="bottom"/>
          </w:tcPr>
          <w:p>
            <w:pPr>
              <w:spacing w:after="0"/>
              <w:rPr>
                <w:sz w:val="1"/>
                <w:szCs w:val="1"/>
                <w:color w:val="auto"/>
              </w:rPr>
            </w:pPr>
          </w:p>
        </w:tc>
      </w:tr>
      <w:tr>
        <w:trPr>
          <w:trHeight w:val="261"/>
        </w:trPr>
        <w:tc>
          <w:tcPr>
            <w:tcW w:w="3380" w:type="dxa"/>
            <w:vAlign w:val="bottom"/>
            <w:gridSpan w:val="2"/>
          </w:tcPr>
          <w:p>
            <w:pPr>
              <w:ind w:left="40"/>
              <w:spacing w:after="0"/>
              <w:rPr>
                <w:sz w:val="20"/>
                <w:szCs w:val="20"/>
                <w:color w:val="auto"/>
              </w:rPr>
            </w:pPr>
            <w:r>
              <w:rPr>
                <w:rFonts w:ascii="Arial" w:cs="Arial" w:eastAsia="Arial" w:hAnsi="Arial"/>
                <w:sz w:val="12"/>
                <w:szCs w:val="12"/>
                <w:b w:val="1"/>
                <w:bCs w:val="1"/>
                <w:color w:val="auto"/>
              </w:rPr>
              <w:t>INCOME SUMMARY</w:t>
            </w: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33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Interest revenue</w:t>
            </w: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136,516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133,854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128,721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122,215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115,290</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80" w:type="dxa"/>
            <w:vAlign w:val="bottom"/>
            <w:tcBorders>
              <w:bottom w:val="single" w:sz="8" w:color="CCEEFF"/>
            </w:tcBorders>
            <w:gridSpan w:val="2"/>
          </w:tcPr>
          <w:p>
            <w:pPr>
              <w:ind w:left="40"/>
              <w:spacing w:after="0"/>
              <w:rPr>
                <w:sz w:val="20"/>
                <w:szCs w:val="20"/>
                <w:color w:val="auto"/>
              </w:rPr>
            </w:pPr>
            <w:r>
              <w:rPr>
                <w:rFonts w:ascii="Arial" w:cs="Arial" w:eastAsia="Arial" w:hAnsi="Arial"/>
                <w:sz w:val="12"/>
                <w:szCs w:val="12"/>
                <w:color w:val="auto"/>
              </w:rPr>
              <w:t>Interest expense</w:t>
            </w: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20,882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18,975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16,611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13,739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12,005</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38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Net interest revenue</w:t>
            </w: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115,634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114,879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112,110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108,476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103,285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12 %</w:t>
            </w:r>
          </w:p>
        </w:tc>
        <w:tc>
          <w:tcPr>
            <w:tcW w:w="0" w:type="dxa"/>
            <w:vAlign w:val="bottom"/>
          </w:tcPr>
          <w:p>
            <w:pPr>
              <w:spacing w:after="0"/>
              <w:rPr>
                <w:sz w:val="1"/>
                <w:szCs w:val="1"/>
                <w:color w:val="auto"/>
              </w:rPr>
            </w:pPr>
          </w:p>
        </w:tc>
      </w:tr>
      <w:tr>
        <w:trPr>
          <w:trHeight w:val="261"/>
        </w:trPr>
        <w:tc>
          <w:tcPr>
            <w:tcW w:w="3380" w:type="dxa"/>
            <w:vAlign w:val="bottom"/>
            <w:gridSpan w:val="2"/>
          </w:tcPr>
          <w:p>
            <w:pPr>
              <w:ind w:left="40"/>
              <w:spacing w:after="0"/>
              <w:rPr>
                <w:sz w:val="20"/>
                <w:szCs w:val="20"/>
                <w:color w:val="auto"/>
              </w:rPr>
            </w:pPr>
            <w:r>
              <w:rPr>
                <w:rFonts w:ascii="Arial" w:cs="Arial" w:eastAsia="Arial" w:hAnsi="Arial"/>
                <w:sz w:val="12"/>
                <w:szCs w:val="12"/>
                <w:color w:val="auto"/>
              </w:rPr>
              <w:t>Provision for credit losses</w:t>
            </w:r>
          </w:p>
        </w:tc>
        <w:tc>
          <w:tcPr>
            <w:tcW w:w="180" w:type="dxa"/>
            <w:vAlign w:val="bottom"/>
          </w:tcPr>
          <w:p>
            <w:pPr>
              <w:spacing w:after="0"/>
              <w:rPr>
                <w:sz w:val="22"/>
                <w:szCs w:val="22"/>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3,300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80"/>
              <w:spacing w:after="0"/>
              <w:rPr>
                <w:sz w:val="20"/>
                <w:szCs w:val="20"/>
                <w:color w:val="auto"/>
              </w:rPr>
            </w:pPr>
            <w:r>
              <w:rPr>
                <w:rFonts w:ascii="Arial" w:cs="Arial" w:eastAsia="Arial" w:hAnsi="Arial"/>
                <w:sz w:val="12"/>
                <w:szCs w:val="12"/>
                <w:color w:val="auto"/>
              </w:rPr>
              <w:t>2,100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1,800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1,800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80"/>
              <w:spacing w:after="0"/>
              <w:rPr>
                <w:sz w:val="20"/>
                <w:szCs w:val="20"/>
                <w:color w:val="auto"/>
              </w:rPr>
            </w:pPr>
            <w:r>
              <w:rPr>
                <w:rFonts w:ascii="Arial" w:cs="Arial" w:eastAsia="Arial" w:hAnsi="Arial"/>
                <w:sz w:val="12"/>
                <w:szCs w:val="12"/>
                <w:color w:val="auto"/>
              </w:rPr>
              <w:t>3,800</w:t>
            </w:r>
          </w:p>
        </w:tc>
        <w:tc>
          <w:tcPr>
            <w:tcW w:w="1300" w:type="dxa"/>
            <w:vAlign w:val="bottom"/>
            <w:gridSpan w:val="2"/>
          </w:tcPr>
          <w:p>
            <w:pPr>
              <w:jc w:val="right"/>
              <w:ind w:right="60"/>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279"/>
        </w:trPr>
        <w:tc>
          <w:tcPr>
            <w:tcW w:w="33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Noninterest income</w:t>
            </w:r>
          </w:p>
        </w:tc>
        <w:tc>
          <w:tcPr>
            <w:tcW w:w="1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20,968</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23,045</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24,180</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23,340</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22,396</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241"/>
        </w:trPr>
        <w:tc>
          <w:tcPr>
            <w:tcW w:w="3380" w:type="dxa"/>
            <w:vAlign w:val="bottom"/>
            <w:gridSpan w:val="2"/>
          </w:tcPr>
          <w:p>
            <w:pPr>
              <w:ind w:left="180"/>
              <w:spacing w:after="0"/>
              <w:rPr>
                <w:sz w:val="20"/>
                <w:szCs w:val="20"/>
                <w:color w:val="auto"/>
              </w:rPr>
            </w:pPr>
            <w:r>
              <w:rPr>
                <w:rFonts w:ascii="Arial" w:cs="Arial" w:eastAsia="Arial" w:hAnsi="Arial"/>
                <w:sz w:val="12"/>
                <w:szCs w:val="12"/>
                <w:b w:val="1"/>
                <w:bCs w:val="1"/>
                <w:color w:val="auto"/>
              </w:rPr>
              <w:t>Total revenue</w:t>
            </w:r>
          </w:p>
        </w:tc>
        <w:tc>
          <w:tcPr>
            <w:tcW w:w="18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133,302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80"/>
              <w:spacing w:after="0"/>
              <w:rPr>
                <w:sz w:val="20"/>
                <w:szCs w:val="20"/>
                <w:color w:val="auto"/>
              </w:rPr>
            </w:pPr>
            <w:r>
              <w:rPr>
                <w:rFonts w:ascii="Arial" w:cs="Arial" w:eastAsia="Arial" w:hAnsi="Arial"/>
                <w:sz w:val="12"/>
                <w:szCs w:val="12"/>
                <w:color w:val="auto"/>
              </w:rPr>
              <w:t>135,824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134,490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130,016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80"/>
              <w:spacing w:after="0"/>
              <w:rPr>
                <w:sz w:val="20"/>
                <w:szCs w:val="20"/>
                <w:color w:val="auto"/>
              </w:rPr>
            </w:pPr>
            <w:r>
              <w:rPr>
                <w:rFonts w:ascii="Arial" w:cs="Arial" w:eastAsia="Arial" w:hAnsi="Arial"/>
                <w:sz w:val="12"/>
                <w:szCs w:val="12"/>
                <w:color w:val="auto"/>
              </w:rPr>
              <w:t>121,881</w:t>
            </w:r>
          </w:p>
        </w:tc>
        <w:tc>
          <w:tcPr>
            <w:tcW w:w="1300" w:type="dxa"/>
            <w:vAlign w:val="bottom"/>
            <w:gridSpan w:val="2"/>
          </w:tcPr>
          <w:p>
            <w:pPr>
              <w:jc w:val="right"/>
              <w:ind w:right="100"/>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273"/>
        </w:trPr>
        <w:tc>
          <w:tcPr>
            <w:tcW w:w="33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Expenses</w:t>
            </w: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76,084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78,242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77,718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76,850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73,475</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48"/>
        </w:trPr>
        <w:tc>
          <w:tcPr>
            <w:tcW w:w="3380" w:type="dxa"/>
            <w:vAlign w:val="bottom"/>
            <w:gridSpan w:val="2"/>
          </w:tcPr>
          <w:p>
            <w:pPr>
              <w:ind w:left="180"/>
              <w:spacing w:after="0"/>
              <w:rPr>
                <w:sz w:val="20"/>
                <w:szCs w:val="20"/>
                <w:color w:val="auto"/>
              </w:rPr>
            </w:pPr>
            <w:r>
              <w:rPr>
                <w:rFonts w:ascii="Arial" w:cs="Arial" w:eastAsia="Arial" w:hAnsi="Arial"/>
                <w:sz w:val="12"/>
                <w:szCs w:val="12"/>
                <w:color w:val="auto"/>
              </w:rPr>
              <w:t>Income before income tax expense</w:t>
            </w:r>
          </w:p>
        </w:tc>
        <w:tc>
          <w:tcPr>
            <w:tcW w:w="180" w:type="dxa"/>
            <w:vAlign w:val="bottom"/>
          </w:tcPr>
          <w:p>
            <w:pPr>
              <w:spacing w:after="0"/>
              <w:rPr>
                <w:sz w:val="21"/>
                <w:szCs w:val="21"/>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57,218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80"/>
              <w:spacing w:after="0"/>
              <w:rPr>
                <w:sz w:val="20"/>
                <w:szCs w:val="20"/>
                <w:color w:val="auto"/>
              </w:rPr>
            </w:pPr>
            <w:r>
              <w:rPr>
                <w:rFonts w:ascii="Arial" w:cs="Arial" w:eastAsia="Arial" w:hAnsi="Arial"/>
                <w:sz w:val="12"/>
                <w:szCs w:val="12"/>
                <w:color w:val="auto"/>
              </w:rPr>
              <w:t>57,582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56,772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53,166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80"/>
              <w:spacing w:after="0"/>
              <w:rPr>
                <w:sz w:val="20"/>
                <w:szCs w:val="20"/>
                <w:color w:val="auto"/>
              </w:rPr>
            </w:pPr>
            <w:r>
              <w:rPr>
                <w:rFonts w:ascii="Arial" w:cs="Arial" w:eastAsia="Arial" w:hAnsi="Arial"/>
                <w:sz w:val="12"/>
                <w:szCs w:val="12"/>
                <w:color w:val="auto"/>
              </w:rPr>
              <w:t>48,406</w:t>
            </w:r>
          </w:p>
        </w:tc>
        <w:tc>
          <w:tcPr>
            <w:tcW w:w="1300" w:type="dxa"/>
            <w:vAlign w:val="bottom"/>
            <w:gridSpan w:val="2"/>
          </w:tcPr>
          <w:p>
            <w:pPr>
              <w:jc w:val="right"/>
              <w:ind w:right="100"/>
              <w:spacing w:after="0"/>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r>
        <w:trPr>
          <w:trHeight w:val="279"/>
        </w:trPr>
        <w:tc>
          <w:tcPr>
            <w:tcW w:w="33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Income tax expense</w:t>
            </w:r>
          </w:p>
        </w:tc>
        <w:tc>
          <w:tcPr>
            <w:tcW w:w="1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12,956</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12,445</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13,090</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13,532</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10,748</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21</w:t>
            </w:r>
          </w:p>
        </w:tc>
        <w:tc>
          <w:tcPr>
            <w:tcW w:w="0" w:type="dxa"/>
            <w:vAlign w:val="bottom"/>
          </w:tcPr>
          <w:p>
            <w:pPr>
              <w:spacing w:after="0"/>
              <w:rPr>
                <w:sz w:val="1"/>
                <w:szCs w:val="1"/>
                <w:color w:val="auto"/>
              </w:rPr>
            </w:pPr>
          </w:p>
        </w:tc>
      </w:tr>
      <w:tr>
        <w:trPr>
          <w:trHeight w:val="241"/>
        </w:trPr>
        <w:tc>
          <w:tcPr>
            <w:tcW w:w="3380" w:type="dxa"/>
            <w:vAlign w:val="bottom"/>
            <w:gridSpan w:val="2"/>
          </w:tcPr>
          <w:p>
            <w:pPr>
              <w:ind w:left="180"/>
              <w:spacing w:after="0"/>
              <w:rPr>
                <w:sz w:val="20"/>
                <w:szCs w:val="20"/>
                <w:color w:val="auto"/>
              </w:rPr>
            </w:pPr>
            <w:r>
              <w:rPr>
                <w:rFonts w:ascii="Arial" w:cs="Arial" w:eastAsia="Arial" w:hAnsi="Arial"/>
                <w:sz w:val="12"/>
                <w:szCs w:val="12"/>
                <w:b w:val="1"/>
                <w:bCs w:val="1"/>
                <w:color w:val="auto"/>
              </w:rPr>
              <w:t>Net income</w:t>
            </w:r>
          </w:p>
        </w:tc>
        <w:tc>
          <w:tcPr>
            <w:tcW w:w="180" w:type="dxa"/>
            <w:vAlign w:val="bottom"/>
          </w:tcPr>
          <w:p>
            <w:pPr>
              <w:spacing w:after="0"/>
              <w:rPr>
                <w:sz w:val="20"/>
                <w:szCs w:val="20"/>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44,262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80"/>
              <w:spacing w:after="0"/>
              <w:rPr>
                <w:sz w:val="20"/>
                <w:szCs w:val="20"/>
                <w:color w:val="auto"/>
              </w:rPr>
            </w:pPr>
            <w:r>
              <w:rPr>
                <w:rFonts w:ascii="Arial" w:cs="Arial" w:eastAsia="Arial" w:hAnsi="Arial"/>
                <w:sz w:val="12"/>
                <w:szCs w:val="12"/>
                <w:color w:val="auto"/>
              </w:rPr>
              <w:t>45,137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43,682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39,634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80"/>
              <w:spacing w:after="0"/>
              <w:rPr>
                <w:sz w:val="20"/>
                <w:szCs w:val="20"/>
                <w:color w:val="auto"/>
              </w:rPr>
            </w:pPr>
            <w:r>
              <w:rPr>
                <w:rFonts w:ascii="Arial" w:cs="Arial" w:eastAsia="Arial" w:hAnsi="Arial"/>
                <w:sz w:val="12"/>
                <w:szCs w:val="12"/>
                <w:color w:val="auto"/>
              </w:rPr>
              <w:t>37,658</w:t>
            </w:r>
          </w:p>
        </w:tc>
        <w:tc>
          <w:tcPr>
            <w:tcW w:w="1300" w:type="dxa"/>
            <w:vAlign w:val="bottom"/>
            <w:gridSpan w:val="2"/>
          </w:tcPr>
          <w:p>
            <w:pPr>
              <w:jc w:val="right"/>
              <w:ind w:right="100"/>
              <w:spacing w:after="0"/>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r>
        <w:trPr>
          <w:trHeight w:val="279"/>
        </w:trPr>
        <w:tc>
          <w:tcPr>
            <w:tcW w:w="33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Merger-related and other charges</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739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1,234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592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2,873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2,646</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80" w:type="dxa"/>
            <w:vAlign w:val="bottom"/>
            <w:tcBorders>
              <w:bottom w:val="single" w:sz="8" w:color="CCEEFF"/>
            </w:tcBorders>
            <w:gridSpan w:val="2"/>
          </w:tcPr>
          <w:p>
            <w:pPr>
              <w:ind w:left="40"/>
              <w:spacing w:after="0"/>
              <w:rPr>
                <w:sz w:val="20"/>
                <w:szCs w:val="20"/>
                <w:color w:val="auto"/>
              </w:rPr>
            </w:pPr>
            <w:r>
              <w:rPr>
                <w:rFonts w:ascii="Arial" w:cs="Arial" w:eastAsia="Arial" w:hAnsi="Arial"/>
                <w:sz w:val="12"/>
                <w:szCs w:val="12"/>
                <w:color w:val="auto"/>
              </w:rPr>
              <w:t>Income tax benefit of merger-related and other charges</w:t>
            </w: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(172)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(604)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(141)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(121)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(628)</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2"/>
                <w:szCs w:val="12"/>
                <w:b w:val="1"/>
                <w:bCs w:val="1"/>
                <w:color w:val="auto"/>
              </w:rPr>
              <w:t xml:space="preserve">Net income - operating </w:t>
            </w:r>
            <w:r>
              <w:rPr>
                <w:rFonts w:ascii="Arial" w:cs="Arial" w:eastAsia="Arial" w:hAnsi="Arial"/>
                <w:sz w:val="20"/>
                <w:szCs w:val="20"/>
                <w:b w:val="1"/>
                <w:bCs w:val="1"/>
                <w:color w:val="auto"/>
                <w:vertAlign w:val="superscript"/>
              </w:rPr>
              <w:t>(1)</w:t>
            </w: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89"/>
              </w:rPr>
              <w:t>$</w:t>
            </w:r>
          </w:p>
        </w:tc>
        <w:tc>
          <w:tcPr>
            <w:tcW w:w="10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44,829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11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45,767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89"/>
              </w:rPr>
              <w:t>$</w:t>
            </w:r>
          </w:p>
        </w:tc>
        <w:tc>
          <w:tcPr>
            <w:tcW w:w="10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44,133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b w:val="1"/>
                <w:bCs w:val="1"/>
                <w:color w:val="auto"/>
                <w:w w:val="89"/>
              </w:rPr>
              <w:t>$</w:t>
            </w:r>
          </w:p>
        </w:tc>
        <w:tc>
          <w:tcPr>
            <w:tcW w:w="11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42,386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89"/>
              </w:rPr>
              <w:t>$</w:t>
            </w:r>
          </w:p>
        </w:tc>
        <w:tc>
          <w:tcPr>
            <w:tcW w:w="10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39,676</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3380" w:type="dxa"/>
            <w:vAlign w:val="bottom"/>
            <w:gridSpan w:val="2"/>
            <w:shd w:val="clear" w:color="auto" w:fill="CCEEFF"/>
          </w:tcPr>
          <w:p>
            <w:pPr>
              <w:ind w:left="40"/>
              <w:spacing w:after="0"/>
              <w:rPr>
                <w:sz w:val="20"/>
                <w:szCs w:val="20"/>
                <w:color w:val="auto"/>
              </w:rPr>
            </w:pPr>
            <w:r>
              <w:rPr>
                <w:rFonts w:ascii="Arial" w:cs="Arial" w:eastAsia="Arial" w:hAnsi="Arial"/>
                <w:sz w:val="12"/>
                <w:szCs w:val="12"/>
                <w:b w:val="1"/>
                <w:bCs w:val="1"/>
                <w:color w:val="auto"/>
              </w:rPr>
              <w:t>PERFORMANCE MEASURES</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3380" w:type="dxa"/>
            <w:vAlign w:val="bottom"/>
            <w:gridSpan w:val="2"/>
          </w:tcPr>
          <w:p>
            <w:pPr>
              <w:ind w:left="180"/>
              <w:spacing w:after="0"/>
              <w:rPr>
                <w:sz w:val="20"/>
                <w:szCs w:val="20"/>
                <w:color w:val="auto"/>
              </w:rPr>
            </w:pPr>
            <w:r>
              <w:rPr>
                <w:rFonts w:ascii="Arial" w:cs="Arial" w:eastAsia="Arial" w:hAnsi="Arial"/>
                <w:sz w:val="12"/>
                <w:szCs w:val="12"/>
                <w:color w:val="auto"/>
              </w:rPr>
              <w:t>Per common share:</w:t>
            </w: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338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Diluted net income - GAAP</w:t>
            </w: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0.55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0.56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0.54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0.49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0.47</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270"/>
        </w:trPr>
        <w:tc>
          <w:tcPr>
            <w:tcW w:w="3380" w:type="dxa"/>
            <w:vAlign w:val="bottom"/>
            <w:gridSpan w:val="2"/>
          </w:tcPr>
          <w:p>
            <w:pPr>
              <w:ind w:left="280"/>
              <w:spacing w:after="0"/>
              <w:rPr>
                <w:sz w:val="20"/>
                <w:szCs w:val="20"/>
                <w:color w:val="auto"/>
              </w:rPr>
            </w:pPr>
            <w:r>
              <w:rPr>
                <w:rFonts w:ascii="Arial" w:cs="Arial" w:eastAsia="Arial" w:hAnsi="Arial"/>
                <w:sz w:val="12"/>
                <w:szCs w:val="12"/>
                <w:color w:val="auto"/>
              </w:rPr>
              <w:t xml:space="preserve">Diluted net income - operating </w:t>
            </w:r>
            <w:r>
              <w:rPr>
                <w:rFonts w:ascii="Arial" w:cs="Arial" w:eastAsia="Arial" w:hAnsi="Arial"/>
                <w:sz w:val="20"/>
                <w:szCs w:val="20"/>
                <w:color w:val="auto"/>
                <w:vertAlign w:val="superscript"/>
              </w:rPr>
              <w:t>(1)</w:t>
            </w:r>
          </w:p>
        </w:tc>
        <w:tc>
          <w:tcPr>
            <w:tcW w:w="180" w:type="dxa"/>
            <w:vAlign w:val="bottom"/>
          </w:tcPr>
          <w:p>
            <w:pPr>
              <w:spacing w:after="0"/>
              <w:rPr>
                <w:sz w:val="23"/>
                <w:szCs w:val="23"/>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0.56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12"/>
                <w:szCs w:val="12"/>
                <w:color w:val="auto"/>
              </w:rPr>
              <w:t>0.57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0.55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0.53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2"/>
                <w:szCs w:val="12"/>
                <w:color w:val="auto"/>
              </w:rPr>
              <w:t>0.50</w:t>
            </w:r>
          </w:p>
        </w:tc>
        <w:tc>
          <w:tcPr>
            <w:tcW w:w="1300" w:type="dxa"/>
            <w:vAlign w:val="bottom"/>
            <w:gridSpan w:val="2"/>
          </w:tcPr>
          <w:p>
            <w:pPr>
              <w:jc w:val="right"/>
              <w:ind w:right="100"/>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270"/>
        </w:trPr>
        <w:tc>
          <w:tcPr>
            <w:tcW w:w="338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Cash dividends declared</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0.16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0.16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0.15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0.15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0.12</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33</w:t>
            </w:r>
          </w:p>
        </w:tc>
        <w:tc>
          <w:tcPr>
            <w:tcW w:w="0" w:type="dxa"/>
            <w:vAlign w:val="bottom"/>
          </w:tcPr>
          <w:p>
            <w:pPr>
              <w:spacing w:after="0"/>
              <w:rPr>
                <w:sz w:val="1"/>
                <w:szCs w:val="1"/>
                <w:color w:val="auto"/>
              </w:rPr>
            </w:pPr>
          </w:p>
        </w:tc>
      </w:tr>
      <w:tr>
        <w:trPr>
          <w:trHeight w:val="261"/>
        </w:trPr>
        <w:tc>
          <w:tcPr>
            <w:tcW w:w="3380" w:type="dxa"/>
            <w:vAlign w:val="bottom"/>
            <w:gridSpan w:val="2"/>
          </w:tcPr>
          <w:p>
            <w:pPr>
              <w:ind w:left="280"/>
              <w:spacing w:after="0"/>
              <w:rPr>
                <w:sz w:val="20"/>
                <w:szCs w:val="20"/>
                <w:color w:val="auto"/>
              </w:rPr>
            </w:pPr>
            <w:r>
              <w:rPr>
                <w:rFonts w:ascii="Arial" w:cs="Arial" w:eastAsia="Arial" w:hAnsi="Arial"/>
                <w:sz w:val="12"/>
                <w:szCs w:val="12"/>
                <w:color w:val="auto"/>
              </w:rPr>
              <w:t>Book value</w:t>
            </w:r>
          </w:p>
        </w:tc>
        <w:tc>
          <w:tcPr>
            <w:tcW w:w="180" w:type="dxa"/>
            <w:vAlign w:val="bottom"/>
          </w:tcPr>
          <w:p>
            <w:pPr>
              <w:spacing w:after="0"/>
              <w:rPr>
                <w:sz w:val="22"/>
                <w:szCs w:val="22"/>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18.93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80"/>
              <w:spacing w:after="0"/>
              <w:rPr>
                <w:sz w:val="20"/>
                <w:szCs w:val="20"/>
                <w:color w:val="auto"/>
              </w:rPr>
            </w:pPr>
            <w:r>
              <w:rPr>
                <w:rFonts w:ascii="Arial" w:cs="Arial" w:eastAsia="Arial" w:hAnsi="Arial"/>
                <w:sz w:val="12"/>
                <w:szCs w:val="12"/>
                <w:color w:val="auto"/>
              </w:rPr>
              <w:t>18.24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17.56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17.29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80"/>
              <w:spacing w:after="0"/>
              <w:rPr>
                <w:sz w:val="20"/>
                <w:szCs w:val="20"/>
                <w:color w:val="auto"/>
              </w:rPr>
            </w:pPr>
            <w:r>
              <w:rPr>
                <w:rFonts w:ascii="Arial" w:cs="Arial" w:eastAsia="Arial" w:hAnsi="Arial"/>
                <w:sz w:val="12"/>
                <w:szCs w:val="12"/>
                <w:color w:val="auto"/>
              </w:rPr>
              <w:t>17.02</w:t>
            </w:r>
          </w:p>
        </w:tc>
        <w:tc>
          <w:tcPr>
            <w:tcW w:w="1300" w:type="dxa"/>
            <w:vAlign w:val="bottom"/>
            <w:gridSpan w:val="2"/>
          </w:tcPr>
          <w:p>
            <w:pPr>
              <w:jc w:val="right"/>
              <w:ind w:right="100"/>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279"/>
        </w:trPr>
        <w:tc>
          <w:tcPr>
            <w:tcW w:w="338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 xml:space="preserve">Tangible book value </w:t>
            </w:r>
            <w:r>
              <w:rPr>
                <w:rFonts w:ascii="Arial" w:cs="Arial" w:eastAsia="Arial" w:hAnsi="Arial"/>
                <w:sz w:val="20"/>
                <w:szCs w:val="20"/>
                <w:color w:val="auto"/>
                <w:vertAlign w:val="superscript"/>
              </w:rPr>
              <w:t>(3)</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14.93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14.24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13.54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13.25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12.96</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261"/>
        </w:trPr>
        <w:tc>
          <w:tcPr>
            <w:tcW w:w="3380" w:type="dxa"/>
            <w:vAlign w:val="bottom"/>
            <w:gridSpan w:val="2"/>
          </w:tcPr>
          <w:p>
            <w:pPr>
              <w:ind w:left="180"/>
              <w:spacing w:after="0"/>
              <w:rPr>
                <w:sz w:val="20"/>
                <w:szCs w:val="20"/>
                <w:color w:val="auto"/>
              </w:rPr>
            </w:pPr>
            <w:r>
              <w:rPr>
                <w:rFonts w:ascii="Arial" w:cs="Arial" w:eastAsia="Arial" w:hAnsi="Arial"/>
                <w:sz w:val="12"/>
                <w:szCs w:val="12"/>
                <w:color w:val="auto"/>
              </w:rPr>
              <w:t>Key performance ratios:</w:t>
            </w: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338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 xml:space="preserve">Return on common equity - GAAP </w:t>
            </w:r>
            <w:r>
              <w:rPr>
                <w:rFonts w:ascii="Arial" w:cs="Arial" w:eastAsia="Arial" w:hAnsi="Arial"/>
                <w:sz w:val="20"/>
                <w:szCs w:val="20"/>
                <w:color w:val="auto"/>
                <w:vertAlign w:val="superscript"/>
              </w:rPr>
              <w:t>(2)(4)</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11.11%</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80" w:type="dxa"/>
            <w:vAlign w:val="bottom"/>
            <w:gridSpan w:val="2"/>
          </w:tcPr>
          <w:p>
            <w:pPr>
              <w:ind w:left="280"/>
              <w:spacing w:after="0"/>
              <w:rPr>
                <w:sz w:val="20"/>
                <w:szCs w:val="20"/>
                <w:color w:val="auto"/>
              </w:rPr>
            </w:pPr>
            <w:r>
              <w:rPr>
                <w:rFonts w:ascii="Arial" w:cs="Arial" w:eastAsia="Arial" w:hAnsi="Arial"/>
                <w:sz w:val="12"/>
                <w:szCs w:val="12"/>
                <w:color w:val="auto"/>
              </w:rPr>
              <w:t xml:space="preserve">Return on common equity - operating </w:t>
            </w:r>
            <w:r>
              <w:rPr>
                <w:rFonts w:ascii="Arial" w:cs="Arial" w:eastAsia="Arial" w:hAnsi="Arial"/>
                <w:sz w:val="20"/>
                <w:szCs w:val="20"/>
                <w:color w:val="auto"/>
                <w:vertAlign w:val="superscript"/>
              </w:rPr>
              <w:t>(1)(2)(4)</w:t>
            </w:r>
          </w:p>
        </w:tc>
        <w:tc>
          <w:tcPr>
            <w:tcW w:w="180" w:type="dxa"/>
            <w:vAlign w:val="bottom"/>
          </w:tcPr>
          <w:p>
            <w:pPr>
              <w:spacing w:after="0"/>
              <w:rPr>
                <w:sz w:val="23"/>
                <w:szCs w:val="23"/>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12.00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12"/>
                <w:szCs w:val="12"/>
                <w:color w:val="auto"/>
              </w:rPr>
              <w:t>12.25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12.09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11.97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2"/>
                <w:szCs w:val="12"/>
                <w:color w:val="auto"/>
              </w:rPr>
              <w:t>11.71</w:t>
            </w: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8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w w:val="98"/>
              </w:rPr>
              <w:t xml:space="preserve">Return on tangible common equity - operating </w:t>
            </w:r>
            <w:r>
              <w:rPr>
                <w:rFonts w:ascii="Arial" w:cs="Arial" w:eastAsia="Arial" w:hAnsi="Arial"/>
                <w:sz w:val="20"/>
                <w:szCs w:val="20"/>
                <w:color w:val="auto"/>
                <w:w w:val="98"/>
                <w:vertAlign w:val="superscript"/>
              </w:rPr>
              <w:t>(1)(2)(3)(4)</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15.46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15.88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15.81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15.79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15.26</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80" w:type="dxa"/>
            <w:vAlign w:val="bottom"/>
            <w:gridSpan w:val="2"/>
          </w:tcPr>
          <w:p>
            <w:pPr>
              <w:ind w:left="280"/>
              <w:spacing w:after="0"/>
              <w:rPr>
                <w:sz w:val="20"/>
                <w:szCs w:val="20"/>
                <w:color w:val="auto"/>
              </w:rPr>
            </w:pPr>
            <w:r>
              <w:rPr>
                <w:rFonts w:ascii="Arial" w:cs="Arial" w:eastAsia="Arial" w:hAnsi="Arial"/>
                <w:sz w:val="12"/>
                <w:szCs w:val="12"/>
                <w:color w:val="auto"/>
              </w:rPr>
              <w:t xml:space="preserve">Return on assets - GAAP </w:t>
            </w:r>
            <w:r>
              <w:rPr>
                <w:rFonts w:ascii="Arial" w:cs="Arial" w:eastAsia="Arial" w:hAnsi="Arial"/>
                <w:sz w:val="20"/>
                <w:szCs w:val="20"/>
                <w:color w:val="auto"/>
                <w:vertAlign w:val="superscript"/>
              </w:rPr>
              <w:t>(4)</w:t>
            </w:r>
          </w:p>
        </w:tc>
        <w:tc>
          <w:tcPr>
            <w:tcW w:w="180" w:type="dxa"/>
            <w:vAlign w:val="bottom"/>
          </w:tcPr>
          <w:p>
            <w:pPr>
              <w:spacing w:after="0"/>
              <w:rPr>
                <w:sz w:val="23"/>
                <w:szCs w:val="23"/>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1.44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12"/>
                <w:szCs w:val="12"/>
                <w:color w:val="auto"/>
              </w:rPr>
              <w:t>1.43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1.41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1.30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2"/>
                <w:szCs w:val="12"/>
                <w:color w:val="auto"/>
              </w:rPr>
              <w:t>1.26</w:t>
            </w: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8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 xml:space="preserve">Return on assets - operating </w:t>
            </w:r>
            <w:r>
              <w:rPr>
                <w:rFonts w:ascii="Arial" w:cs="Arial" w:eastAsia="Arial" w:hAnsi="Arial"/>
                <w:sz w:val="20"/>
                <w:szCs w:val="20"/>
                <w:color w:val="auto"/>
                <w:vertAlign w:val="superscript"/>
              </w:rPr>
              <w:t>(1)(4)</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1.45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1.33</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3380" w:type="dxa"/>
            <w:vAlign w:val="bottom"/>
            <w:gridSpan w:val="2"/>
          </w:tcPr>
          <w:p>
            <w:pPr>
              <w:ind w:left="280"/>
              <w:spacing w:after="0"/>
              <w:rPr>
                <w:sz w:val="20"/>
                <w:szCs w:val="20"/>
                <w:color w:val="auto"/>
              </w:rPr>
            </w:pPr>
            <w:r>
              <w:rPr>
                <w:rFonts w:ascii="Arial" w:cs="Arial" w:eastAsia="Arial" w:hAnsi="Arial"/>
                <w:sz w:val="12"/>
                <w:szCs w:val="12"/>
                <w:color w:val="auto"/>
              </w:rPr>
              <w:t>Dividend payout ratio - GAAP</w:t>
            </w:r>
          </w:p>
        </w:tc>
        <w:tc>
          <w:tcPr>
            <w:tcW w:w="180" w:type="dxa"/>
            <w:vAlign w:val="bottom"/>
          </w:tcPr>
          <w:p>
            <w:pPr>
              <w:spacing w:after="0"/>
              <w:rPr>
                <w:sz w:val="22"/>
                <w:szCs w:val="22"/>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29.09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80"/>
              <w:spacing w:after="0"/>
              <w:rPr>
                <w:sz w:val="20"/>
                <w:szCs w:val="20"/>
                <w:color w:val="auto"/>
              </w:rPr>
            </w:pPr>
            <w:r>
              <w:rPr>
                <w:rFonts w:ascii="Arial" w:cs="Arial" w:eastAsia="Arial" w:hAnsi="Arial"/>
                <w:sz w:val="12"/>
                <w:szCs w:val="12"/>
                <w:color w:val="auto"/>
              </w:rPr>
              <w:t>28.57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27.78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30.61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80"/>
              <w:spacing w:after="0"/>
              <w:rPr>
                <w:sz w:val="20"/>
                <w:szCs w:val="20"/>
                <w:color w:val="auto"/>
              </w:rPr>
            </w:pPr>
            <w:r>
              <w:rPr>
                <w:rFonts w:ascii="Arial" w:cs="Arial" w:eastAsia="Arial" w:hAnsi="Arial"/>
                <w:sz w:val="12"/>
                <w:szCs w:val="12"/>
                <w:color w:val="auto"/>
              </w:rPr>
              <w:t>25.53</w:t>
            </w: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338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 xml:space="preserve">Dividend payout ratio - operating </w:t>
            </w:r>
            <w:r>
              <w:rPr>
                <w:rFonts w:ascii="Arial" w:cs="Arial" w:eastAsia="Arial" w:hAnsi="Arial"/>
                <w:sz w:val="20"/>
                <w:szCs w:val="20"/>
                <w:color w:val="auto"/>
                <w:vertAlign w:val="superscript"/>
              </w:rPr>
              <w:t>(1)</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28.57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28.07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27.27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28.30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24.00</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80" w:type="dxa"/>
            <w:vAlign w:val="bottom"/>
            <w:gridSpan w:val="2"/>
          </w:tcPr>
          <w:p>
            <w:pPr>
              <w:ind w:left="280"/>
              <w:spacing w:after="0"/>
              <w:rPr>
                <w:sz w:val="20"/>
                <w:szCs w:val="20"/>
                <w:color w:val="auto"/>
              </w:rPr>
            </w:pPr>
            <w:r>
              <w:rPr>
                <w:rFonts w:ascii="Arial" w:cs="Arial" w:eastAsia="Arial" w:hAnsi="Arial"/>
                <w:sz w:val="12"/>
                <w:szCs w:val="12"/>
                <w:color w:val="auto"/>
              </w:rPr>
              <w:t xml:space="preserve">Net interest margin (fully taxable equivalent) </w:t>
            </w:r>
            <w:r>
              <w:rPr>
                <w:rFonts w:ascii="Arial" w:cs="Arial" w:eastAsia="Arial" w:hAnsi="Arial"/>
                <w:sz w:val="20"/>
                <w:szCs w:val="20"/>
                <w:color w:val="auto"/>
                <w:vertAlign w:val="superscript"/>
              </w:rPr>
              <w:t>(4)</w:t>
            </w:r>
          </w:p>
        </w:tc>
        <w:tc>
          <w:tcPr>
            <w:tcW w:w="180" w:type="dxa"/>
            <w:vAlign w:val="bottom"/>
          </w:tcPr>
          <w:p>
            <w:pPr>
              <w:spacing w:after="0"/>
              <w:rPr>
                <w:sz w:val="23"/>
                <w:szCs w:val="23"/>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4.10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12"/>
                <w:szCs w:val="12"/>
                <w:color w:val="auto"/>
              </w:rPr>
              <w:t>3.97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3.95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3.90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2"/>
                <w:szCs w:val="12"/>
                <w:color w:val="auto"/>
              </w:rPr>
              <w:t>3.80</w:t>
            </w: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8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Efficiency ratio - GAAP</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55.32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56.73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56.82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57.94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57.83</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80" w:type="dxa"/>
            <w:vAlign w:val="bottom"/>
            <w:gridSpan w:val="2"/>
          </w:tcPr>
          <w:p>
            <w:pPr>
              <w:ind w:left="280"/>
              <w:spacing w:after="0"/>
              <w:rPr>
                <w:sz w:val="20"/>
                <w:szCs w:val="20"/>
                <w:color w:val="auto"/>
              </w:rPr>
            </w:pPr>
            <w:r>
              <w:rPr>
                <w:rFonts w:ascii="Arial" w:cs="Arial" w:eastAsia="Arial" w:hAnsi="Arial"/>
                <w:sz w:val="12"/>
                <w:szCs w:val="12"/>
                <w:color w:val="auto"/>
              </w:rPr>
              <w:t xml:space="preserve">Efficiency ratio - operating </w:t>
            </w:r>
            <w:r>
              <w:rPr>
                <w:rFonts w:ascii="Arial" w:cs="Arial" w:eastAsia="Arial" w:hAnsi="Arial"/>
                <w:sz w:val="20"/>
                <w:szCs w:val="20"/>
                <w:color w:val="auto"/>
                <w:vertAlign w:val="superscript"/>
              </w:rPr>
              <w:t>(1)</w:t>
            </w:r>
          </w:p>
        </w:tc>
        <w:tc>
          <w:tcPr>
            <w:tcW w:w="180" w:type="dxa"/>
            <w:vAlign w:val="bottom"/>
          </w:tcPr>
          <w:p>
            <w:pPr>
              <w:spacing w:after="0"/>
              <w:rPr>
                <w:sz w:val="23"/>
                <w:szCs w:val="23"/>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54.78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12"/>
                <w:szCs w:val="12"/>
                <w:color w:val="auto"/>
              </w:rPr>
              <w:t>55.83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56.39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55.77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2"/>
                <w:szCs w:val="12"/>
                <w:color w:val="auto"/>
              </w:rPr>
              <w:t>55.75</w:t>
            </w: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8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Average equity to average assets</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11.82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11.35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11.33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11.21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11.03</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80" w:type="dxa"/>
            <w:vAlign w:val="bottom"/>
            <w:gridSpan w:val="2"/>
          </w:tcPr>
          <w:p>
            <w:pPr>
              <w:ind w:left="280"/>
              <w:spacing w:after="0"/>
              <w:rPr>
                <w:sz w:val="20"/>
                <w:szCs w:val="20"/>
                <w:color w:val="auto"/>
              </w:rPr>
            </w:pPr>
            <w:r>
              <w:rPr>
                <w:rFonts w:ascii="Arial" w:cs="Arial" w:eastAsia="Arial" w:hAnsi="Arial"/>
                <w:sz w:val="12"/>
                <w:szCs w:val="12"/>
                <w:color w:val="auto"/>
              </w:rPr>
              <w:t xml:space="preserve">Average tangible common equity to average assets </w:t>
            </w:r>
            <w:r>
              <w:rPr>
                <w:rFonts w:ascii="Arial" w:cs="Arial" w:eastAsia="Arial" w:hAnsi="Arial"/>
                <w:sz w:val="20"/>
                <w:szCs w:val="20"/>
                <w:color w:val="auto"/>
                <w:vertAlign w:val="superscript"/>
              </w:rPr>
              <w:t>(3)</w:t>
            </w:r>
          </w:p>
        </w:tc>
        <w:tc>
          <w:tcPr>
            <w:tcW w:w="180" w:type="dxa"/>
            <w:vAlign w:val="bottom"/>
          </w:tcPr>
          <w:p>
            <w:pPr>
              <w:spacing w:after="0"/>
              <w:rPr>
                <w:sz w:val="23"/>
                <w:szCs w:val="23"/>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9.53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12"/>
                <w:szCs w:val="12"/>
                <w:color w:val="auto"/>
              </w:rPr>
              <w:t>9.04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8.97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8.83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2"/>
                <w:szCs w:val="12"/>
                <w:color w:val="auto"/>
              </w:rPr>
              <w:t>8.82</w:t>
            </w: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8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 xml:space="preserve">Tangible common equity to risk-weighted assets </w:t>
            </w:r>
            <w:r>
              <w:rPr>
                <w:rFonts w:ascii="Arial" w:cs="Arial" w:eastAsia="Arial" w:hAnsi="Arial"/>
                <w:sz w:val="20"/>
                <w:szCs w:val="20"/>
                <w:color w:val="auto"/>
                <w:vertAlign w:val="superscript"/>
              </w:rPr>
              <w:t>(3)</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12.48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12.00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11.61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11.36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11.19</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3380" w:type="dxa"/>
            <w:vAlign w:val="bottom"/>
            <w:gridSpan w:val="2"/>
            <w:shd w:val="clear" w:color="auto" w:fill="CCEEFF"/>
          </w:tcPr>
          <w:p>
            <w:pPr>
              <w:ind w:left="40"/>
              <w:spacing w:after="0"/>
              <w:rPr>
                <w:sz w:val="20"/>
                <w:szCs w:val="20"/>
                <w:color w:val="auto"/>
              </w:rPr>
            </w:pPr>
            <w:r>
              <w:rPr>
                <w:rFonts w:ascii="Arial" w:cs="Arial" w:eastAsia="Arial" w:hAnsi="Arial"/>
                <w:sz w:val="12"/>
                <w:szCs w:val="12"/>
                <w:b w:val="1"/>
                <w:bCs w:val="1"/>
                <w:color w:val="auto"/>
              </w:rPr>
              <w:t>ASSET QUALITY</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3380" w:type="dxa"/>
            <w:vAlign w:val="bottom"/>
            <w:gridSpan w:val="2"/>
          </w:tcPr>
          <w:p>
            <w:pPr>
              <w:ind w:left="180"/>
              <w:spacing w:after="0"/>
              <w:rPr>
                <w:sz w:val="20"/>
                <w:szCs w:val="20"/>
                <w:color w:val="auto"/>
              </w:rPr>
            </w:pPr>
            <w:r>
              <w:rPr>
                <w:rFonts w:ascii="Arial" w:cs="Arial" w:eastAsia="Arial" w:hAnsi="Arial"/>
                <w:sz w:val="12"/>
                <w:szCs w:val="12"/>
                <w:color w:val="auto"/>
              </w:rPr>
              <w:t>Nonperforming loans</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23,624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80"/>
              <w:spacing w:after="0"/>
              <w:rPr>
                <w:sz w:val="20"/>
                <w:szCs w:val="20"/>
                <w:color w:val="auto"/>
              </w:rPr>
            </w:pPr>
            <w:r>
              <w:rPr>
                <w:rFonts w:ascii="Arial" w:cs="Arial" w:eastAsia="Arial" w:hAnsi="Arial"/>
                <w:sz w:val="12"/>
                <w:szCs w:val="12"/>
                <w:color w:val="auto"/>
              </w:rPr>
              <w:t>23,778</w:t>
            </w:r>
          </w:p>
        </w:tc>
        <w:tc>
          <w:tcPr>
            <w:tcW w:w="100" w:type="dxa"/>
            <w:vAlign w:val="bottom"/>
          </w:tcPr>
          <w:p>
            <w:pPr>
              <w:spacing w:after="0"/>
              <w:rPr>
                <w:sz w:val="22"/>
                <w:szCs w:val="22"/>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22,530</w:t>
            </w:r>
          </w:p>
        </w:tc>
        <w:tc>
          <w:tcPr>
            <w:tcW w:w="120" w:type="dxa"/>
            <w:vAlign w:val="bottom"/>
          </w:tcPr>
          <w:p>
            <w:pPr>
              <w:spacing w:after="0"/>
              <w:rPr>
                <w:sz w:val="22"/>
                <w:szCs w:val="22"/>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21,817</w:t>
            </w:r>
          </w:p>
        </w:tc>
        <w:tc>
          <w:tcPr>
            <w:tcW w:w="120" w:type="dxa"/>
            <w:vAlign w:val="bottom"/>
          </w:tcPr>
          <w:p>
            <w:pPr>
              <w:spacing w:after="0"/>
              <w:rPr>
                <w:sz w:val="22"/>
                <w:szCs w:val="22"/>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80"/>
              <w:spacing w:after="0"/>
              <w:rPr>
                <w:sz w:val="20"/>
                <w:szCs w:val="20"/>
                <w:color w:val="auto"/>
              </w:rPr>
            </w:pPr>
            <w:r>
              <w:rPr>
                <w:rFonts w:ascii="Arial" w:cs="Arial" w:eastAsia="Arial" w:hAnsi="Arial"/>
                <w:sz w:val="12"/>
                <w:szCs w:val="12"/>
                <w:color w:val="auto"/>
              </w:rPr>
              <w:t>26,240</w:t>
            </w:r>
          </w:p>
        </w:tc>
        <w:tc>
          <w:tcPr>
            <w:tcW w:w="1300" w:type="dxa"/>
            <w:vAlign w:val="bottom"/>
            <w:gridSpan w:val="2"/>
          </w:tcPr>
          <w:p>
            <w:pPr>
              <w:jc w:val="right"/>
              <w:ind w:right="60"/>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273"/>
        </w:trPr>
        <w:tc>
          <w:tcPr>
            <w:tcW w:w="338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Foreclosed properties</w:t>
            </w: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1,127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1,305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1,336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2,597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2,714</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(58)</w:t>
            </w:r>
          </w:p>
        </w:tc>
        <w:tc>
          <w:tcPr>
            <w:tcW w:w="0" w:type="dxa"/>
            <w:vAlign w:val="bottom"/>
          </w:tcPr>
          <w:p>
            <w:pPr>
              <w:spacing w:after="0"/>
              <w:rPr>
                <w:sz w:val="1"/>
                <w:szCs w:val="1"/>
                <w:color w:val="auto"/>
              </w:rPr>
            </w:pPr>
          </w:p>
        </w:tc>
      </w:tr>
      <w:tr>
        <w:trPr>
          <w:trHeight w:val="248"/>
        </w:trPr>
        <w:tc>
          <w:tcPr>
            <w:tcW w:w="3380" w:type="dxa"/>
            <w:vAlign w:val="bottom"/>
            <w:gridSpan w:val="2"/>
          </w:tcPr>
          <w:p>
            <w:pPr>
              <w:ind w:left="280"/>
              <w:spacing w:after="0"/>
              <w:rPr>
                <w:sz w:val="20"/>
                <w:szCs w:val="20"/>
                <w:color w:val="auto"/>
              </w:rPr>
            </w:pPr>
            <w:r>
              <w:rPr>
                <w:rFonts w:ascii="Arial" w:cs="Arial" w:eastAsia="Arial" w:hAnsi="Arial"/>
                <w:sz w:val="12"/>
                <w:szCs w:val="12"/>
                <w:color w:val="auto"/>
              </w:rPr>
              <w:t>Total nonperforming assets ("NPAs")</w:t>
            </w:r>
          </w:p>
        </w:tc>
        <w:tc>
          <w:tcPr>
            <w:tcW w:w="180" w:type="dxa"/>
            <w:vAlign w:val="bottom"/>
          </w:tcPr>
          <w:p>
            <w:pPr>
              <w:spacing w:after="0"/>
              <w:rPr>
                <w:sz w:val="21"/>
                <w:szCs w:val="21"/>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24,751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80"/>
              <w:spacing w:after="0"/>
              <w:rPr>
                <w:sz w:val="20"/>
                <w:szCs w:val="20"/>
                <w:color w:val="auto"/>
              </w:rPr>
            </w:pPr>
            <w:r>
              <w:rPr>
                <w:rFonts w:ascii="Arial" w:cs="Arial" w:eastAsia="Arial" w:hAnsi="Arial"/>
                <w:sz w:val="12"/>
                <w:szCs w:val="12"/>
                <w:color w:val="auto"/>
              </w:rPr>
              <w:t>25,083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23,866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24,414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80"/>
              <w:spacing w:after="0"/>
              <w:rPr>
                <w:sz w:val="20"/>
                <w:szCs w:val="20"/>
                <w:color w:val="auto"/>
              </w:rPr>
            </w:pPr>
            <w:r>
              <w:rPr>
                <w:rFonts w:ascii="Arial" w:cs="Arial" w:eastAsia="Arial" w:hAnsi="Arial"/>
                <w:sz w:val="12"/>
                <w:szCs w:val="12"/>
                <w:color w:val="auto"/>
              </w:rPr>
              <w:t>28,954</w:t>
            </w:r>
          </w:p>
        </w:tc>
        <w:tc>
          <w:tcPr>
            <w:tcW w:w="1300" w:type="dxa"/>
            <w:vAlign w:val="bottom"/>
            <w:gridSpan w:val="2"/>
          </w:tcPr>
          <w:p>
            <w:pPr>
              <w:jc w:val="right"/>
              <w:ind w:right="60"/>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279"/>
        </w:trPr>
        <w:tc>
          <w:tcPr>
            <w:tcW w:w="338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Allowance for loan losses</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61,642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61,203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60,940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61,071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61,085</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61"/>
        </w:trPr>
        <w:tc>
          <w:tcPr>
            <w:tcW w:w="3380" w:type="dxa"/>
            <w:vAlign w:val="bottom"/>
            <w:gridSpan w:val="2"/>
          </w:tcPr>
          <w:p>
            <w:pPr>
              <w:ind w:left="180"/>
              <w:spacing w:after="0"/>
              <w:rPr>
                <w:sz w:val="20"/>
                <w:szCs w:val="20"/>
                <w:color w:val="auto"/>
              </w:rPr>
            </w:pPr>
            <w:r>
              <w:rPr>
                <w:rFonts w:ascii="Arial" w:cs="Arial" w:eastAsia="Arial" w:hAnsi="Arial"/>
                <w:sz w:val="12"/>
                <w:szCs w:val="12"/>
                <w:color w:val="auto"/>
              </w:rPr>
              <w:t>Net charge-offs</w:t>
            </w:r>
          </w:p>
        </w:tc>
        <w:tc>
          <w:tcPr>
            <w:tcW w:w="180" w:type="dxa"/>
            <w:vAlign w:val="bottom"/>
          </w:tcPr>
          <w:p>
            <w:pPr>
              <w:spacing w:after="0"/>
              <w:rPr>
                <w:sz w:val="22"/>
                <w:szCs w:val="22"/>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3,130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80"/>
              <w:spacing w:after="0"/>
              <w:rPr>
                <w:sz w:val="20"/>
                <w:szCs w:val="20"/>
                <w:color w:val="auto"/>
              </w:rPr>
            </w:pPr>
            <w:r>
              <w:rPr>
                <w:rFonts w:ascii="Arial" w:cs="Arial" w:eastAsia="Arial" w:hAnsi="Arial"/>
                <w:sz w:val="12"/>
                <w:szCs w:val="12"/>
                <w:color w:val="auto"/>
              </w:rPr>
              <w:t>1,787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1,466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1,359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80"/>
              <w:spacing w:after="0"/>
              <w:rPr>
                <w:sz w:val="20"/>
                <w:szCs w:val="20"/>
                <w:color w:val="auto"/>
              </w:rPr>
            </w:pPr>
            <w:r>
              <w:rPr>
                <w:rFonts w:ascii="Arial" w:cs="Arial" w:eastAsia="Arial" w:hAnsi="Arial"/>
                <w:sz w:val="12"/>
                <w:szCs w:val="12"/>
                <w:color w:val="auto"/>
              </w:rPr>
              <w:t>1,501</w:t>
            </w:r>
          </w:p>
        </w:tc>
        <w:tc>
          <w:tcPr>
            <w:tcW w:w="1300" w:type="dxa"/>
            <w:vAlign w:val="bottom"/>
            <w:gridSpan w:val="2"/>
          </w:tcPr>
          <w:p>
            <w:pPr>
              <w:jc w:val="right"/>
              <w:ind w:right="100"/>
              <w:spacing w:after="0"/>
              <w:rPr>
                <w:sz w:val="20"/>
                <w:szCs w:val="20"/>
                <w:color w:val="auto"/>
              </w:rPr>
            </w:pPr>
            <w:r>
              <w:rPr>
                <w:rFonts w:ascii="Arial" w:cs="Arial" w:eastAsia="Arial" w:hAnsi="Arial"/>
                <w:sz w:val="12"/>
                <w:szCs w:val="12"/>
                <w:color w:val="auto"/>
              </w:rPr>
              <w:t>109</w:t>
            </w:r>
          </w:p>
        </w:tc>
        <w:tc>
          <w:tcPr>
            <w:tcW w:w="0" w:type="dxa"/>
            <w:vAlign w:val="bottom"/>
          </w:tcPr>
          <w:p>
            <w:pPr>
              <w:spacing w:after="0"/>
              <w:rPr>
                <w:sz w:val="1"/>
                <w:szCs w:val="1"/>
                <w:color w:val="auto"/>
              </w:rPr>
            </w:pPr>
          </w:p>
        </w:tc>
      </w:tr>
      <w:tr>
        <w:trPr>
          <w:trHeight w:val="279"/>
        </w:trPr>
        <w:tc>
          <w:tcPr>
            <w:tcW w:w="338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Allowance for loan losses to loans</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0.73%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0.73%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0.74%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0.74%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0.75%</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80" w:type="dxa"/>
            <w:vAlign w:val="bottom"/>
            <w:gridSpan w:val="2"/>
          </w:tcPr>
          <w:p>
            <w:pPr>
              <w:ind w:left="180"/>
              <w:spacing w:after="0"/>
              <w:rPr>
                <w:sz w:val="20"/>
                <w:szCs w:val="20"/>
                <w:color w:val="auto"/>
              </w:rPr>
            </w:pPr>
            <w:r>
              <w:rPr>
                <w:rFonts w:ascii="Arial" w:cs="Arial" w:eastAsia="Arial" w:hAnsi="Arial"/>
                <w:sz w:val="12"/>
                <w:szCs w:val="12"/>
                <w:color w:val="auto"/>
              </w:rPr>
              <w:t xml:space="preserve">Net charge-offs to average loans </w:t>
            </w:r>
            <w:r>
              <w:rPr>
                <w:rFonts w:ascii="Arial" w:cs="Arial" w:eastAsia="Arial" w:hAnsi="Arial"/>
                <w:sz w:val="20"/>
                <w:szCs w:val="20"/>
                <w:color w:val="auto"/>
                <w:vertAlign w:val="superscript"/>
              </w:rPr>
              <w:t>(4)</w:t>
            </w:r>
          </w:p>
        </w:tc>
        <w:tc>
          <w:tcPr>
            <w:tcW w:w="180" w:type="dxa"/>
            <w:vAlign w:val="bottom"/>
          </w:tcPr>
          <w:p>
            <w:pPr>
              <w:spacing w:after="0"/>
              <w:rPr>
                <w:sz w:val="23"/>
                <w:szCs w:val="23"/>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0.15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80"/>
              <w:spacing w:after="0"/>
              <w:rPr>
                <w:sz w:val="20"/>
                <w:szCs w:val="20"/>
                <w:color w:val="auto"/>
              </w:rPr>
            </w:pPr>
            <w:r>
              <w:rPr>
                <w:rFonts w:ascii="Arial" w:cs="Arial" w:eastAsia="Arial" w:hAnsi="Arial"/>
                <w:sz w:val="12"/>
                <w:szCs w:val="12"/>
                <w:color w:val="auto"/>
              </w:rPr>
              <w:t>0.09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0.07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0.07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2"/>
                <w:szCs w:val="12"/>
                <w:color w:val="auto"/>
              </w:rPr>
              <w:t>0.08</w:t>
            </w: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8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NPAs to loans and foreclosed properties</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0.29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0.30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0.29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0.30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0.35</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3380" w:type="dxa"/>
            <w:vAlign w:val="bottom"/>
            <w:gridSpan w:val="2"/>
          </w:tcPr>
          <w:p>
            <w:pPr>
              <w:ind w:left="180"/>
              <w:spacing w:after="0"/>
              <w:rPr>
                <w:sz w:val="20"/>
                <w:szCs w:val="20"/>
                <w:color w:val="auto"/>
              </w:rPr>
            </w:pPr>
            <w:r>
              <w:rPr>
                <w:rFonts w:ascii="Arial" w:cs="Arial" w:eastAsia="Arial" w:hAnsi="Arial"/>
                <w:sz w:val="12"/>
                <w:szCs w:val="12"/>
                <w:color w:val="auto"/>
              </w:rPr>
              <w:t>NPAs to total assets</w:t>
            </w:r>
          </w:p>
        </w:tc>
        <w:tc>
          <w:tcPr>
            <w:tcW w:w="180" w:type="dxa"/>
            <w:vAlign w:val="bottom"/>
          </w:tcPr>
          <w:p>
            <w:pPr>
              <w:spacing w:after="0"/>
              <w:rPr>
                <w:sz w:val="22"/>
                <w:szCs w:val="22"/>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0.20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80"/>
              <w:spacing w:after="0"/>
              <w:rPr>
                <w:sz w:val="20"/>
                <w:szCs w:val="20"/>
                <w:color w:val="auto"/>
              </w:rPr>
            </w:pPr>
            <w:r>
              <w:rPr>
                <w:rFonts w:ascii="Arial" w:cs="Arial" w:eastAsia="Arial" w:hAnsi="Arial"/>
                <w:sz w:val="12"/>
                <w:szCs w:val="12"/>
                <w:color w:val="auto"/>
              </w:rPr>
              <w:t>0.20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0.19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0.20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80"/>
              <w:spacing w:after="0"/>
              <w:rPr>
                <w:sz w:val="20"/>
                <w:szCs w:val="20"/>
                <w:color w:val="auto"/>
              </w:rPr>
            </w:pPr>
            <w:r>
              <w:rPr>
                <w:rFonts w:ascii="Arial" w:cs="Arial" w:eastAsia="Arial" w:hAnsi="Arial"/>
                <w:sz w:val="12"/>
                <w:szCs w:val="12"/>
                <w:color w:val="auto"/>
              </w:rPr>
              <w:t>0.24</w:t>
            </w: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3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1"/>
        </w:trPr>
        <w:tc>
          <w:tcPr>
            <w:tcW w:w="3380" w:type="dxa"/>
            <w:vAlign w:val="bottom"/>
            <w:gridSpan w:val="2"/>
          </w:tcPr>
          <w:p>
            <w:pPr>
              <w:ind w:left="40"/>
              <w:spacing w:after="0"/>
              <w:rPr>
                <w:sz w:val="20"/>
                <w:szCs w:val="20"/>
                <w:color w:val="auto"/>
              </w:rPr>
            </w:pPr>
            <w:r>
              <w:rPr>
                <w:rFonts w:ascii="Arial" w:cs="Arial" w:eastAsia="Arial" w:hAnsi="Arial"/>
                <w:sz w:val="12"/>
                <w:szCs w:val="12"/>
                <w:b w:val="1"/>
                <w:bCs w:val="1"/>
                <w:color w:val="auto"/>
              </w:rPr>
              <w:t xml:space="preserve">AVERAGE BALANCES </w:t>
            </w:r>
            <w:r>
              <w:rPr>
                <w:rFonts w:ascii="Arial" w:cs="Arial" w:eastAsia="Arial" w:hAnsi="Arial"/>
                <w:sz w:val="12"/>
                <w:szCs w:val="12"/>
                <w:i w:val="1"/>
                <w:iCs w:val="1"/>
                <w:color w:val="auto"/>
              </w:rPr>
              <w:t>($ in millions)</w:t>
            </w: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338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Loans</w:t>
            </w: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8,430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8,306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8,200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8,177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7,993</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261"/>
        </w:trPr>
        <w:tc>
          <w:tcPr>
            <w:tcW w:w="3380" w:type="dxa"/>
            <w:vAlign w:val="bottom"/>
            <w:gridSpan w:val="2"/>
          </w:tcPr>
          <w:p>
            <w:pPr>
              <w:ind w:left="180"/>
              <w:spacing w:after="0"/>
              <w:rPr>
                <w:sz w:val="20"/>
                <w:szCs w:val="20"/>
                <w:color w:val="auto"/>
              </w:rPr>
            </w:pPr>
            <w:r>
              <w:rPr>
                <w:rFonts w:ascii="Arial" w:cs="Arial" w:eastAsia="Arial" w:hAnsi="Arial"/>
                <w:sz w:val="12"/>
                <w:szCs w:val="12"/>
                <w:color w:val="auto"/>
              </w:rPr>
              <w:t>Investment securities</w:t>
            </w:r>
          </w:p>
        </w:tc>
        <w:tc>
          <w:tcPr>
            <w:tcW w:w="180" w:type="dxa"/>
            <w:vAlign w:val="bottom"/>
          </w:tcPr>
          <w:p>
            <w:pPr>
              <w:spacing w:after="0"/>
              <w:rPr>
                <w:sz w:val="22"/>
                <w:szCs w:val="22"/>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2,883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80"/>
              <w:spacing w:after="0"/>
              <w:rPr>
                <w:sz w:val="20"/>
                <w:szCs w:val="20"/>
                <w:color w:val="auto"/>
              </w:rPr>
            </w:pPr>
            <w:r>
              <w:rPr>
                <w:rFonts w:ascii="Arial" w:cs="Arial" w:eastAsia="Arial" w:hAnsi="Arial"/>
                <w:sz w:val="12"/>
                <w:szCs w:val="12"/>
                <w:color w:val="auto"/>
              </w:rPr>
              <w:t>3,004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2,916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2,802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80"/>
              <w:spacing w:after="0"/>
              <w:rPr>
                <w:sz w:val="20"/>
                <w:szCs w:val="20"/>
                <w:color w:val="auto"/>
              </w:rPr>
            </w:pPr>
            <w:r>
              <w:rPr>
                <w:rFonts w:ascii="Arial" w:cs="Arial" w:eastAsia="Arial" w:hAnsi="Arial"/>
                <w:sz w:val="12"/>
                <w:szCs w:val="12"/>
                <w:color w:val="auto"/>
              </w:rPr>
              <w:t>2,870</w:t>
            </w:r>
          </w:p>
        </w:tc>
        <w:tc>
          <w:tcPr>
            <w:tcW w:w="120" w:type="dxa"/>
            <w:vAlign w:val="bottom"/>
          </w:tcPr>
          <w:p>
            <w:pPr>
              <w:spacing w:after="0"/>
              <w:rPr>
                <w:sz w:val="22"/>
                <w:szCs w:val="22"/>
                <w:color w:val="auto"/>
              </w:rPr>
            </w:pPr>
          </w:p>
        </w:tc>
        <w:tc>
          <w:tcPr>
            <w:tcW w:w="118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9"/>
        </w:trPr>
        <w:tc>
          <w:tcPr>
            <w:tcW w:w="338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Earning assets</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11,498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11,534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11,320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11,193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11,076</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61"/>
        </w:trPr>
        <w:tc>
          <w:tcPr>
            <w:tcW w:w="3380" w:type="dxa"/>
            <w:vAlign w:val="bottom"/>
            <w:gridSpan w:val="2"/>
          </w:tcPr>
          <w:p>
            <w:pPr>
              <w:ind w:left="180"/>
              <w:spacing w:after="0"/>
              <w:rPr>
                <w:sz w:val="20"/>
                <w:szCs w:val="20"/>
                <w:color w:val="auto"/>
              </w:rPr>
            </w:pPr>
            <w:r>
              <w:rPr>
                <w:rFonts w:ascii="Arial" w:cs="Arial" w:eastAsia="Arial" w:hAnsi="Arial"/>
                <w:sz w:val="12"/>
                <w:szCs w:val="12"/>
                <w:color w:val="auto"/>
              </w:rPr>
              <w:t>Total assets</w:t>
            </w:r>
          </w:p>
        </w:tc>
        <w:tc>
          <w:tcPr>
            <w:tcW w:w="180" w:type="dxa"/>
            <w:vAlign w:val="bottom"/>
          </w:tcPr>
          <w:p>
            <w:pPr>
              <w:spacing w:after="0"/>
              <w:rPr>
                <w:sz w:val="22"/>
                <w:szCs w:val="22"/>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12,509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80"/>
              <w:spacing w:after="0"/>
              <w:rPr>
                <w:sz w:val="20"/>
                <w:szCs w:val="20"/>
                <w:color w:val="auto"/>
              </w:rPr>
            </w:pPr>
            <w:r>
              <w:rPr>
                <w:rFonts w:ascii="Arial" w:cs="Arial" w:eastAsia="Arial" w:hAnsi="Arial"/>
                <w:sz w:val="12"/>
                <w:szCs w:val="12"/>
                <w:color w:val="auto"/>
              </w:rPr>
              <w:t>12,505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12,302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12,213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80"/>
              <w:spacing w:after="0"/>
              <w:rPr>
                <w:sz w:val="20"/>
                <w:szCs w:val="20"/>
                <w:color w:val="auto"/>
              </w:rPr>
            </w:pPr>
            <w:r>
              <w:rPr>
                <w:rFonts w:ascii="Arial" w:cs="Arial" w:eastAsia="Arial" w:hAnsi="Arial"/>
                <w:sz w:val="12"/>
                <w:szCs w:val="12"/>
                <w:color w:val="auto"/>
              </w:rPr>
              <w:t>12,111</w:t>
            </w:r>
          </w:p>
        </w:tc>
        <w:tc>
          <w:tcPr>
            <w:tcW w:w="1300" w:type="dxa"/>
            <w:vAlign w:val="bottom"/>
            <w:gridSpan w:val="2"/>
          </w:tcPr>
          <w:p>
            <w:pPr>
              <w:jc w:val="right"/>
              <w:ind w:right="10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79"/>
        </w:trPr>
        <w:tc>
          <w:tcPr>
            <w:tcW w:w="338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Deposits</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10,361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10,306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9,950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9,978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9,759</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261"/>
        </w:trPr>
        <w:tc>
          <w:tcPr>
            <w:tcW w:w="3380" w:type="dxa"/>
            <w:vAlign w:val="bottom"/>
            <w:gridSpan w:val="2"/>
          </w:tcPr>
          <w:p>
            <w:pPr>
              <w:ind w:left="180"/>
              <w:spacing w:after="0"/>
              <w:rPr>
                <w:sz w:val="20"/>
                <w:szCs w:val="20"/>
                <w:color w:val="auto"/>
              </w:rPr>
            </w:pPr>
            <w:r>
              <w:rPr>
                <w:rFonts w:ascii="Arial" w:cs="Arial" w:eastAsia="Arial" w:hAnsi="Arial"/>
                <w:sz w:val="12"/>
                <w:szCs w:val="12"/>
                <w:color w:val="auto"/>
              </w:rPr>
              <w:t>Shareholders’ equity</w:t>
            </w:r>
          </w:p>
        </w:tc>
        <w:tc>
          <w:tcPr>
            <w:tcW w:w="180" w:type="dxa"/>
            <w:vAlign w:val="bottom"/>
          </w:tcPr>
          <w:p>
            <w:pPr>
              <w:spacing w:after="0"/>
              <w:rPr>
                <w:sz w:val="22"/>
                <w:szCs w:val="22"/>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1,478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80"/>
              <w:spacing w:after="0"/>
              <w:rPr>
                <w:sz w:val="20"/>
                <w:szCs w:val="20"/>
                <w:color w:val="auto"/>
              </w:rPr>
            </w:pPr>
            <w:r>
              <w:rPr>
                <w:rFonts w:ascii="Arial" w:cs="Arial" w:eastAsia="Arial" w:hAnsi="Arial"/>
                <w:sz w:val="12"/>
                <w:szCs w:val="12"/>
                <w:color w:val="auto"/>
              </w:rPr>
              <w:t>1,420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1,394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1,370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80"/>
              <w:spacing w:after="0"/>
              <w:rPr>
                <w:sz w:val="20"/>
                <w:szCs w:val="20"/>
                <w:color w:val="auto"/>
              </w:rPr>
            </w:pPr>
            <w:r>
              <w:rPr>
                <w:rFonts w:ascii="Arial" w:cs="Arial" w:eastAsia="Arial" w:hAnsi="Arial"/>
                <w:sz w:val="12"/>
                <w:szCs w:val="12"/>
                <w:color w:val="auto"/>
              </w:rPr>
              <w:t>1,336</w:t>
            </w:r>
          </w:p>
        </w:tc>
        <w:tc>
          <w:tcPr>
            <w:tcW w:w="1300" w:type="dxa"/>
            <w:vAlign w:val="bottom"/>
            <w:gridSpan w:val="2"/>
          </w:tcPr>
          <w:p>
            <w:pPr>
              <w:jc w:val="right"/>
              <w:ind w:right="100"/>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06"/>
        </w:trPr>
        <w:tc>
          <w:tcPr>
            <w:tcW w:w="3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828" w:right="239" w:bottom="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Common shares - basic (thousands)</w:t>
            </w:r>
          </w:p>
        </w:tc>
        <w:tc>
          <w:tcPr>
            <w:tcW w:w="104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79,807</w:t>
            </w: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79,884</w:t>
            </w: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79,806</w:t>
            </w:r>
          </w:p>
        </w:tc>
        <w:tc>
          <w:tcPr>
            <w:tcW w:w="5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79,753</w:t>
            </w:r>
          </w:p>
        </w:tc>
        <w:tc>
          <w:tcPr>
            <w:tcW w:w="56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520"/>
              <w:spacing w:after="0"/>
              <w:rPr>
                <w:sz w:val="20"/>
                <w:szCs w:val="20"/>
                <w:color w:val="auto"/>
              </w:rPr>
            </w:pPr>
            <w:r>
              <w:rPr>
                <w:rFonts w:ascii="Arial" w:cs="Arial" w:eastAsia="Arial" w:hAnsi="Arial"/>
                <w:sz w:val="12"/>
                <w:szCs w:val="12"/>
                <w:color w:val="auto"/>
              </w:rPr>
              <w:t>79,205</w:t>
            </w:r>
          </w:p>
        </w:tc>
        <w:tc>
          <w:tcPr>
            <w:tcW w:w="8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w:t>
            </w:r>
          </w:p>
        </w:tc>
      </w:tr>
      <w:tr>
        <w:trPr>
          <w:trHeight w:val="70"/>
        </w:trPr>
        <w:tc>
          <w:tcPr>
            <w:tcW w:w="276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r>
      <w:tr>
        <w:trPr>
          <w:trHeight w:val="261"/>
        </w:trPr>
        <w:tc>
          <w:tcPr>
            <w:tcW w:w="2760" w:type="dxa"/>
            <w:vAlign w:val="bottom"/>
          </w:tcPr>
          <w:p>
            <w:pPr>
              <w:ind w:left="180"/>
              <w:spacing w:after="0"/>
              <w:rPr>
                <w:sz w:val="20"/>
                <w:szCs w:val="20"/>
                <w:color w:val="auto"/>
              </w:rPr>
            </w:pPr>
            <w:r>
              <w:rPr>
                <w:rFonts w:ascii="Arial" w:cs="Arial" w:eastAsia="Arial" w:hAnsi="Arial"/>
                <w:sz w:val="12"/>
                <w:szCs w:val="12"/>
                <w:color w:val="auto"/>
              </w:rPr>
              <w:t>Common shares - diluted (thousands)</w:t>
            </w:r>
          </w:p>
        </w:tc>
        <w:tc>
          <w:tcPr>
            <w:tcW w:w="1040" w:type="dxa"/>
            <w:vAlign w:val="bottom"/>
          </w:tcPr>
          <w:p>
            <w:pPr>
              <w:spacing w:after="0"/>
              <w:rPr>
                <w:sz w:val="22"/>
                <w:szCs w:val="22"/>
                <w:color w:val="auto"/>
              </w:rPr>
            </w:pPr>
          </w:p>
        </w:tc>
        <w:tc>
          <w:tcPr>
            <w:tcW w:w="820" w:type="dxa"/>
            <w:vAlign w:val="bottom"/>
          </w:tcPr>
          <w:p>
            <w:pPr>
              <w:jc w:val="right"/>
              <w:ind w:right="60"/>
              <w:spacing w:after="0"/>
              <w:rPr>
                <w:sz w:val="20"/>
                <w:szCs w:val="20"/>
                <w:color w:val="auto"/>
              </w:rPr>
            </w:pPr>
            <w:r>
              <w:rPr>
                <w:rFonts w:ascii="Arial" w:cs="Arial" w:eastAsia="Arial" w:hAnsi="Arial"/>
                <w:sz w:val="12"/>
                <w:szCs w:val="12"/>
                <w:color w:val="auto"/>
              </w:rPr>
              <w:t>79,813</w:t>
            </w:r>
          </w:p>
        </w:tc>
        <w:tc>
          <w:tcPr>
            <w:tcW w:w="560" w:type="dxa"/>
            <w:vAlign w:val="bottom"/>
          </w:tcPr>
          <w:p>
            <w:pPr>
              <w:spacing w:after="0"/>
              <w:rPr>
                <w:sz w:val="22"/>
                <w:szCs w:val="22"/>
                <w:color w:val="auto"/>
              </w:rPr>
            </w:pPr>
          </w:p>
        </w:tc>
        <w:tc>
          <w:tcPr>
            <w:tcW w:w="820" w:type="dxa"/>
            <w:vAlign w:val="bottom"/>
          </w:tcPr>
          <w:p>
            <w:pPr>
              <w:jc w:val="right"/>
              <w:ind w:right="80"/>
              <w:spacing w:after="0"/>
              <w:rPr>
                <w:sz w:val="20"/>
                <w:szCs w:val="20"/>
                <w:color w:val="auto"/>
              </w:rPr>
            </w:pPr>
            <w:r>
              <w:rPr>
                <w:rFonts w:ascii="Arial" w:cs="Arial" w:eastAsia="Arial" w:hAnsi="Arial"/>
                <w:sz w:val="12"/>
                <w:szCs w:val="12"/>
                <w:color w:val="auto"/>
              </w:rPr>
              <w:t>79,890</w:t>
            </w:r>
          </w:p>
        </w:tc>
        <w:tc>
          <w:tcPr>
            <w:tcW w:w="540" w:type="dxa"/>
            <w:vAlign w:val="bottom"/>
          </w:tcPr>
          <w:p>
            <w:pPr>
              <w:spacing w:after="0"/>
              <w:rPr>
                <w:sz w:val="22"/>
                <w:szCs w:val="22"/>
                <w:color w:val="auto"/>
              </w:rPr>
            </w:pPr>
          </w:p>
        </w:tc>
        <w:tc>
          <w:tcPr>
            <w:tcW w:w="820" w:type="dxa"/>
            <w:vAlign w:val="bottom"/>
          </w:tcPr>
          <w:p>
            <w:pPr>
              <w:jc w:val="right"/>
              <w:ind w:right="60"/>
              <w:spacing w:after="0"/>
              <w:rPr>
                <w:sz w:val="20"/>
                <w:szCs w:val="20"/>
                <w:color w:val="auto"/>
              </w:rPr>
            </w:pPr>
            <w:r>
              <w:rPr>
                <w:rFonts w:ascii="Arial" w:cs="Arial" w:eastAsia="Arial" w:hAnsi="Arial"/>
                <w:sz w:val="12"/>
                <w:szCs w:val="12"/>
                <w:color w:val="auto"/>
              </w:rPr>
              <w:t>79,818</w:t>
            </w:r>
          </w:p>
        </w:tc>
        <w:tc>
          <w:tcPr>
            <w:tcW w:w="560" w:type="dxa"/>
            <w:vAlign w:val="bottom"/>
          </w:tcPr>
          <w:p>
            <w:pPr>
              <w:spacing w:after="0"/>
              <w:rPr>
                <w:sz w:val="22"/>
                <w:szCs w:val="22"/>
                <w:color w:val="auto"/>
              </w:rPr>
            </w:pPr>
          </w:p>
        </w:tc>
        <w:tc>
          <w:tcPr>
            <w:tcW w:w="820" w:type="dxa"/>
            <w:vAlign w:val="bottom"/>
          </w:tcPr>
          <w:p>
            <w:pPr>
              <w:jc w:val="right"/>
              <w:ind w:right="60"/>
              <w:spacing w:after="0"/>
              <w:rPr>
                <w:sz w:val="20"/>
                <w:szCs w:val="20"/>
                <w:color w:val="auto"/>
              </w:rPr>
            </w:pPr>
            <w:r>
              <w:rPr>
                <w:rFonts w:ascii="Arial" w:cs="Arial" w:eastAsia="Arial" w:hAnsi="Arial"/>
                <w:sz w:val="12"/>
                <w:szCs w:val="12"/>
                <w:color w:val="auto"/>
              </w:rPr>
              <w:t>79,755</w:t>
            </w:r>
          </w:p>
        </w:tc>
        <w:tc>
          <w:tcPr>
            <w:tcW w:w="560" w:type="dxa"/>
            <w:vAlign w:val="bottom"/>
          </w:tcPr>
          <w:p>
            <w:pPr>
              <w:spacing w:after="0"/>
              <w:rPr>
                <w:sz w:val="22"/>
                <w:szCs w:val="22"/>
                <w:color w:val="auto"/>
              </w:rPr>
            </w:pPr>
          </w:p>
        </w:tc>
        <w:tc>
          <w:tcPr>
            <w:tcW w:w="1260" w:type="dxa"/>
            <w:vAlign w:val="bottom"/>
          </w:tcPr>
          <w:p>
            <w:pPr>
              <w:jc w:val="right"/>
              <w:ind w:right="520"/>
              <w:spacing w:after="0"/>
              <w:rPr>
                <w:sz w:val="20"/>
                <w:szCs w:val="20"/>
                <w:color w:val="auto"/>
              </w:rPr>
            </w:pPr>
            <w:r>
              <w:rPr>
                <w:rFonts w:ascii="Arial" w:cs="Arial" w:eastAsia="Arial" w:hAnsi="Arial"/>
                <w:sz w:val="12"/>
                <w:szCs w:val="12"/>
                <w:color w:val="auto"/>
              </w:rPr>
              <w:t>79,215</w:t>
            </w:r>
          </w:p>
        </w:tc>
        <w:tc>
          <w:tcPr>
            <w:tcW w:w="860" w:type="dxa"/>
            <w:vAlign w:val="bottom"/>
          </w:tcPr>
          <w:p>
            <w:pPr>
              <w:jc w:val="right"/>
              <w:ind w:right="100"/>
              <w:spacing w:after="0"/>
              <w:rPr>
                <w:sz w:val="20"/>
                <w:szCs w:val="20"/>
                <w:color w:val="auto"/>
              </w:rPr>
            </w:pPr>
            <w:r>
              <w:rPr>
                <w:rFonts w:ascii="Arial" w:cs="Arial" w:eastAsia="Arial" w:hAnsi="Arial"/>
                <w:sz w:val="12"/>
                <w:szCs w:val="12"/>
                <w:color w:val="auto"/>
              </w:rPr>
              <w:t>1</w:t>
            </w:r>
          </w:p>
        </w:tc>
      </w:tr>
      <w:tr>
        <w:trPr>
          <w:trHeight w:val="144"/>
        </w:trPr>
        <w:tc>
          <w:tcPr>
            <w:tcW w:w="27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261"/>
        </w:trPr>
        <w:tc>
          <w:tcPr>
            <w:tcW w:w="2760" w:type="dxa"/>
            <w:vAlign w:val="bottom"/>
          </w:tcPr>
          <w:p>
            <w:pPr>
              <w:ind w:left="40"/>
              <w:spacing w:after="0"/>
              <w:rPr>
                <w:sz w:val="20"/>
                <w:szCs w:val="20"/>
                <w:color w:val="auto"/>
              </w:rPr>
            </w:pPr>
            <w:r>
              <w:rPr>
                <w:rFonts w:ascii="Arial" w:cs="Arial" w:eastAsia="Arial" w:hAnsi="Arial"/>
                <w:sz w:val="12"/>
                <w:szCs w:val="12"/>
                <w:b w:val="1"/>
                <w:bCs w:val="1"/>
                <w:color w:val="auto"/>
              </w:rPr>
              <w:t xml:space="preserve">AT PERIOD END </w:t>
            </w:r>
            <w:r>
              <w:rPr>
                <w:rFonts w:ascii="Arial" w:cs="Arial" w:eastAsia="Arial" w:hAnsi="Arial"/>
                <w:sz w:val="12"/>
                <w:szCs w:val="12"/>
                <w:i w:val="1"/>
                <w:iCs w:val="1"/>
                <w:color w:val="auto"/>
              </w:rPr>
              <w:t>($ in millions)</w:t>
            </w:r>
          </w:p>
        </w:tc>
        <w:tc>
          <w:tcPr>
            <w:tcW w:w="10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9"/>
        </w:trPr>
        <w:tc>
          <w:tcPr>
            <w:tcW w:w="27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Loans</w:t>
            </w:r>
          </w:p>
        </w:tc>
        <w:tc>
          <w:tcPr>
            <w:tcW w:w="104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8,493</w:t>
            </w:r>
          </w:p>
        </w:tc>
        <w:tc>
          <w:tcPr>
            <w:tcW w:w="56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8,383</w:t>
            </w:r>
          </w:p>
        </w:tc>
        <w:tc>
          <w:tcPr>
            <w:tcW w:w="54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8,226</w:t>
            </w:r>
          </w:p>
        </w:tc>
        <w:tc>
          <w:tcPr>
            <w:tcW w:w="56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8,220</w:t>
            </w:r>
          </w:p>
        </w:tc>
        <w:tc>
          <w:tcPr>
            <w:tcW w:w="56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260" w:type="dxa"/>
            <w:vAlign w:val="bottom"/>
            <w:shd w:val="clear" w:color="auto" w:fill="CCEEFF"/>
          </w:tcPr>
          <w:p>
            <w:pPr>
              <w:jc w:val="right"/>
              <w:ind w:right="520"/>
              <w:spacing w:after="0"/>
              <w:rPr>
                <w:sz w:val="20"/>
                <w:szCs w:val="20"/>
                <w:color w:val="auto"/>
              </w:rPr>
            </w:pPr>
            <w:r>
              <w:rPr>
                <w:rFonts w:ascii="Arial" w:cs="Arial" w:eastAsia="Arial" w:hAnsi="Arial"/>
                <w:sz w:val="12"/>
                <w:szCs w:val="12"/>
                <w:color w:val="auto"/>
              </w:rPr>
              <w:t>8,184</w:t>
            </w:r>
          </w:p>
        </w:tc>
        <w:tc>
          <w:tcPr>
            <w:tcW w:w="8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4</w:t>
            </w:r>
          </w:p>
        </w:tc>
      </w:tr>
      <w:tr>
        <w:trPr>
          <w:trHeight w:val="261"/>
        </w:trPr>
        <w:tc>
          <w:tcPr>
            <w:tcW w:w="2760" w:type="dxa"/>
            <w:vAlign w:val="bottom"/>
          </w:tcPr>
          <w:p>
            <w:pPr>
              <w:ind w:left="180"/>
              <w:spacing w:after="0"/>
              <w:rPr>
                <w:sz w:val="20"/>
                <w:szCs w:val="20"/>
                <w:color w:val="auto"/>
              </w:rPr>
            </w:pPr>
            <w:r>
              <w:rPr>
                <w:rFonts w:ascii="Arial" w:cs="Arial" w:eastAsia="Arial" w:hAnsi="Arial"/>
                <w:sz w:val="12"/>
                <w:szCs w:val="12"/>
                <w:color w:val="auto"/>
              </w:rPr>
              <w:t>Investment securities</w:t>
            </w:r>
          </w:p>
        </w:tc>
        <w:tc>
          <w:tcPr>
            <w:tcW w:w="1040" w:type="dxa"/>
            <w:vAlign w:val="bottom"/>
          </w:tcPr>
          <w:p>
            <w:pPr>
              <w:spacing w:after="0"/>
              <w:rPr>
                <w:sz w:val="22"/>
                <w:szCs w:val="22"/>
                <w:color w:val="auto"/>
              </w:rPr>
            </w:pPr>
          </w:p>
        </w:tc>
        <w:tc>
          <w:tcPr>
            <w:tcW w:w="820" w:type="dxa"/>
            <w:vAlign w:val="bottom"/>
          </w:tcPr>
          <w:p>
            <w:pPr>
              <w:jc w:val="right"/>
              <w:ind w:right="60"/>
              <w:spacing w:after="0"/>
              <w:rPr>
                <w:sz w:val="20"/>
                <w:szCs w:val="20"/>
                <w:color w:val="auto"/>
              </w:rPr>
            </w:pPr>
            <w:r>
              <w:rPr>
                <w:rFonts w:ascii="Arial" w:cs="Arial" w:eastAsia="Arial" w:hAnsi="Arial"/>
                <w:sz w:val="12"/>
                <w:szCs w:val="12"/>
                <w:color w:val="auto"/>
              </w:rPr>
              <w:t>2,720</w:t>
            </w:r>
          </w:p>
        </w:tc>
        <w:tc>
          <w:tcPr>
            <w:tcW w:w="560" w:type="dxa"/>
            <w:vAlign w:val="bottom"/>
          </w:tcPr>
          <w:p>
            <w:pPr>
              <w:spacing w:after="0"/>
              <w:rPr>
                <w:sz w:val="22"/>
                <w:szCs w:val="22"/>
                <w:color w:val="auto"/>
              </w:rPr>
            </w:pPr>
          </w:p>
        </w:tc>
        <w:tc>
          <w:tcPr>
            <w:tcW w:w="820" w:type="dxa"/>
            <w:vAlign w:val="bottom"/>
          </w:tcPr>
          <w:p>
            <w:pPr>
              <w:jc w:val="right"/>
              <w:ind w:right="80"/>
              <w:spacing w:after="0"/>
              <w:rPr>
                <w:sz w:val="20"/>
                <w:szCs w:val="20"/>
                <w:color w:val="auto"/>
              </w:rPr>
            </w:pPr>
            <w:r>
              <w:rPr>
                <w:rFonts w:ascii="Arial" w:cs="Arial" w:eastAsia="Arial" w:hAnsi="Arial"/>
                <w:sz w:val="12"/>
                <w:szCs w:val="12"/>
                <w:color w:val="auto"/>
              </w:rPr>
              <w:t>2,903</w:t>
            </w:r>
          </w:p>
        </w:tc>
        <w:tc>
          <w:tcPr>
            <w:tcW w:w="540" w:type="dxa"/>
            <w:vAlign w:val="bottom"/>
          </w:tcPr>
          <w:p>
            <w:pPr>
              <w:spacing w:after="0"/>
              <w:rPr>
                <w:sz w:val="22"/>
                <w:szCs w:val="22"/>
                <w:color w:val="auto"/>
              </w:rPr>
            </w:pPr>
          </w:p>
        </w:tc>
        <w:tc>
          <w:tcPr>
            <w:tcW w:w="820" w:type="dxa"/>
            <w:vAlign w:val="bottom"/>
          </w:tcPr>
          <w:p>
            <w:pPr>
              <w:jc w:val="right"/>
              <w:ind w:right="60"/>
              <w:spacing w:after="0"/>
              <w:rPr>
                <w:sz w:val="20"/>
                <w:szCs w:val="20"/>
                <w:color w:val="auto"/>
              </w:rPr>
            </w:pPr>
            <w:r>
              <w:rPr>
                <w:rFonts w:ascii="Arial" w:cs="Arial" w:eastAsia="Arial" w:hAnsi="Arial"/>
                <w:sz w:val="12"/>
                <w:szCs w:val="12"/>
                <w:color w:val="auto"/>
              </w:rPr>
              <w:t>2,873</w:t>
            </w:r>
          </w:p>
        </w:tc>
        <w:tc>
          <w:tcPr>
            <w:tcW w:w="560" w:type="dxa"/>
            <w:vAlign w:val="bottom"/>
          </w:tcPr>
          <w:p>
            <w:pPr>
              <w:spacing w:after="0"/>
              <w:rPr>
                <w:sz w:val="22"/>
                <w:szCs w:val="22"/>
                <w:color w:val="auto"/>
              </w:rPr>
            </w:pPr>
          </w:p>
        </w:tc>
        <w:tc>
          <w:tcPr>
            <w:tcW w:w="820" w:type="dxa"/>
            <w:vAlign w:val="bottom"/>
          </w:tcPr>
          <w:p>
            <w:pPr>
              <w:jc w:val="right"/>
              <w:ind w:right="60"/>
              <w:spacing w:after="0"/>
              <w:rPr>
                <w:sz w:val="20"/>
                <w:szCs w:val="20"/>
                <w:color w:val="auto"/>
              </w:rPr>
            </w:pPr>
            <w:r>
              <w:rPr>
                <w:rFonts w:ascii="Arial" w:cs="Arial" w:eastAsia="Arial" w:hAnsi="Arial"/>
                <w:sz w:val="12"/>
                <w:szCs w:val="12"/>
                <w:color w:val="auto"/>
              </w:rPr>
              <w:t>2,834</w:t>
            </w:r>
          </w:p>
        </w:tc>
        <w:tc>
          <w:tcPr>
            <w:tcW w:w="560" w:type="dxa"/>
            <w:vAlign w:val="bottom"/>
          </w:tcPr>
          <w:p>
            <w:pPr>
              <w:spacing w:after="0"/>
              <w:rPr>
                <w:sz w:val="22"/>
                <w:szCs w:val="22"/>
                <w:color w:val="auto"/>
              </w:rPr>
            </w:pPr>
          </w:p>
        </w:tc>
        <w:tc>
          <w:tcPr>
            <w:tcW w:w="1260" w:type="dxa"/>
            <w:vAlign w:val="bottom"/>
          </w:tcPr>
          <w:p>
            <w:pPr>
              <w:jc w:val="right"/>
              <w:ind w:right="520"/>
              <w:spacing w:after="0"/>
              <w:rPr>
                <w:sz w:val="20"/>
                <w:szCs w:val="20"/>
                <w:color w:val="auto"/>
              </w:rPr>
            </w:pPr>
            <w:r>
              <w:rPr>
                <w:rFonts w:ascii="Arial" w:cs="Arial" w:eastAsia="Arial" w:hAnsi="Arial"/>
                <w:sz w:val="12"/>
                <w:szCs w:val="12"/>
                <w:color w:val="auto"/>
              </w:rPr>
              <w:t>2,731</w:t>
            </w:r>
          </w:p>
        </w:tc>
        <w:tc>
          <w:tcPr>
            <w:tcW w:w="860" w:type="dxa"/>
            <w:vAlign w:val="bottom"/>
          </w:tcPr>
          <w:p>
            <w:pPr>
              <w:jc w:val="right"/>
              <w:ind w:right="100"/>
              <w:spacing w:after="0"/>
              <w:rPr>
                <w:sz w:val="20"/>
                <w:szCs w:val="20"/>
                <w:color w:val="auto"/>
              </w:rPr>
            </w:pPr>
            <w:r>
              <w:rPr>
                <w:rFonts w:ascii="Arial" w:cs="Arial" w:eastAsia="Arial" w:hAnsi="Arial"/>
                <w:sz w:val="12"/>
                <w:szCs w:val="12"/>
                <w:color w:val="auto"/>
              </w:rPr>
              <w:t>—</w:t>
            </w:r>
          </w:p>
        </w:tc>
      </w:tr>
      <w:tr>
        <w:trPr>
          <w:trHeight w:val="279"/>
        </w:trPr>
        <w:tc>
          <w:tcPr>
            <w:tcW w:w="27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Total assets</w:t>
            </w:r>
          </w:p>
        </w:tc>
        <w:tc>
          <w:tcPr>
            <w:tcW w:w="10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12,506</w:t>
            </w:r>
          </w:p>
        </w:tc>
        <w:tc>
          <w:tcPr>
            <w:tcW w:w="5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12,573</w:t>
            </w:r>
          </w:p>
        </w:tc>
        <w:tc>
          <w:tcPr>
            <w:tcW w:w="5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12,405</w:t>
            </w:r>
          </w:p>
        </w:tc>
        <w:tc>
          <w:tcPr>
            <w:tcW w:w="5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12,386</w:t>
            </w:r>
          </w:p>
        </w:tc>
        <w:tc>
          <w:tcPr>
            <w:tcW w:w="5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520"/>
              <w:spacing w:after="0"/>
              <w:rPr>
                <w:sz w:val="20"/>
                <w:szCs w:val="20"/>
                <w:color w:val="auto"/>
              </w:rPr>
            </w:pPr>
            <w:r>
              <w:rPr>
                <w:rFonts w:ascii="Arial" w:cs="Arial" w:eastAsia="Arial" w:hAnsi="Arial"/>
                <w:sz w:val="12"/>
                <w:szCs w:val="12"/>
                <w:color w:val="auto"/>
              </w:rPr>
              <w:t>12,264</w:t>
            </w:r>
          </w:p>
        </w:tc>
        <w:tc>
          <w:tcPr>
            <w:tcW w:w="8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w:t>
            </w:r>
          </w:p>
        </w:tc>
      </w:tr>
      <w:tr>
        <w:trPr>
          <w:trHeight w:val="261"/>
        </w:trPr>
        <w:tc>
          <w:tcPr>
            <w:tcW w:w="2760" w:type="dxa"/>
            <w:vAlign w:val="bottom"/>
          </w:tcPr>
          <w:p>
            <w:pPr>
              <w:ind w:left="180"/>
              <w:spacing w:after="0"/>
              <w:rPr>
                <w:sz w:val="20"/>
                <w:szCs w:val="20"/>
                <w:color w:val="auto"/>
              </w:rPr>
            </w:pPr>
            <w:r>
              <w:rPr>
                <w:rFonts w:ascii="Arial" w:cs="Arial" w:eastAsia="Arial" w:hAnsi="Arial"/>
                <w:sz w:val="12"/>
                <w:szCs w:val="12"/>
                <w:color w:val="auto"/>
              </w:rPr>
              <w:t>Deposits</w:t>
            </w:r>
          </w:p>
        </w:tc>
        <w:tc>
          <w:tcPr>
            <w:tcW w:w="1040" w:type="dxa"/>
            <w:vAlign w:val="bottom"/>
          </w:tcPr>
          <w:p>
            <w:pPr>
              <w:spacing w:after="0"/>
              <w:rPr>
                <w:sz w:val="22"/>
                <w:szCs w:val="22"/>
                <w:color w:val="auto"/>
              </w:rPr>
            </w:pPr>
          </w:p>
        </w:tc>
        <w:tc>
          <w:tcPr>
            <w:tcW w:w="820" w:type="dxa"/>
            <w:vAlign w:val="bottom"/>
          </w:tcPr>
          <w:p>
            <w:pPr>
              <w:jc w:val="right"/>
              <w:ind w:right="60"/>
              <w:spacing w:after="0"/>
              <w:rPr>
                <w:sz w:val="20"/>
                <w:szCs w:val="20"/>
                <w:color w:val="auto"/>
              </w:rPr>
            </w:pPr>
            <w:r>
              <w:rPr>
                <w:rFonts w:ascii="Arial" w:cs="Arial" w:eastAsia="Arial" w:hAnsi="Arial"/>
                <w:sz w:val="12"/>
                <w:szCs w:val="12"/>
                <w:color w:val="auto"/>
              </w:rPr>
              <w:t>10,534</w:t>
            </w:r>
          </w:p>
        </w:tc>
        <w:tc>
          <w:tcPr>
            <w:tcW w:w="560" w:type="dxa"/>
            <w:vAlign w:val="bottom"/>
          </w:tcPr>
          <w:p>
            <w:pPr>
              <w:spacing w:after="0"/>
              <w:rPr>
                <w:sz w:val="22"/>
                <w:szCs w:val="22"/>
                <w:color w:val="auto"/>
              </w:rPr>
            </w:pPr>
          </w:p>
        </w:tc>
        <w:tc>
          <w:tcPr>
            <w:tcW w:w="820" w:type="dxa"/>
            <w:vAlign w:val="bottom"/>
          </w:tcPr>
          <w:p>
            <w:pPr>
              <w:jc w:val="right"/>
              <w:ind w:right="80"/>
              <w:spacing w:after="0"/>
              <w:rPr>
                <w:sz w:val="20"/>
                <w:szCs w:val="20"/>
                <w:color w:val="auto"/>
              </w:rPr>
            </w:pPr>
            <w:r>
              <w:rPr>
                <w:rFonts w:ascii="Arial" w:cs="Arial" w:eastAsia="Arial" w:hAnsi="Arial"/>
                <w:sz w:val="12"/>
                <w:szCs w:val="12"/>
                <w:color w:val="auto"/>
              </w:rPr>
              <w:t>10,535</w:t>
            </w:r>
          </w:p>
        </w:tc>
        <w:tc>
          <w:tcPr>
            <w:tcW w:w="540" w:type="dxa"/>
            <w:vAlign w:val="bottom"/>
          </w:tcPr>
          <w:p>
            <w:pPr>
              <w:spacing w:after="0"/>
              <w:rPr>
                <w:sz w:val="22"/>
                <w:szCs w:val="22"/>
                <w:color w:val="auto"/>
              </w:rPr>
            </w:pPr>
          </w:p>
        </w:tc>
        <w:tc>
          <w:tcPr>
            <w:tcW w:w="820" w:type="dxa"/>
            <w:vAlign w:val="bottom"/>
          </w:tcPr>
          <w:p>
            <w:pPr>
              <w:jc w:val="right"/>
              <w:ind w:right="60"/>
              <w:spacing w:after="0"/>
              <w:rPr>
                <w:sz w:val="20"/>
                <w:szCs w:val="20"/>
                <w:color w:val="auto"/>
              </w:rPr>
            </w:pPr>
            <w:r>
              <w:rPr>
                <w:rFonts w:ascii="Arial" w:cs="Arial" w:eastAsia="Arial" w:hAnsi="Arial"/>
                <w:sz w:val="12"/>
                <w:szCs w:val="12"/>
                <w:color w:val="auto"/>
              </w:rPr>
              <w:t>10,229</w:t>
            </w:r>
          </w:p>
        </w:tc>
        <w:tc>
          <w:tcPr>
            <w:tcW w:w="560" w:type="dxa"/>
            <w:vAlign w:val="bottom"/>
          </w:tcPr>
          <w:p>
            <w:pPr>
              <w:spacing w:after="0"/>
              <w:rPr>
                <w:sz w:val="22"/>
                <w:szCs w:val="22"/>
                <w:color w:val="auto"/>
              </w:rPr>
            </w:pPr>
          </w:p>
        </w:tc>
        <w:tc>
          <w:tcPr>
            <w:tcW w:w="820" w:type="dxa"/>
            <w:vAlign w:val="bottom"/>
          </w:tcPr>
          <w:p>
            <w:pPr>
              <w:jc w:val="right"/>
              <w:ind w:right="60"/>
              <w:spacing w:after="0"/>
              <w:rPr>
                <w:sz w:val="20"/>
                <w:szCs w:val="20"/>
                <w:color w:val="auto"/>
              </w:rPr>
            </w:pPr>
            <w:r>
              <w:rPr>
                <w:rFonts w:ascii="Arial" w:cs="Arial" w:eastAsia="Arial" w:hAnsi="Arial"/>
                <w:sz w:val="12"/>
                <w:szCs w:val="12"/>
                <w:color w:val="auto"/>
              </w:rPr>
              <w:t>9,966</w:t>
            </w:r>
          </w:p>
        </w:tc>
        <w:tc>
          <w:tcPr>
            <w:tcW w:w="560" w:type="dxa"/>
            <w:vAlign w:val="bottom"/>
          </w:tcPr>
          <w:p>
            <w:pPr>
              <w:spacing w:after="0"/>
              <w:rPr>
                <w:sz w:val="22"/>
                <w:szCs w:val="22"/>
                <w:color w:val="auto"/>
              </w:rPr>
            </w:pPr>
          </w:p>
        </w:tc>
        <w:tc>
          <w:tcPr>
            <w:tcW w:w="1260" w:type="dxa"/>
            <w:vAlign w:val="bottom"/>
          </w:tcPr>
          <w:p>
            <w:pPr>
              <w:jc w:val="right"/>
              <w:ind w:right="520"/>
              <w:spacing w:after="0"/>
              <w:rPr>
                <w:sz w:val="20"/>
                <w:szCs w:val="20"/>
                <w:color w:val="auto"/>
              </w:rPr>
            </w:pPr>
            <w:r>
              <w:rPr>
                <w:rFonts w:ascii="Arial" w:cs="Arial" w:eastAsia="Arial" w:hAnsi="Arial"/>
                <w:sz w:val="12"/>
                <w:szCs w:val="12"/>
                <w:color w:val="auto"/>
              </w:rPr>
              <w:t>9,993</w:t>
            </w:r>
          </w:p>
        </w:tc>
        <w:tc>
          <w:tcPr>
            <w:tcW w:w="860" w:type="dxa"/>
            <w:vAlign w:val="bottom"/>
          </w:tcPr>
          <w:p>
            <w:pPr>
              <w:jc w:val="right"/>
              <w:ind w:right="100"/>
              <w:spacing w:after="0"/>
              <w:rPr>
                <w:sz w:val="20"/>
                <w:szCs w:val="20"/>
                <w:color w:val="auto"/>
              </w:rPr>
            </w:pPr>
            <w:r>
              <w:rPr>
                <w:rFonts w:ascii="Arial" w:cs="Arial" w:eastAsia="Arial" w:hAnsi="Arial"/>
                <w:sz w:val="12"/>
                <w:szCs w:val="12"/>
                <w:color w:val="auto"/>
              </w:rPr>
              <w:t>5</w:t>
            </w:r>
          </w:p>
        </w:tc>
      </w:tr>
      <w:tr>
        <w:trPr>
          <w:trHeight w:val="279"/>
        </w:trPr>
        <w:tc>
          <w:tcPr>
            <w:tcW w:w="27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Shareholders’ equity</w:t>
            </w:r>
          </w:p>
        </w:tc>
        <w:tc>
          <w:tcPr>
            <w:tcW w:w="10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1,508</w:t>
            </w:r>
          </w:p>
        </w:tc>
        <w:tc>
          <w:tcPr>
            <w:tcW w:w="5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1,458</w:t>
            </w:r>
          </w:p>
        </w:tc>
        <w:tc>
          <w:tcPr>
            <w:tcW w:w="5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1,402</w:t>
            </w:r>
          </w:p>
        </w:tc>
        <w:tc>
          <w:tcPr>
            <w:tcW w:w="5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1,379</w:t>
            </w:r>
          </w:p>
        </w:tc>
        <w:tc>
          <w:tcPr>
            <w:tcW w:w="5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520"/>
              <w:spacing w:after="0"/>
              <w:rPr>
                <w:sz w:val="20"/>
                <w:szCs w:val="20"/>
                <w:color w:val="auto"/>
              </w:rPr>
            </w:pPr>
            <w:r>
              <w:rPr>
                <w:rFonts w:ascii="Arial" w:cs="Arial" w:eastAsia="Arial" w:hAnsi="Arial"/>
                <w:sz w:val="12"/>
                <w:szCs w:val="12"/>
                <w:color w:val="auto"/>
              </w:rPr>
              <w:t>1,357</w:t>
            </w:r>
          </w:p>
        </w:tc>
        <w:tc>
          <w:tcPr>
            <w:tcW w:w="8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11</w:t>
            </w:r>
          </w:p>
        </w:tc>
      </w:tr>
      <w:tr>
        <w:trPr>
          <w:trHeight w:val="252"/>
        </w:trPr>
        <w:tc>
          <w:tcPr>
            <w:tcW w:w="2760" w:type="dxa"/>
            <w:vAlign w:val="bottom"/>
          </w:tcPr>
          <w:p>
            <w:pPr>
              <w:ind w:left="180"/>
              <w:spacing w:after="0"/>
              <w:rPr>
                <w:sz w:val="20"/>
                <w:szCs w:val="20"/>
                <w:color w:val="auto"/>
              </w:rPr>
            </w:pPr>
            <w:r>
              <w:rPr>
                <w:rFonts w:ascii="Arial" w:cs="Arial" w:eastAsia="Arial" w:hAnsi="Arial"/>
                <w:sz w:val="12"/>
                <w:szCs w:val="12"/>
                <w:color w:val="auto"/>
              </w:rPr>
              <w:t>Common shares outstanding (thousands)</w:t>
            </w:r>
          </w:p>
        </w:tc>
        <w:tc>
          <w:tcPr>
            <w:tcW w:w="1040" w:type="dxa"/>
            <w:vAlign w:val="bottom"/>
          </w:tcPr>
          <w:p>
            <w:pPr>
              <w:spacing w:after="0"/>
              <w:rPr>
                <w:sz w:val="21"/>
                <w:szCs w:val="21"/>
                <w:color w:val="auto"/>
              </w:rPr>
            </w:pPr>
          </w:p>
        </w:tc>
        <w:tc>
          <w:tcPr>
            <w:tcW w:w="820" w:type="dxa"/>
            <w:vAlign w:val="bottom"/>
          </w:tcPr>
          <w:p>
            <w:pPr>
              <w:jc w:val="right"/>
              <w:ind w:right="60"/>
              <w:spacing w:after="0"/>
              <w:rPr>
                <w:sz w:val="20"/>
                <w:szCs w:val="20"/>
                <w:color w:val="auto"/>
              </w:rPr>
            </w:pPr>
            <w:r>
              <w:rPr>
                <w:rFonts w:ascii="Arial" w:cs="Arial" w:eastAsia="Arial" w:hAnsi="Arial"/>
                <w:sz w:val="12"/>
                <w:szCs w:val="12"/>
                <w:color w:val="auto"/>
              </w:rPr>
              <w:t>79,035</w:t>
            </w:r>
          </w:p>
        </w:tc>
        <w:tc>
          <w:tcPr>
            <w:tcW w:w="560" w:type="dxa"/>
            <w:vAlign w:val="bottom"/>
          </w:tcPr>
          <w:p>
            <w:pPr>
              <w:spacing w:after="0"/>
              <w:rPr>
                <w:sz w:val="21"/>
                <w:szCs w:val="21"/>
                <w:color w:val="auto"/>
              </w:rPr>
            </w:pPr>
          </w:p>
        </w:tc>
        <w:tc>
          <w:tcPr>
            <w:tcW w:w="820" w:type="dxa"/>
            <w:vAlign w:val="bottom"/>
          </w:tcPr>
          <w:p>
            <w:pPr>
              <w:jc w:val="right"/>
              <w:ind w:right="80"/>
              <w:spacing w:after="0"/>
              <w:rPr>
                <w:sz w:val="20"/>
                <w:szCs w:val="20"/>
                <w:color w:val="auto"/>
              </w:rPr>
            </w:pPr>
            <w:r>
              <w:rPr>
                <w:rFonts w:ascii="Arial" w:cs="Arial" w:eastAsia="Arial" w:hAnsi="Arial"/>
                <w:sz w:val="12"/>
                <w:szCs w:val="12"/>
                <w:color w:val="auto"/>
              </w:rPr>
              <w:t>79,234</w:t>
            </w:r>
          </w:p>
        </w:tc>
        <w:tc>
          <w:tcPr>
            <w:tcW w:w="540" w:type="dxa"/>
            <w:vAlign w:val="bottom"/>
          </w:tcPr>
          <w:p>
            <w:pPr>
              <w:spacing w:after="0"/>
              <w:rPr>
                <w:sz w:val="21"/>
                <w:szCs w:val="21"/>
                <w:color w:val="auto"/>
              </w:rPr>
            </w:pPr>
          </w:p>
        </w:tc>
        <w:tc>
          <w:tcPr>
            <w:tcW w:w="820" w:type="dxa"/>
            <w:vAlign w:val="bottom"/>
          </w:tcPr>
          <w:p>
            <w:pPr>
              <w:jc w:val="right"/>
              <w:ind w:right="60"/>
              <w:spacing w:after="0"/>
              <w:rPr>
                <w:sz w:val="20"/>
                <w:szCs w:val="20"/>
                <w:color w:val="auto"/>
              </w:rPr>
            </w:pPr>
            <w:r>
              <w:rPr>
                <w:rFonts w:ascii="Arial" w:cs="Arial" w:eastAsia="Arial" w:hAnsi="Arial"/>
                <w:sz w:val="12"/>
                <w:szCs w:val="12"/>
                <w:color w:val="auto"/>
              </w:rPr>
              <w:t>79,202</w:t>
            </w:r>
          </w:p>
        </w:tc>
        <w:tc>
          <w:tcPr>
            <w:tcW w:w="560" w:type="dxa"/>
            <w:vAlign w:val="bottom"/>
          </w:tcPr>
          <w:p>
            <w:pPr>
              <w:spacing w:after="0"/>
              <w:rPr>
                <w:sz w:val="21"/>
                <w:szCs w:val="21"/>
                <w:color w:val="auto"/>
              </w:rPr>
            </w:pPr>
          </w:p>
        </w:tc>
        <w:tc>
          <w:tcPr>
            <w:tcW w:w="820" w:type="dxa"/>
            <w:vAlign w:val="bottom"/>
          </w:tcPr>
          <w:p>
            <w:pPr>
              <w:jc w:val="right"/>
              <w:ind w:right="60"/>
              <w:spacing w:after="0"/>
              <w:rPr>
                <w:sz w:val="20"/>
                <w:szCs w:val="20"/>
                <w:color w:val="auto"/>
              </w:rPr>
            </w:pPr>
            <w:r>
              <w:rPr>
                <w:rFonts w:ascii="Arial" w:cs="Arial" w:eastAsia="Arial" w:hAnsi="Arial"/>
                <w:sz w:val="12"/>
                <w:szCs w:val="12"/>
                <w:color w:val="auto"/>
              </w:rPr>
              <w:t>79,138</w:t>
            </w:r>
          </w:p>
        </w:tc>
        <w:tc>
          <w:tcPr>
            <w:tcW w:w="560" w:type="dxa"/>
            <w:vAlign w:val="bottom"/>
          </w:tcPr>
          <w:p>
            <w:pPr>
              <w:spacing w:after="0"/>
              <w:rPr>
                <w:sz w:val="21"/>
                <w:szCs w:val="21"/>
                <w:color w:val="auto"/>
              </w:rPr>
            </w:pPr>
          </w:p>
        </w:tc>
        <w:tc>
          <w:tcPr>
            <w:tcW w:w="1260" w:type="dxa"/>
            <w:vAlign w:val="bottom"/>
          </w:tcPr>
          <w:p>
            <w:pPr>
              <w:jc w:val="right"/>
              <w:ind w:right="520"/>
              <w:spacing w:after="0"/>
              <w:rPr>
                <w:sz w:val="20"/>
                <w:szCs w:val="20"/>
                <w:color w:val="auto"/>
              </w:rPr>
            </w:pPr>
            <w:r>
              <w:rPr>
                <w:rFonts w:ascii="Arial" w:cs="Arial" w:eastAsia="Arial" w:hAnsi="Arial"/>
                <w:sz w:val="12"/>
                <w:szCs w:val="12"/>
                <w:color w:val="auto"/>
              </w:rPr>
              <w:t>79,123</w:t>
            </w:r>
          </w:p>
        </w:tc>
        <w:tc>
          <w:tcPr>
            <w:tcW w:w="860" w:type="dxa"/>
            <w:vAlign w:val="bottom"/>
          </w:tcPr>
          <w:p>
            <w:pPr>
              <w:jc w:val="right"/>
              <w:ind w:right="100"/>
              <w:spacing w:after="0"/>
              <w:rPr>
                <w:sz w:val="20"/>
                <w:szCs w:val="20"/>
                <w:color w:val="auto"/>
              </w:rPr>
            </w:pPr>
            <w:r>
              <w:rPr>
                <w:rFonts w:ascii="Arial" w:cs="Arial" w:eastAsia="Arial" w:hAnsi="Arial"/>
                <w:sz w:val="12"/>
                <w:szCs w:val="12"/>
                <w:color w:val="auto"/>
              </w:rPr>
              <w:t>—</w:t>
            </w:r>
          </w:p>
        </w:tc>
      </w:tr>
    </w:tbl>
    <w:p>
      <w:pPr>
        <w:spacing w:after="0" w:line="152" w:lineRule="exact"/>
        <w:rPr>
          <w:sz w:val="20"/>
          <w:szCs w:val="20"/>
          <w:color w:val="auto"/>
        </w:rPr>
      </w:pPr>
    </w:p>
    <w:p>
      <w:pPr>
        <w:ind w:right="360" w:firstLine="8"/>
        <w:spacing w:after="0" w:line="255" w:lineRule="auto"/>
        <w:tabs>
          <w:tab w:leader="none" w:pos="136" w:val="left"/>
        </w:tabs>
        <w:numPr>
          <w:ilvl w:val="0"/>
          <w:numId w:val="2"/>
        </w:numPr>
        <w:rPr>
          <w:rFonts w:ascii="Arial" w:cs="Arial" w:eastAsia="Arial" w:hAnsi="Arial"/>
          <w:sz w:val="9"/>
          <w:szCs w:val="9"/>
          <w:color w:val="auto"/>
        </w:rPr>
      </w:pPr>
      <w:r>
        <w:rPr>
          <w:rFonts w:ascii="Arial" w:cs="Arial" w:eastAsia="Arial" w:hAnsi="Arial"/>
          <w:sz w:val="13"/>
          <w:szCs w:val="13"/>
          <w:color w:val="auto"/>
        </w:rPr>
        <w:t xml:space="preserve">Excludes merger-related and other charges which includes amortization of certain executive change of control benefits. </w:t>
      </w:r>
      <w:r>
        <w:rPr>
          <w:rFonts w:ascii="Arial" w:cs="Arial" w:eastAsia="Arial" w:hAnsi="Arial"/>
          <w:sz w:val="8"/>
          <w:szCs w:val="8"/>
          <w:color w:val="auto"/>
        </w:rPr>
        <w:t>(2)</w:t>
      </w:r>
      <w:r>
        <w:rPr>
          <w:rFonts w:ascii="Arial" w:cs="Arial" w:eastAsia="Arial" w:hAnsi="Arial"/>
          <w:sz w:val="13"/>
          <w:szCs w:val="13"/>
          <w:color w:val="auto"/>
        </w:rPr>
        <w:t xml:space="preserve"> Net income less preferred stock dividends, divided by average realized common equity, which excludes accumulated other comprehensive income (loss). </w:t>
      </w:r>
      <w:r>
        <w:rPr>
          <w:rFonts w:ascii="Arial" w:cs="Arial" w:eastAsia="Arial" w:hAnsi="Arial"/>
          <w:sz w:val="8"/>
          <w:szCs w:val="8"/>
          <w:color w:val="auto"/>
        </w:rPr>
        <w:t>(3)</w:t>
      </w:r>
      <w:r>
        <w:rPr>
          <w:rFonts w:ascii="Arial" w:cs="Arial" w:eastAsia="Arial" w:hAnsi="Arial"/>
          <w:sz w:val="13"/>
          <w:szCs w:val="13"/>
          <w:color w:val="auto"/>
        </w:rPr>
        <w:t xml:space="preserve"> Excludes effect of acquisition related intangibles and associated amortization. </w:t>
      </w:r>
      <w:r>
        <w:rPr>
          <w:rFonts w:ascii="Arial" w:cs="Arial" w:eastAsia="Arial" w:hAnsi="Arial"/>
          <w:sz w:val="8"/>
          <w:szCs w:val="8"/>
          <w:color w:val="auto"/>
        </w:rPr>
        <w:t>(4)</w:t>
      </w:r>
      <w:r>
        <w:rPr>
          <w:rFonts w:ascii="Arial" w:cs="Arial" w:eastAsia="Arial" w:hAnsi="Arial"/>
          <w:sz w:val="13"/>
          <w:szCs w:val="13"/>
          <w:color w:val="auto"/>
        </w:rPr>
        <w:t xml:space="preserve"> Annualized.</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40" w:right="239" w:bottom="1440" w:gutter="0" w:footer="0" w:header="0"/>
        </w:sectPr>
      </w:pPr>
    </w:p>
    <w:bookmarkStart w:id="45" w:name="page46"/>
    <w:bookmarkEnd w:id="45"/>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80" w:type="dxa"/>
            <w:vAlign w:val="bottom"/>
          </w:tcPr>
          <w:p>
            <w:pPr>
              <w:spacing w:after="0"/>
              <w:rPr>
                <w:sz w:val="16"/>
                <w:szCs w:val="16"/>
                <w:color w:val="auto"/>
              </w:rPr>
            </w:pPr>
          </w:p>
        </w:tc>
        <w:tc>
          <w:tcPr>
            <w:tcW w:w="3740" w:type="dxa"/>
            <w:vAlign w:val="bottom"/>
            <w:gridSpan w:val="2"/>
          </w:tcPr>
          <w:p>
            <w:pPr>
              <w:ind w:left="40"/>
              <w:spacing w:after="0"/>
              <w:rPr>
                <w:sz w:val="20"/>
                <w:szCs w:val="20"/>
                <w:color w:val="auto"/>
              </w:rPr>
            </w:pPr>
            <w:r>
              <w:rPr>
                <w:rFonts w:ascii="Arial" w:cs="Arial" w:eastAsia="Arial" w:hAnsi="Arial"/>
                <w:sz w:val="14"/>
                <w:szCs w:val="14"/>
                <w:b w:val="1"/>
                <w:bCs w:val="1"/>
                <w:color w:val="auto"/>
              </w:rPr>
              <w:t>UNITED COMMUNITY BANKS, INC.</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3"/>
                <w:szCs w:val="23"/>
                <w:color w:val="auto"/>
              </w:rPr>
            </w:pPr>
          </w:p>
        </w:tc>
        <w:tc>
          <w:tcPr>
            <w:tcW w:w="4800" w:type="dxa"/>
            <w:vAlign w:val="bottom"/>
            <w:gridSpan w:val="5"/>
          </w:tcPr>
          <w:p>
            <w:pPr>
              <w:ind w:left="40"/>
              <w:spacing w:after="0"/>
              <w:rPr>
                <w:sz w:val="20"/>
                <w:szCs w:val="20"/>
                <w:color w:val="auto"/>
              </w:rPr>
            </w:pPr>
            <w:r>
              <w:rPr>
                <w:rFonts w:ascii="Arial" w:cs="Arial" w:eastAsia="Arial" w:hAnsi="Arial"/>
                <w:sz w:val="14"/>
                <w:szCs w:val="14"/>
                <w:b w:val="1"/>
                <w:bCs w:val="1"/>
                <w:color w:val="auto"/>
              </w:rPr>
              <w:t>Table 1 (Continued) - Non-GAAP Performance Measures Reconciliation</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1080" w:type="dxa"/>
            <w:vAlign w:val="bottom"/>
          </w:tcPr>
          <w:p>
            <w:pPr>
              <w:spacing w:after="0"/>
              <w:rPr>
                <w:sz w:val="24"/>
                <w:szCs w:val="24"/>
                <w:color w:val="auto"/>
              </w:rPr>
            </w:pPr>
          </w:p>
        </w:tc>
        <w:tc>
          <w:tcPr>
            <w:tcW w:w="3740" w:type="dxa"/>
            <w:vAlign w:val="bottom"/>
            <w:gridSpan w:val="2"/>
          </w:tcPr>
          <w:p>
            <w:pPr>
              <w:ind w:left="40"/>
              <w:spacing w:after="0"/>
              <w:rPr>
                <w:sz w:val="20"/>
                <w:szCs w:val="20"/>
                <w:color w:val="auto"/>
              </w:rPr>
            </w:pPr>
            <w:r>
              <w:rPr>
                <w:rFonts w:ascii="Arial" w:cs="Arial" w:eastAsia="Arial" w:hAnsi="Arial"/>
                <w:sz w:val="14"/>
                <w:szCs w:val="14"/>
                <w:b w:val="1"/>
                <w:bCs w:val="1"/>
                <w:color w:val="auto"/>
              </w:rPr>
              <w:t>Selected Financial Information</w:t>
            </w: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8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2018</w:t>
            </w: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1"/>
        </w:trPr>
        <w:tc>
          <w:tcPr>
            <w:tcW w:w="10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First Quarter</w:t>
            </w:r>
          </w:p>
        </w:tc>
        <w:tc>
          <w:tcPr>
            <w:tcW w:w="160" w:type="dxa"/>
            <w:vAlign w:val="bottom"/>
          </w:tcPr>
          <w:p>
            <w:pPr>
              <w:spacing w:after="0"/>
              <w:rPr>
                <w:sz w:val="24"/>
                <w:szCs w:val="2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Fourth</w:t>
            </w:r>
          </w:p>
        </w:tc>
        <w:tc>
          <w:tcPr>
            <w:tcW w:w="1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Third Quarter</w:t>
            </w:r>
          </w:p>
        </w:tc>
        <w:tc>
          <w:tcPr>
            <w:tcW w:w="180" w:type="dxa"/>
            <w:vAlign w:val="bottom"/>
          </w:tcPr>
          <w:p>
            <w:pPr>
              <w:spacing w:after="0"/>
              <w:rPr>
                <w:sz w:val="24"/>
                <w:szCs w:val="2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Second</w:t>
            </w:r>
          </w:p>
        </w:tc>
        <w:tc>
          <w:tcPr>
            <w:tcW w:w="23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First Quarter</w:t>
            </w:r>
          </w:p>
        </w:tc>
        <w:tc>
          <w:tcPr>
            <w:tcW w:w="0" w:type="dxa"/>
            <w:vAlign w:val="bottom"/>
          </w:tcPr>
          <w:p>
            <w:pPr>
              <w:spacing w:after="0"/>
              <w:rPr>
                <w:sz w:val="1"/>
                <w:szCs w:val="1"/>
                <w:color w:val="auto"/>
              </w:rPr>
            </w:pPr>
          </w:p>
        </w:tc>
      </w:tr>
      <w:tr>
        <w:trPr>
          <w:trHeight w:val="192"/>
        </w:trPr>
        <w:tc>
          <w:tcPr>
            <w:tcW w:w="1080" w:type="dxa"/>
            <w:vAlign w:val="bottom"/>
          </w:tcPr>
          <w:p>
            <w:pPr>
              <w:spacing w:after="0"/>
              <w:rPr>
                <w:sz w:val="16"/>
                <w:szCs w:val="16"/>
                <w:color w:val="auto"/>
              </w:rPr>
            </w:pPr>
          </w:p>
        </w:tc>
        <w:tc>
          <w:tcPr>
            <w:tcW w:w="374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10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Quarter</w:t>
            </w:r>
          </w:p>
        </w:tc>
        <w:tc>
          <w:tcPr>
            <w:tcW w:w="10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Quarter</w:t>
            </w:r>
          </w:p>
        </w:tc>
        <w:tc>
          <w:tcPr>
            <w:tcW w:w="23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080" w:type="dxa"/>
            <w:vAlign w:val="bottom"/>
          </w:tcPr>
          <w:p>
            <w:pPr>
              <w:spacing w:after="0"/>
              <w:rPr>
                <w:sz w:val="19"/>
                <w:szCs w:val="19"/>
                <w:color w:val="auto"/>
              </w:rPr>
            </w:pPr>
          </w:p>
        </w:tc>
        <w:tc>
          <w:tcPr>
            <w:tcW w:w="3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080" w:type="dxa"/>
            <w:vAlign w:val="bottom"/>
            <w:shd w:val="clear" w:color="auto" w:fill="CCEEFF"/>
          </w:tcPr>
          <w:p>
            <w:pPr>
              <w:spacing w:after="0"/>
              <w:rPr>
                <w:sz w:val="23"/>
                <w:szCs w:val="23"/>
                <w:color w:val="auto"/>
              </w:rPr>
            </w:pPr>
          </w:p>
        </w:tc>
        <w:tc>
          <w:tcPr>
            <w:tcW w:w="37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Expense reconciliation</w:t>
            </w: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080" w:type="dxa"/>
            <w:vAlign w:val="bottom"/>
          </w:tcPr>
          <w:p>
            <w:pPr>
              <w:spacing w:after="0"/>
              <w:rPr>
                <w:sz w:val="22"/>
                <w:szCs w:val="22"/>
                <w:color w:val="auto"/>
              </w:rPr>
            </w:pPr>
          </w:p>
        </w:tc>
        <w:tc>
          <w:tcPr>
            <w:tcW w:w="3740" w:type="dxa"/>
            <w:vAlign w:val="bottom"/>
            <w:gridSpan w:val="2"/>
          </w:tcPr>
          <w:p>
            <w:pPr>
              <w:ind w:left="40"/>
              <w:spacing w:after="0"/>
              <w:rPr>
                <w:sz w:val="20"/>
                <w:szCs w:val="20"/>
                <w:color w:val="auto"/>
              </w:rPr>
            </w:pPr>
            <w:r>
              <w:rPr>
                <w:rFonts w:ascii="Arial" w:cs="Arial" w:eastAsia="Arial" w:hAnsi="Arial"/>
                <w:sz w:val="14"/>
                <w:szCs w:val="14"/>
                <w:color w:val="auto"/>
              </w:rPr>
              <w:t>Expenses (GAAP)</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76,084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78,242</w:t>
            </w:r>
          </w:p>
        </w:tc>
        <w:tc>
          <w:tcPr>
            <w:tcW w:w="100" w:type="dxa"/>
            <w:vAlign w:val="bottom"/>
          </w:tcPr>
          <w:p>
            <w:pPr>
              <w:spacing w:after="0"/>
              <w:rPr>
                <w:sz w:val="22"/>
                <w:szCs w:val="22"/>
                <w:color w:val="auto"/>
              </w:rPr>
            </w:pP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77,718</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76,850</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73,475</w:t>
            </w: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080" w:type="dxa"/>
            <w:vAlign w:val="bottom"/>
            <w:shd w:val="clear" w:color="auto" w:fill="CCEEFF"/>
          </w:tcPr>
          <w:p>
            <w:pPr>
              <w:spacing w:after="0"/>
              <w:rPr>
                <w:sz w:val="23"/>
                <w:szCs w:val="23"/>
                <w:color w:val="auto"/>
              </w:rPr>
            </w:pPr>
          </w:p>
        </w:tc>
        <w:tc>
          <w:tcPr>
            <w:tcW w:w="3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Merger-related and other charges</w:t>
            </w: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(739)</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(1,234)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(592)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(2,873)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(2,646)</w:t>
            </w: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1080" w:type="dxa"/>
            <w:vAlign w:val="bottom"/>
            <w:tcBorders>
              <w:bottom w:val="single" w:sz="8" w:color="CCEEFF"/>
            </w:tcBorders>
          </w:tcPr>
          <w:p>
            <w:pPr>
              <w:spacing w:after="0"/>
              <w:rPr>
                <w:sz w:val="24"/>
                <w:szCs w:val="24"/>
                <w:color w:val="auto"/>
              </w:rPr>
            </w:pPr>
          </w:p>
        </w:tc>
        <w:tc>
          <w:tcPr>
            <w:tcW w:w="374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Expenses - operating</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75,345</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77,008</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77,126</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73,977</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70,829</w:t>
            </w:r>
          </w:p>
        </w:tc>
        <w:tc>
          <w:tcPr>
            <w:tcW w:w="13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080" w:type="dxa"/>
            <w:vAlign w:val="bottom"/>
            <w:shd w:val="clear" w:color="auto" w:fill="CCEEFF"/>
          </w:tcPr>
          <w:p>
            <w:pPr>
              <w:spacing w:after="0"/>
              <w:rPr>
                <w:sz w:val="19"/>
                <w:szCs w:val="19"/>
                <w:color w:val="auto"/>
              </w:rPr>
            </w:pPr>
          </w:p>
        </w:tc>
        <w:tc>
          <w:tcPr>
            <w:tcW w:w="3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080" w:type="dxa"/>
            <w:vAlign w:val="bottom"/>
          </w:tcPr>
          <w:p>
            <w:pPr>
              <w:spacing w:after="0"/>
              <w:rPr>
                <w:sz w:val="22"/>
                <w:szCs w:val="22"/>
                <w:color w:val="auto"/>
              </w:rPr>
            </w:pPr>
          </w:p>
        </w:tc>
        <w:tc>
          <w:tcPr>
            <w:tcW w:w="374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income reconciliation</w:t>
            </w: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080" w:type="dxa"/>
            <w:vAlign w:val="bottom"/>
            <w:shd w:val="clear" w:color="auto" w:fill="CCEEFF"/>
          </w:tcPr>
          <w:p>
            <w:pPr>
              <w:spacing w:after="0"/>
              <w:rPr>
                <w:sz w:val="24"/>
                <w:szCs w:val="24"/>
                <w:color w:val="auto"/>
              </w:rPr>
            </w:pPr>
          </w:p>
        </w:tc>
        <w:tc>
          <w:tcPr>
            <w:tcW w:w="3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income (GAAP)</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44,262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45,137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43,682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39,634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37,658</w:t>
            </w: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80" w:type="dxa"/>
            <w:vAlign w:val="bottom"/>
          </w:tcPr>
          <w:p>
            <w:pPr>
              <w:spacing w:after="0"/>
              <w:rPr>
                <w:sz w:val="22"/>
                <w:szCs w:val="22"/>
                <w:color w:val="auto"/>
              </w:rPr>
            </w:pPr>
          </w:p>
        </w:tc>
        <w:tc>
          <w:tcPr>
            <w:tcW w:w="3740" w:type="dxa"/>
            <w:vAlign w:val="bottom"/>
            <w:gridSpan w:val="2"/>
          </w:tcPr>
          <w:p>
            <w:pPr>
              <w:ind w:left="40"/>
              <w:spacing w:after="0"/>
              <w:rPr>
                <w:sz w:val="20"/>
                <w:szCs w:val="20"/>
                <w:color w:val="auto"/>
              </w:rPr>
            </w:pPr>
            <w:r>
              <w:rPr>
                <w:rFonts w:ascii="Arial" w:cs="Arial" w:eastAsia="Arial" w:hAnsi="Arial"/>
                <w:sz w:val="14"/>
                <w:szCs w:val="14"/>
                <w:color w:val="auto"/>
              </w:rPr>
              <w:t>Merger-related and other charges</w:t>
            </w:r>
          </w:p>
        </w:tc>
        <w:tc>
          <w:tcPr>
            <w:tcW w:w="220" w:type="dxa"/>
            <w:vAlign w:val="bottom"/>
          </w:tcPr>
          <w:p>
            <w:pPr>
              <w:spacing w:after="0"/>
              <w:rPr>
                <w:sz w:val="22"/>
                <w:szCs w:val="22"/>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739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1,234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592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2,873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2,646</w:t>
            </w: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080" w:type="dxa"/>
            <w:vAlign w:val="bottom"/>
            <w:shd w:val="clear" w:color="auto" w:fill="CCEEFF"/>
          </w:tcPr>
          <w:p>
            <w:pPr>
              <w:spacing w:after="0"/>
              <w:rPr>
                <w:sz w:val="23"/>
                <w:szCs w:val="23"/>
                <w:color w:val="auto"/>
              </w:rPr>
            </w:pPr>
          </w:p>
        </w:tc>
        <w:tc>
          <w:tcPr>
            <w:tcW w:w="3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Income tax benefit of merger-related and other charges</w:t>
            </w: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(604)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(628)</w:t>
            </w: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1080" w:type="dxa"/>
            <w:vAlign w:val="bottom"/>
            <w:tcBorders>
              <w:bottom w:val="single" w:sz="8" w:color="CCEEFF"/>
            </w:tcBorders>
          </w:tcPr>
          <w:p>
            <w:pPr>
              <w:spacing w:after="0"/>
              <w:rPr>
                <w:sz w:val="24"/>
                <w:szCs w:val="24"/>
                <w:color w:val="auto"/>
              </w:rPr>
            </w:pPr>
          </w:p>
        </w:tc>
        <w:tc>
          <w:tcPr>
            <w:tcW w:w="374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Net income - operating</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44,829</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45,767</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44,133</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42,386</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39,676</w:t>
            </w:r>
          </w:p>
        </w:tc>
        <w:tc>
          <w:tcPr>
            <w:tcW w:w="13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080" w:type="dxa"/>
            <w:vAlign w:val="bottom"/>
            <w:shd w:val="clear" w:color="auto" w:fill="CCEEFF"/>
          </w:tcPr>
          <w:p>
            <w:pPr>
              <w:spacing w:after="0"/>
              <w:rPr>
                <w:sz w:val="19"/>
                <w:szCs w:val="19"/>
                <w:color w:val="auto"/>
              </w:rPr>
            </w:pPr>
          </w:p>
        </w:tc>
        <w:tc>
          <w:tcPr>
            <w:tcW w:w="3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080" w:type="dxa"/>
            <w:vAlign w:val="bottom"/>
          </w:tcPr>
          <w:p>
            <w:pPr>
              <w:spacing w:after="0"/>
              <w:rPr>
                <w:sz w:val="22"/>
                <w:szCs w:val="22"/>
                <w:color w:val="auto"/>
              </w:rPr>
            </w:pPr>
          </w:p>
        </w:tc>
        <w:tc>
          <w:tcPr>
            <w:tcW w:w="3740" w:type="dxa"/>
            <w:vAlign w:val="bottom"/>
            <w:gridSpan w:val="2"/>
          </w:tcPr>
          <w:p>
            <w:pPr>
              <w:ind w:left="40"/>
              <w:spacing w:after="0"/>
              <w:rPr>
                <w:sz w:val="20"/>
                <w:szCs w:val="20"/>
                <w:color w:val="auto"/>
              </w:rPr>
            </w:pPr>
            <w:r>
              <w:rPr>
                <w:rFonts w:ascii="Arial" w:cs="Arial" w:eastAsia="Arial" w:hAnsi="Arial"/>
                <w:sz w:val="14"/>
                <w:szCs w:val="14"/>
                <w:b w:val="1"/>
                <w:bCs w:val="1"/>
                <w:color w:val="auto"/>
              </w:rPr>
              <w:t>Diluted income per common share reconciliation</w:t>
            </w: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080" w:type="dxa"/>
            <w:vAlign w:val="bottom"/>
            <w:shd w:val="clear" w:color="auto" w:fill="CCEEFF"/>
          </w:tcPr>
          <w:p>
            <w:pPr>
              <w:spacing w:after="0"/>
              <w:rPr>
                <w:sz w:val="24"/>
                <w:szCs w:val="24"/>
                <w:color w:val="auto"/>
              </w:rPr>
            </w:pPr>
          </w:p>
        </w:tc>
        <w:tc>
          <w:tcPr>
            <w:tcW w:w="3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Diluted income per common share (GAAP)</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0.55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0.56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0.54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0.49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0.47</w:t>
            </w: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80" w:type="dxa"/>
            <w:vAlign w:val="bottom"/>
            <w:tcBorders>
              <w:bottom w:val="single" w:sz="8" w:color="CCEEFF"/>
            </w:tcBorders>
          </w:tcPr>
          <w:p>
            <w:pPr>
              <w:spacing w:after="0"/>
              <w:rPr>
                <w:sz w:val="22"/>
                <w:szCs w:val="22"/>
                <w:color w:val="auto"/>
              </w:rPr>
            </w:pPr>
          </w:p>
        </w:tc>
        <w:tc>
          <w:tcPr>
            <w:tcW w:w="37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Merger-related and other charges</w:t>
            </w: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0.01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0.01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0.01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0.04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0.03</w:t>
            </w:r>
          </w:p>
        </w:tc>
        <w:tc>
          <w:tcPr>
            <w:tcW w:w="13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08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Diluted income per common share - operating</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0.55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0.53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0.50</w:t>
            </w: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080" w:type="dxa"/>
            <w:vAlign w:val="bottom"/>
            <w:shd w:val="clear" w:color="auto" w:fill="CCEEFF"/>
          </w:tcPr>
          <w:p>
            <w:pPr>
              <w:spacing w:after="0"/>
              <w:rPr>
                <w:sz w:val="23"/>
                <w:szCs w:val="23"/>
                <w:color w:val="auto"/>
              </w:rPr>
            </w:pPr>
          </w:p>
        </w:tc>
        <w:tc>
          <w:tcPr>
            <w:tcW w:w="37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Book value per common share reconciliation</w:t>
            </w: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080" w:type="dxa"/>
            <w:vAlign w:val="bottom"/>
          </w:tcPr>
          <w:p>
            <w:pPr>
              <w:spacing w:after="0"/>
              <w:rPr>
                <w:sz w:val="22"/>
                <w:szCs w:val="22"/>
                <w:color w:val="auto"/>
              </w:rPr>
            </w:pPr>
          </w:p>
        </w:tc>
        <w:tc>
          <w:tcPr>
            <w:tcW w:w="3740" w:type="dxa"/>
            <w:vAlign w:val="bottom"/>
            <w:gridSpan w:val="2"/>
          </w:tcPr>
          <w:p>
            <w:pPr>
              <w:ind w:left="40"/>
              <w:spacing w:after="0"/>
              <w:rPr>
                <w:sz w:val="20"/>
                <w:szCs w:val="20"/>
                <w:color w:val="auto"/>
              </w:rPr>
            </w:pPr>
            <w:r>
              <w:rPr>
                <w:rFonts w:ascii="Arial" w:cs="Arial" w:eastAsia="Arial" w:hAnsi="Arial"/>
                <w:sz w:val="14"/>
                <w:szCs w:val="14"/>
                <w:color w:val="auto"/>
              </w:rPr>
              <w:t>Book value per common share (GAAP)</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18.93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18.24</w:t>
            </w:r>
          </w:p>
        </w:tc>
        <w:tc>
          <w:tcPr>
            <w:tcW w:w="100" w:type="dxa"/>
            <w:vAlign w:val="bottom"/>
          </w:tcPr>
          <w:p>
            <w:pPr>
              <w:spacing w:after="0"/>
              <w:rPr>
                <w:sz w:val="22"/>
                <w:szCs w:val="22"/>
                <w:color w:val="auto"/>
              </w:rPr>
            </w:pP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17.56</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17.29</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17.02</w:t>
            </w: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080" w:type="dxa"/>
            <w:vAlign w:val="bottom"/>
            <w:shd w:val="clear" w:color="auto" w:fill="CCEEFF"/>
          </w:tcPr>
          <w:p>
            <w:pPr>
              <w:spacing w:after="0"/>
              <w:rPr>
                <w:sz w:val="23"/>
                <w:szCs w:val="23"/>
                <w:color w:val="auto"/>
              </w:rPr>
            </w:pPr>
          </w:p>
        </w:tc>
        <w:tc>
          <w:tcPr>
            <w:tcW w:w="3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Effect of goodwill and other intangibles</w:t>
            </w: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(4.02)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(4.04)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(4.06)</w:t>
            </w: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1080" w:type="dxa"/>
            <w:vAlign w:val="bottom"/>
            <w:tcBorders>
              <w:bottom w:val="single" w:sz="8" w:color="CCEEFF"/>
            </w:tcBorders>
          </w:tcPr>
          <w:p>
            <w:pPr>
              <w:spacing w:after="0"/>
              <w:rPr>
                <w:sz w:val="24"/>
                <w:szCs w:val="24"/>
                <w:color w:val="auto"/>
              </w:rPr>
            </w:pPr>
          </w:p>
        </w:tc>
        <w:tc>
          <w:tcPr>
            <w:tcW w:w="374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Tangible book value per common share</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14.93</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14.24</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13.54</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13.25</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12.96</w:t>
            </w:r>
          </w:p>
        </w:tc>
        <w:tc>
          <w:tcPr>
            <w:tcW w:w="13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080" w:type="dxa"/>
            <w:vAlign w:val="bottom"/>
            <w:shd w:val="clear" w:color="auto" w:fill="CCEEFF"/>
          </w:tcPr>
          <w:p>
            <w:pPr>
              <w:spacing w:after="0"/>
              <w:rPr>
                <w:sz w:val="19"/>
                <w:szCs w:val="19"/>
                <w:color w:val="auto"/>
              </w:rPr>
            </w:pPr>
          </w:p>
        </w:tc>
        <w:tc>
          <w:tcPr>
            <w:tcW w:w="3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080" w:type="dxa"/>
            <w:vAlign w:val="bottom"/>
          </w:tcPr>
          <w:p>
            <w:pPr>
              <w:spacing w:after="0"/>
              <w:rPr>
                <w:sz w:val="22"/>
                <w:szCs w:val="22"/>
                <w:color w:val="auto"/>
              </w:rPr>
            </w:pPr>
          </w:p>
        </w:tc>
        <w:tc>
          <w:tcPr>
            <w:tcW w:w="3740" w:type="dxa"/>
            <w:vAlign w:val="bottom"/>
            <w:gridSpan w:val="2"/>
          </w:tcPr>
          <w:p>
            <w:pPr>
              <w:ind w:left="40"/>
              <w:spacing w:after="0"/>
              <w:rPr>
                <w:sz w:val="20"/>
                <w:szCs w:val="20"/>
                <w:color w:val="auto"/>
              </w:rPr>
            </w:pPr>
            <w:r>
              <w:rPr>
                <w:rFonts w:ascii="Arial" w:cs="Arial" w:eastAsia="Arial" w:hAnsi="Arial"/>
                <w:sz w:val="14"/>
                <w:szCs w:val="14"/>
                <w:b w:val="1"/>
                <w:bCs w:val="1"/>
                <w:color w:val="auto"/>
              </w:rPr>
              <w:t>Return on tangible common equity reconciliation</w:t>
            </w: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080" w:type="dxa"/>
            <w:vAlign w:val="bottom"/>
            <w:shd w:val="clear" w:color="auto" w:fill="CCEEFF"/>
          </w:tcPr>
          <w:p>
            <w:pPr>
              <w:spacing w:after="0"/>
              <w:rPr>
                <w:sz w:val="24"/>
                <w:szCs w:val="24"/>
                <w:color w:val="auto"/>
              </w:rPr>
            </w:pPr>
          </w:p>
        </w:tc>
        <w:tc>
          <w:tcPr>
            <w:tcW w:w="3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Return on common equity (GAAP)</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11.85 %</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12.08 %</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11.96 %</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11.20 %</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11.11 %</w:t>
            </w: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80" w:type="dxa"/>
            <w:vAlign w:val="bottom"/>
            <w:tcBorders>
              <w:bottom w:val="single" w:sz="8" w:color="CCEEFF"/>
            </w:tcBorders>
          </w:tcPr>
          <w:p>
            <w:pPr>
              <w:spacing w:after="0"/>
              <w:rPr>
                <w:sz w:val="22"/>
                <w:szCs w:val="22"/>
                <w:color w:val="auto"/>
              </w:rPr>
            </w:pPr>
          </w:p>
        </w:tc>
        <w:tc>
          <w:tcPr>
            <w:tcW w:w="37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Merger-related and other charges</w:t>
            </w: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0.15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0.17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0.13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0.77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0.60</w:t>
            </w:r>
          </w:p>
        </w:tc>
        <w:tc>
          <w:tcPr>
            <w:tcW w:w="13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080" w:type="dxa"/>
            <w:vAlign w:val="bottom"/>
            <w:shd w:val="clear" w:color="auto" w:fill="CCEEFF"/>
          </w:tcPr>
          <w:p>
            <w:pPr>
              <w:spacing w:after="0"/>
              <w:rPr>
                <w:sz w:val="22"/>
                <w:szCs w:val="22"/>
                <w:color w:val="auto"/>
              </w:rPr>
            </w:pPr>
          </w:p>
        </w:tc>
        <w:tc>
          <w:tcPr>
            <w:tcW w:w="3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Return on common equity - operating</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12.00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12.25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12.09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11.97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11.71</w:t>
            </w: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80" w:type="dxa"/>
            <w:vAlign w:val="bottom"/>
            <w:tcBorders>
              <w:bottom w:val="single" w:sz="8" w:color="CCEEFF"/>
            </w:tcBorders>
          </w:tcPr>
          <w:p>
            <w:pPr>
              <w:spacing w:after="0"/>
              <w:rPr>
                <w:sz w:val="22"/>
                <w:szCs w:val="22"/>
                <w:color w:val="auto"/>
              </w:rPr>
            </w:pPr>
          </w:p>
        </w:tc>
        <w:tc>
          <w:tcPr>
            <w:tcW w:w="37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Effect of goodwill and other intangibles</w:t>
            </w: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3.46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3.63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3.72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3.82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3.55</w:t>
            </w:r>
          </w:p>
        </w:tc>
        <w:tc>
          <w:tcPr>
            <w:tcW w:w="13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08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Return on tangible common equity - operating</w:t>
            </w: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15.46 %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15.88 %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15.81 %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15.79 %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15.26 %</w:t>
            </w: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080" w:type="dxa"/>
            <w:vAlign w:val="bottom"/>
            <w:shd w:val="clear" w:color="auto" w:fill="CCEEFF"/>
          </w:tcPr>
          <w:p>
            <w:pPr>
              <w:spacing w:after="0"/>
              <w:rPr>
                <w:sz w:val="23"/>
                <w:szCs w:val="23"/>
                <w:color w:val="auto"/>
              </w:rPr>
            </w:pPr>
          </w:p>
        </w:tc>
        <w:tc>
          <w:tcPr>
            <w:tcW w:w="37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Return on assets reconciliation</w:t>
            </w: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080" w:type="dxa"/>
            <w:vAlign w:val="bottom"/>
          </w:tcPr>
          <w:p>
            <w:pPr>
              <w:spacing w:after="0"/>
              <w:rPr>
                <w:sz w:val="22"/>
                <w:szCs w:val="22"/>
                <w:color w:val="auto"/>
              </w:rPr>
            </w:pPr>
          </w:p>
        </w:tc>
        <w:tc>
          <w:tcPr>
            <w:tcW w:w="3740" w:type="dxa"/>
            <w:vAlign w:val="bottom"/>
            <w:gridSpan w:val="2"/>
          </w:tcPr>
          <w:p>
            <w:pPr>
              <w:ind w:left="40"/>
              <w:spacing w:after="0"/>
              <w:rPr>
                <w:sz w:val="20"/>
                <w:szCs w:val="20"/>
                <w:color w:val="auto"/>
              </w:rPr>
            </w:pPr>
            <w:r>
              <w:rPr>
                <w:rFonts w:ascii="Arial" w:cs="Arial" w:eastAsia="Arial" w:hAnsi="Arial"/>
                <w:sz w:val="14"/>
                <w:szCs w:val="14"/>
                <w:color w:val="auto"/>
              </w:rPr>
              <w:t>Return on assets (GAAP)</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1.44 %</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1.43 %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1.41 %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1.30 %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1.26 %</w:t>
            </w: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080" w:type="dxa"/>
            <w:vAlign w:val="bottom"/>
            <w:shd w:val="clear" w:color="auto" w:fill="CCEEFF"/>
          </w:tcPr>
          <w:p>
            <w:pPr>
              <w:spacing w:after="0"/>
              <w:rPr>
                <w:sz w:val="23"/>
                <w:szCs w:val="23"/>
                <w:color w:val="auto"/>
              </w:rPr>
            </w:pPr>
          </w:p>
        </w:tc>
        <w:tc>
          <w:tcPr>
            <w:tcW w:w="3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Merger-related and other charges</w:t>
            </w: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0.02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0.09</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0.07</w:t>
            </w: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1080" w:type="dxa"/>
            <w:vAlign w:val="bottom"/>
            <w:tcBorders>
              <w:bottom w:val="single" w:sz="8" w:color="CCEEFF"/>
            </w:tcBorders>
          </w:tcPr>
          <w:p>
            <w:pPr>
              <w:spacing w:after="0"/>
              <w:rPr>
                <w:sz w:val="24"/>
                <w:szCs w:val="24"/>
                <w:color w:val="auto"/>
              </w:rPr>
            </w:pPr>
          </w:p>
        </w:tc>
        <w:tc>
          <w:tcPr>
            <w:tcW w:w="374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Return on assets - operating</w:t>
            </w: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1.45 %</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1.45 %</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1.42 %</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1.39 %</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1.33 %</w:t>
            </w:r>
          </w:p>
        </w:tc>
        <w:tc>
          <w:tcPr>
            <w:tcW w:w="13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080" w:type="dxa"/>
            <w:vAlign w:val="bottom"/>
            <w:shd w:val="clear" w:color="auto" w:fill="CCEEFF"/>
          </w:tcPr>
          <w:p>
            <w:pPr>
              <w:spacing w:after="0"/>
              <w:rPr>
                <w:sz w:val="19"/>
                <w:szCs w:val="19"/>
                <w:color w:val="auto"/>
              </w:rPr>
            </w:pPr>
          </w:p>
        </w:tc>
        <w:tc>
          <w:tcPr>
            <w:tcW w:w="3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080" w:type="dxa"/>
            <w:vAlign w:val="bottom"/>
          </w:tcPr>
          <w:p>
            <w:pPr>
              <w:spacing w:after="0"/>
              <w:rPr>
                <w:sz w:val="22"/>
                <w:szCs w:val="22"/>
                <w:color w:val="auto"/>
              </w:rPr>
            </w:pPr>
          </w:p>
        </w:tc>
        <w:tc>
          <w:tcPr>
            <w:tcW w:w="3740" w:type="dxa"/>
            <w:vAlign w:val="bottom"/>
            <w:gridSpan w:val="2"/>
          </w:tcPr>
          <w:p>
            <w:pPr>
              <w:ind w:left="40"/>
              <w:spacing w:after="0"/>
              <w:rPr>
                <w:sz w:val="20"/>
                <w:szCs w:val="20"/>
                <w:color w:val="auto"/>
              </w:rPr>
            </w:pPr>
            <w:r>
              <w:rPr>
                <w:rFonts w:ascii="Arial" w:cs="Arial" w:eastAsia="Arial" w:hAnsi="Arial"/>
                <w:sz w:val="14"/>
                <w:szCs w:val="14"/>
                <w:b w:val="1"/>
                <w:bCs w:val="1"/>
                <w:color w:val="auto"/>
              </w:rPr>
              <w:t>Dividend payout ratio reconciliation</w:t>
            </w: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080" w:type="dxa"/>
            <w:vAlign w:val="bottom"/>
            <w:shd w:val="clear" w:color="auto" w:fill="CCEEFF"/>
          </w:tcPr>
          <w:p>
            <w:pPr>
              <w:spacing w:after="0"/>
              <w:rPr>
                <w:sz w:val="24"/>
                <w:szCs w:val="24"/>
                <w:color w:val="auto"/>
              </w:rPr>
            </w:pPr>
          </w:p>
        </w:tc>
        <w:tc>
          <w:tcPr>
            <w:tcW w:w="3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Dividend payout ratio (GAAP)</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29.09 %</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28.57 %</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27.78 %</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30.61 %</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25.53 %</w:t>
            </w: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80" w:type="dxa"/>
            <w:vAlign w:val="bottom"/>
            <w:tcBorders>
              <w:bottom w:val="single" w:sz="8" w:color="CCEEFF"/>
            </w:tcBorders>
          </w:tcPr>
          <w:p>
            <w:pPr>
              <w:spacing w:after="0"/>
              <w:rPr>
                <w:sz w:val="22"/>
                <w:szCs w:val="22"/>
                <w:color w:val="auto"/>
              </w:rPr>
            </w:pPr>
          </w:p>
        </w:tc>
        <w:tc>
          <w:tcPr>
            <w:tcW w:w="37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Merger-related and other charges</w:t>
            </w: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(0.52)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(0.50)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(0.51)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(1.53)</w:t>
            </w:r>
          </w:p>
        </w:tc>
        <w:tc>
          <w:tcPr>
            <w:tcW w:w="13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08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Dividend payout ratio - operating</w:t>
            </w: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28.57 %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28.07 %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27.27 %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28.30 %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24.00 %</w:t>
            </w: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080" w:type="dxa"/>
            <w:vAlign w:val="bottom"/>
            <w:shd w:val="clear" w:color="auto" w:fill="CCEEFF"/>
          </w:tcPr>
          <w:p>
            <w:pPr>
              <w:spacing w:after="0"/>
              <w:rPr>
                <w:sz w:val="23"/>
                <w:szCs w:val="23"/>
                <w:color w:val="auto"/>
              </w:rPr>
            </w:pPr>
          </w:p>
        </w:tc>
        <w:tc>
          <w:tcPr>
            <w:tcW w:w="37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Efficiency ratio reconciliation</w:t>
            </w: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080" w:type="dxa"/>
            <w:vAlign w:val="bottom"/>
          </w:tcPr>
          <w:p>
            <w:pPr>
              <w:spacing w:after="0"/>
              <w:rPr>
                <w:sz w:val="22"/>
                <w:szCs w:val="22"/>
                <w:color w:val="auto"/>
              </w:rPr>
            </w:pPr>
          </w:p>
        </w:tc>
        <w:tc>
          <w:tcPr>
            <w:tcW w:w="3740" w:type="dxa"/>
            <w:vAlign w:val="bottom"/>
            <w:gridSpan w:val="2"/>
          </w:tcPr>
          <w:p>
            <w:pPr>
              <w:ind w:left="40"/>
              <w:spacing w:after="0"/>
              <w:rPr>
                <w:sz w:val="20"/>
                <w:szCs w:val="20"/>
                <w:color w:val="auto"/>
              </w:rPr>
            </w:pPr>
            <w:r>
              <w:rPr>
                <w:rFonts w:ascii="Arial" w:cs="Arial" w:eastAsia="Arial" w:hAnsi="Arial"/>
                <w:sz w:val="14"/>
                <w:szCs w:val="14"/>
                <w:color w:val="auto"/>
              </w:rPr>
              <w:t>Efficiency ratio (GAAP)</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55.32 %</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56.73 %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56.82 %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57.94 %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57.83 %</w:t>
            </w: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080" w:type="dxa"/>
            <w:vAlign w:val="bottom"/>
            <w:shd w:val="clear" w:color="auto" w:fill="CCEEFF"/>
          </w:tcPr>
          <w:p>
            <w:pPr>
              <w:spacing w:after="0"/>
              <w:rPr>
                <w:sz w:val="23"/>
                <w:szCs w:val="23"/>
                <w:color w:val="auto"/>
              </w:rPr>
            </w:pPr>
          </w:p>
        </w:tc>
        <w:tc>
          <w:tcPr>
            <w:tcW w:w="3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Merger-related and other charges</w:t>
            </w: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(0.54)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(0.90)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(0.43)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(2.08)</w:t>
            </w: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1080" w:type="dxa"/>
            <w:vAlign w:val="bottom"/>
            <w:tcBorders>
              <w:bottom w:val="single" w:sz="8" w:color="CCEEFF"/>
            </w:tcBorders>
          </w:tcPr>
          <w:p>
            <w:pPr>
              <w:spacing w:after="0"/>
              <w:rPr>
                <w:sz w:val="24"/>
                <w:szCs w:val="24"/>
                <w:color w:val="auto"/>
              </w:rPr>
            </w:pPr>
          </w:p>
        </w:tc>
        <w:tc>
          <w:tcPr>
            <w:tcW w:w="374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Efficiency ratio - operating</w:t>
            </w: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54.78 %</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55.83 %</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56.39 %</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55.77 %</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55.75 %</w:t>
            </w:r>
          </w:p>
        </w:tc>
        <w:tc>
          <w:tcPr>
            <w:tcW w:w="13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080" w:type="dxa"/>
            <w:vAlign w:val="bottom"/>
            <w:shd w:val="clear" w:color="auto" w:fill="CCEEFF"/>
          </w:tcPr>
          <w:p>
            <w:pPr>
              <w:spacing w:after="0"/>
              <w:rPr>
                <w:sz w:val="19"/>
                <w:szCs w:val="19"/>
                <w:color w:val="auto"/>
              </w:rPr>
            </w:pPr>
          </w:p>
        </w:tc>
        <w:tc>
          <w:tcPr>
            <w:tcW w:w="3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080" w:type="dxa"/>
            <w:vAlign w:val="bottom"/>
          </w:tcPr>
          <w:p>
            <w:pPr>
              <w:spacing w:after="0"/>
              <w:rPr>
                <w:sz w:val="22"/>
                <w:szCs w:val="22"/>
                <w:color w:val="auto"/>
              </w:rPr>
            </w:pPr>
          </w:p>
        </w:tc>
        <w:tc>
          <w:tcPr>
            <w:tcW w:w="3740" w:type="dxa"/>
            <w:vAlign w:val="bottom"/>
            <w:gridSpan w:val="2"/>
          </w:tcPr>
          <w:p>
            <w:pPr>
              <w:ind w:left="40"/>
              <w:spacing w:after="0"/>
              <w:rPr>
                <w:sz w:val="20"/>
                <w:szCs w:val="20"/>
                <w:color w:val="auto"/>
              </w:rPr>
            </w:pPr>
            <w:r>
              <w:rPr>
                <w:rFonts w:ascii="Arial" w:cs="Arial" w:eastAsia="Arial" w:hAnsi="Arial"/>
                <w:sz w:val="14"/>
                <w:szCs w:val="14"/>
                <w:b w:val="1"/>
                <w:bCs w:val="1"/>
                <w:color w:val="auto"/>
              </w:rPr>
              <w:t>Average equity to assets reconciliation</w:t>
            </w: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080" w:type="dxa"/>
            <w:vAlign w:val="bottom"/>
            <w:shd w:val="clear" w:color="auto" w:fill="CCEEFF"/>
          </w:tcPr>
          <w:p>
            <w:pPr>
              <w:spacing w:after="0"/>
              <w:rPr>
                <w:sz w:val="24"/>
                <w:szCs w:val="24"/>
                <w:color w:val="auto"/>
              </w:rPr>
            </w:pPr>
          </w:p>
        </w:tc>
        <w:tc>
          <w:tcPr>
            <w:tcW w:w="3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Equity to average assets (GAAP)</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11.82 %</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11.35 %</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11.33 %</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11.21 %</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11.03 %</w:t>
            </w: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80" w:type="dxa"/>
            <w:vAlign w:val="bottom"/>
            <w:tcBorders>
              <w:bottom w:val="single" w:sz="8" w:color="CCEEFF"/>
            </w:tcBorders>
          </w:tcPr>
          <w:p>
            <w:pPr>
              <w:spacing w:after="0"/>
              <w:rPr>
                <w:sz w:val="22"/>
                <w:szCs w:val="22"/>
                <w:color w:val="auto"/>
              </w:rPr>
            </w:pPr>
          </w:p>
        </w:tc>
        <w:tc>
          <w:tcPr>
            <w:tcW w:w="37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Effect of goodwill and other intangibles</w:t>
            </w: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(2.21)</w:t>
            </w:r>
          </w:p>
        </w:tc>
        <w:tc>
          <w:tcPr>
            <w:tcW w:w="13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08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Average tangible common equity to average assets</w:t>
            </w: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9.53 %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9.04 %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8.97 %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8.83 %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8.82 %</w:t>
            </w: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1080" w:type="dxa"/>
            <w:vAlign w:val="bottom"/>
            <w:shd w:val="clear" w:color="auto" w:fill="CCEEFF"/>
          </w:tcPr>
          <w:p>
            <w:pPr>
              <w:spacing w:after="0"/>
              <w:rPr>
                <w:sz w:val="13"/>
                <w:szCs w:val="13"/>
                <w:color w:val="auto"/>
              </w:rPr>
            </w:pPr>
          </w:p>
        </w:tc>
        <w:tc>
          <w:tcPr>
            <w:tcW w:w="3740" w:type="dxa"/>
            <w:vAlign w:val="bottom"/>
            <w:gridSpan w:val="2"/>
            <w:shd w:val="clear" w:color="auto" w:fill="CCEEFF"/>
          </w:tcPr>
          <w:p>
            <w:pPr>
              <w:ind w:left="40"/>
              <w:spacing w:after="0" w:line="153" w:lineRule="exact"/>
              <w:rPr>
                <w:sz w:val="20"/>
                <w:szCs w:val="20"/>
                <w:color w:val="auto"/>
              </w:rPr>
            </w:pPr>
            <w:r>
              <w:rPr>
                <w:rFonts w:ascii="Arial" w:cs="Arial" w:eastAsia="Arial" w:hAnsi="Arial"/>
                <w:sz w:val="14"/>
                <w:szCs w:val="14"/>
                <w:b w:val="1"/>
                <w:bCs w:val="1"/>
                <w:color w:val="auto"/>
              </w:rPr>
              <w:t>Tangible common equity to risk-weighted assets</w:t>
            </w: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080" w:type="dxa"/>
            <w:vAlign w:val="bottom"/>
            <w:shd w:val="clear" w:color="auto" w:fill="CCEEFF"/>
          </w:tcPr>
          <w:p>
            <w:pPr>
              <w:spacing w:after="0"/>
              <w:rPr>
                <w:sz w:val="17"/>
                <w:szCs w:val="17"/>
                <w:color w:val="auto"/>
              </w:rPr>
            </w:pPr>
          </w:p>
        </w:tc>
        <w:tc>
          <w:tcPr>
            <w:tcW w:w="37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reconciliation</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080" w:type="dxa"/>
            <w:vAlign w:val="bottom"/>
          </w:tcPr>
          <w:p>
            <w:pPr>
              <w:spacing w:after="0"/>
              <w:rPr>
                <w:sz w:val="22"/>
                <w:szCs w:val="22"/>
                <w:color w:val="auto"/>
              </w:rPr>
            </w:pPr>
          </w:p>
        </w:tc>
        <w:tc>
          <w:tcPr>
            <w:tcW w:w="3740" w:type="dxa"/>
            <w:vAlign w:val="bottom"/>
            <w:gridSpan w:val="2"/>
          </w:tcPr>
          <w:p>
            <w:pPr>
              <w:ind w:left="40"/>
              <w:spacing w:after="0"/>
              <w:rPr>
                <w:sz w:val="20"/>
                <w:szCs w:val="20"/>
                <w:color w:val="auto"/>
              </w:rPr>
            </w:pPr>
            <w:r>
              <w:rPr>
                <w:rFonts w:ascii="Arial" w:cs="Arial" w:eastAsia="Arial" w:hAnsi="Arial"/>
                <w:sz w:val="14"/>
                <w:szCs w:val="14"/>
                <w:color w:val="auto"/>
              </w:rPr>
              <w:t>Tier 1 capital ratio (Regulatory)</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12.69 %</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12.42 %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12.25 %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11.94 %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11.61 %</w:t>
            </w: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080" w:type="dxa"/>
            <w:vAlign w:val="bottom"/>
            <w:shd w:val="clear" w:color="auto" w:fill="CCEEFF"/>
          </w:tcPr>
          <w:p>
            <w:pPr>
              <w:spacing w:after="0"/>
              <w:rPr>
                <w:sz w:val="24"/>
                <w:szCs w:val="24"/>
                <w:color w:val="auto"/>
              </w:rPr>
            </w:pPr>
          </w:p>
        </w:tc>
        <w:tc>
          <w:tcPr>
            <w:tcW w:w="3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Effect of other comprehensive income</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(0.17)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(0.44)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(0.68)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(0.57)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(0.50)</w:t>
            </w: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080" w:type="dxa"/>
            <w:vAlign w:val="bottom"/>
          </w:tcPr>
          <w:p>
            <w:pPr>
              <w:spacing w:after="0"/>
              <w:rPr>
                <w:sz w:val="16"/>
                <w:szCs w:val="16"/>
                <w:color w:val="auto"/>
              </w:rPr>
            </w:pPr>
          </w:p>
        </w:tc>
        <w:tc>
          <w:tcPr>
            <w:tcW w:w="3740" w:type="dxa"/>
            <w:vAlign w:val="bottom"/>
            <w:gridSpan w:val="2"/>
          </w:tcPr>
          <w:p>
            <w:pPr>
              <w:ind w:left="40"/>
              <w:spacing w:after="0"/>
              <w:rPr>
                <w:sz w:val="20"/>
                <w:szCs w:val="20"/>
                <w:color w:val="auto"/>
              </w:rPr>
            </w:pPr>
            <w:r>
              <w:rPr>
                <w:rFonts w:ascii="Arial" w:cs="Arial" w:eastAsia="Arial" w:hAnsi="Arial"/>
                <w:sz w:val="14"/>
                <w:szCs w:val="14"/>
                <w:color w:val="auto"/>
              </w:rPr>
              <w:t>Effect of deferred tax limitation</w:t>
            </w:r>
          </w:p>
        </w:tc>
        <w:tc>
          <w:tcPr>
            <w:tcW w:w="220" w:type="dxa"/>
            <w:vAlign w:val="bottom"/>
          </w:tcPr>
          <w:p>
            <w:pPr>
              <w:spacing w:after="0"/>
              <w:rPr>
                <w:sz w:val="16"/>
                <w:szCs w:val="16"/>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0.28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0.30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0.33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0.42</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72" w:orient="portrait"/>
          <w:cols w:equalWidth="0" w:num="1">
            <w:col w:w="11420"/>
          </w:cols>
          <w:pgMar w:left="240" w:top="806" w:right="239" w:bottom="0" w:gutter="0" w:footer="0" w:header="0"/>
        </w:sectPr>
      </w:pPr>
    </w:p>
    <w:bookmarkStart w:id="46" w:name="page47"/>
    <w:bookmarkEnd w:id="46"/>
    <w:p>
      <w:pPr>
        <w:spacing w:after="0"/>
        <w:tabs>
          <w:tab w:leader="none" w:pos="4140" w:val="left"/>
          <w:tab w:leader="none" w:pos="5220" w:val="left"/>
          <w:tab w:leader="none" w:pos="6300" w:val="left"/>
          <w:tab w:leader="none" w:pos="7380" w:val="left"/>
          <w:tab w:leader="none" w:pos="846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t>Effect of trust preferred</w:t>
      </w:r>
      <w:r>
        <w:rPr>
          <w:sz w:val="20"/>
          <w:szCs w:val="20"/>
          <w:color w:val="auto"/>
        </w:rPr>
        <w:tab/>
      </w:r>
      <w:r>
        <w:rPr>
          <w:rFonts w:ascii="Arial" w:cs="Arial" w:eastAsia="Arial" w:hAnsi="Arial"/>
          <w:sz w:val="14"/>
          <w:szCs w:val="14"/>
          <w:color w:val="auto"/>
        </w:rPr>
        <w:t>(0.26)</w:t>
      </w:r>
      <w:r>
        <w:rPr>
          <w:sz w:val="20"/>
          <w:szCs w:val="20"/>
          <w:color w:val="auto"/>
        </w:rPr>
        <w:tab/>
      </w:r>
      <w:r>
        <w:rPr>
          <w:rFonts w:ascii="Arial" w:cs="Arial" w:eastAsia="Arial" w:hAnsi="Arial"/>
          <w:sz w:val="14"/>
          <w:szCs w:val="14"/>
          <w:color w:val="auto"/>
        </w:rPr>
        <w:t>(0.26)</w:t>
      </w:r>
      <w:r>
        <w:rPr>
          <w:sz w:val="20"/>
          <w:szCs w:val="20"/>
          <w:color w:val="auto"/>
        </w:rPr>
        <w:tab/>
      </w:r>
      <w:r>
        <w:rPr>
          <w:rFonts w:ascii="Arial" w:cs="Arial" w:eastAsia="Arial" w:hAnsi="Arial"/>
          <w:sz w:val="14"/>
          <w:szCs w:val="14"/>
          <w:color w:val="auto"/>
        </w:rPr>
        <w:t>(0.26)</w:t>
      </w:r>
      <w:r>
        <w:rPr>
          <w:sz w:val="20"/>
          <w:szCs w:val="20"/>
          <w:color w:val="auto"/>
        </w:rPr>
        <w:tab/>
      </w:r>
      <w:r>
        <w:rPr>
          <w:rFonts w:ascii="Arial" w:cs="Arial" w:eastAsia="Arial" w:hAnsi="Arial"/>
          <w:sz w:val="14"/>
          <w:szCs w:val="14"/>
          <w:color w:val="auto"/>
        </w:rPr>
        <w:t>(0.34)</w:t>
      </w:r>
      <w:r>
        <w:rPr>
          <w:sz w:val="20"/>
          <w:szCs w:val="20"/>
          <w:color w:val="auto"/>
        </w:rPr>
        <w:tab/>
      </w:r>
      <w:r>
        <w:rPr>
          <w:rFonts w:ascii="Arial" w:cs="Arial" w:eastAsia="Arial" w:hAnsi="Arial"/>
          <w:sz w:val="13"/>
          <w:szCs w:val="13"/>
          <w:color w:val="auto"/>
        </w:rPr>
        <w:t>(0.34)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2346960</wp:posOffset>
            </wp:positionH>
            <wp:positionV relativeFrom="paragraph">
              <wp:posOffset>20955</wp:posOffset>
            </wp:positionV>
            <wp:extent cx="33534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ectPr>
          <w:pgSz w:w="11900" w:h="16838" w:orient="portrait"/>
          <w:cols w:equalWidth="0" w:num="1">
            <w:col w:w="9099"/>
          </w:cols>
          <w:pgMar w:left="1360" w:top="458" w:right="1440" w:bottom="1440" w:gutter="0" w:footer="0" w:header="0"/>
        </w:sectPr>
      </w:pPr>
    </w:p>
    <w:p>
      <w:pPr>
        <w:spacing w:after="0" w:line="96" w:lineRule="exact"/>
        <w:rPr>
          <w:sz w:val="20"/>
          <w:szCs w:val="20"/>
          <w:color w:val="auto"/>
        </w:rPr>
      </w:pPr>
    </w:p>
    <w:tbl>
      <w:tblPr>
        <w:tblLayout w:type="fixed"/>
        <w:tblInd w:w="140" w:type="dxa"/>
        <w:tblCellMar>
          <w:top w:w="0" w:type="dxa"/>
          <w:left w:w="0" w:type="dxa"/>
          <w:bottom w:w="0" w:type="dxa"/>
          <w:right w:w="0" w:type="dxa"/>
        </w:tblCellMar>
      </w:tblPr>
      <w:tr>
        <w:trPr>
          <w:trHeight w:val="194"/>
        </w:trPr>
        <w:tc>
          <w:tcPr>
            <w:tcW w:w="3560" w:type="dxa"/>
            <w:vAlign w:val="bottom"/>
          </w:tcPr>
          <w:p>
            <w:pPr>
              <w:spacing w:after="0"/>
              <w:rPr>
                <w:sz w:val="20"/>
                <w:szCs w:val="20"/>
                <w:color w:val="auto"/>
              </w:rPr>
            </w:pPr>
            <w:r>
              <w:rPr>
                <w:rFonts w:ascii="Arial" w:cs="Arial" w:eastAsia="Arial" w:hAnsi="Arial"/>
                <w:sz w:val="14"/>
                <w:szCs w:val="14"/>
                <w:color w:val="auto"/>
              </w:rPr>
              <w:t>Tangible common equity to risk-weighted assets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12.48 %</w:t>
            </w:r>
          </w:p>
        </w:tc>
        <w:tc>
          <w:tcPr>
            <w:tcW w:w="10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12.00 %</w:t>
            </w:r>
          </w:p>
        </w:tc>
        <w:tc>
          <w:tcPr>
            <w:tcW w:w="10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11.61 %</w:t>
            </w:r>
          </w:p>
        </w:tc>
        <w:tc>
          <w:tcPr>
            <w:tcW w:w="10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11.36 %</w:t>
            </w:r>
          </w:p>
        </w:tc>
        <w:tc>
          <w:tcPr>
            <w:tcW w:w="10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11.19 %</w:t>
            </w:r>
          </w:p>
        </w:tc>
      </w:tr>
      <w:tr>
        <w:trPr>
          <w:trHeight w:val="20"/>
        </w:trPr>
        <w:tc>
          <w:tcPr>
            <w:tcW w:w="35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9099"/>
          </w:cols>
          <w:pgMar w:left="1360" w:top="458" w:right="1440"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Net Interest Revenue</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interest revenue, which is the difference between the interest earned on assets and the interest paid on deposits and borrowed funds, is the single largest component of total revenue. Management seeks to optimize this revenue while balancing interest rate, credit and liquidity risks.</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banking industry uses two ratios to measure the relative profitability of net interest revenue. The net interest spread measures the difference between the average yield on interest-earning assets and the average rate paid on interest-bearing liabilities. The interest rate spread eliminates the effect of noninterest-bearing deposits and gives a direct perspective on the effect of market interest rate movements. The net interest margin is an indication of the profitability of a company’s balance sheet, and is defined as net interest revenue as a percent of average total interest-earning assets, which includes the positive effect of funding a portion of interest-earning assets with noninterest-bearing deposits and stockholders’ equity.</w:t>
      </w:r>
    </w:p>
    <w:p>
      <w:pPr>
        <w:spacing w:after="0" w:line="1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Net interest revenue for the first quarter of 2019 and 2018 was $116 million and $103 million, respectively. Taxable equivalent net interest revenue for the first quarter of 2019 was $116 million, representing an increase of $12.6 million from the same period in 2018. The net interest spread and net interest margin for the first quarter of 2019 of 3.73% and 4.10%, respectively, increased 15 basis points and 30 basis points, respectively, from the first quarter of 2018.</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tables show the relationship between interest revenue and expense, and the average amounts of assets and liabilities for the periods indicated. As shown in the tables, both average interest-earning assets and interest-bearing liabilities for the three months ended March 31, 2019 increased compared to the same period of 2018. The increase in average interest-earning assets was primarily related to the increase in average loans of $437 million, or 5%, from the first quarter of 2018, and reflected both organic growth and the full-quarter effect of equipment financing loans acquired from Navitas. The increase in average assets was funded primarily through an increase in average customer deposits compared to first quarter 2018 of $373 million, of which $99.0 million was noninterest-bearing.</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increase in the net interest margin and net interest spread was primarily attributable to the increase in yield on average loans, which increased 66 basis points from the first quarter of 2018. Nationally, the federal funds rate increased 75 basis points since March 31, 2018, and United’s loan yield reflected these rising interest rates, as well as higher yielding loans from Navitas. The increase in the average rate on interest-earning assets more than offset the increase in the average rate paid on interest-bearing liabilities of 45 basis points, which reflected a higher average rate on interest-bearing deposits as United increased deposit rates to retain and capture more deposit market share. Rates paid on core deposits lagged behind general increases in market rates. The increase in noninterest-bearing deposits also contributed to the improvement in the net interest margin for the three months ended March 31, 2019.</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0" w:right="239" w:bottom="1440" w:gutter="0" w:footer="0" w:header="0"/>
        </w:sectPr>
      </w:pPr>
    </w:p>
    <w:bookmarkStart w:id="48" w:name="page49"/>
    <w:bookmarkEnd w:id="48"/>
    <w:p>
      <w:pPr>
        <w:ind w:left="40"/>
        <w:spacing w:after="0"/>
        <w:rPr>
          <w:sz w:val="20"/>
          <w:szCs w:val="20"/>
          <w:color w:val="auto"/>
        </w:rPr>
      </w:pPr>
      <w:r>
        <w:rPr>
          <w:rFonts w:ascii="Arial" w:cs="Arial" w:eastAsia="Arial" w:hAnsi="Arial"/>
          <w:sz w:val="18"/>
          <w:szCs w:val="18"/>
          <w:b w:val="1"/>
          <w:bCs w:val="1"/>
          <w:color w:val="auto"/>
        </w:rPr>
        <w:t>Table 2 - Average Consolidated Balance Sheets and Net Interest Analysis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Average</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ind w:left="200"/>
              <w:spacing w:after="0"/>
              <w:rPr>
                <w:sz w:val="20"/>
                <w:szCs w:val="20"/>
                <w:color w:val="auto"/>
              </w:rPr>
            </w:pPr>
            <w:r>
              <w:rPr>
                <w:rFonts w:ascii="Arial" w:cs="Arial" w:eastAsia="Arial" w:hAnsi="Arial"/>
                <w:sz w:val="16"/>
                <w:szCs w:val="16"/>
                <w:b w:val="1"/>
                <w:bCs w:val="1"/>
                <w:color w:val="auto"/>
              </w:rPr>
              <w:t>Average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Average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ind w:left="200"/>
              <w:spacing w:after="0"/>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210"/>
        </w:trPr>
        <w:tc>
          <w:tcPr>
            <w:tcW w:w="4580" w:type="dxa"/>
            <w:vAlign w:val="bottom"/>
            <w:gridSpan w:val="2"/>
          </w:tcPr>
          <w:p>
            <w:pPr>
              <w:ind w:left="40"/>
              <w:spacing w:after="0"/>
              <w:rPr>
                <w:sz w:val="20"/>
                <w:szCs w:val="20"/>
                <w:color w:val="auto"/>
              </w:rPr>
            </w:pPr>
            <w:r>
              <w:rPr>
                <w:rFonts w:ascii="Arial" w:cs="Arial" w:eastAsia="Arial" w:hAnsi="Arial"/>
                <w:sz w:val="16"/>
                <w:szCs w:val="16"/>
                <w:b w:val="1"/>
                <w:bCs w:val="1"/>
                <w:i w:val="1"/>
                <w:iCs w:val="1"/>
                <w:color w:val="auto"/>
              </w:rPr>
              <w:t>(dollars in thousands, fully taxable equivalent (FTE))</w:t>
            </w:r>
          </w:p>
        </w:tc>
        <w:tc>
          <w:tcPr>
            <w:tcW w:w="2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Balance</w:t>
            </w:r>
          </w:p>
        </w:tc>
        <w:tc>
          <w:tcPr>
            <w:tcW w:w="16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6"/>
                <w:szCs w:val="16"/>
                <w:b w:val="1"/>
                <w:bCs w:val="1"/>
                <w:color w:val="auto"/>
              </w:rPr>
              <w:t>Interest</w:t>
            </w:r>
          </w:p>
        </w:tc>
        <w:tc>
          <w:tcPr>
            <w:tcW w:w="960" w:type="dxa"/>
            <w:vAlign w:val="bottom"/>
          </w:tcPr>
          <w:p>
            <w:pPr>
              <w:ind w:left="320"/>
              <w:spacing w:after="0"/>
              <w:rPr>
                <w:sz w:val="20"/>
                <w:szCs w:val="20"/>
                <w:color w:val="auto"/>
              </w:rPr>
            </w:pPr>
            <w:r>
              <w:rPr>
                <w:rFonts w:ascii="Arial" w:cs="Arial" w:eastAsia="Arial" w:hAnsi="Arial"/>
                <w:sz w:val="16"/>
                <w:szCs w:val="16"/>
                <w:b w:val="1"/>
                <w:bCs w:val="1"/>
                <w:color w:val="auto"/>
              </w:rPr>
              <w:t>Rate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Balance</w:t>
            </w:r>
          </w:p>
        </w:tc>
        <w:tc>
          <w:tcPr>
            <w:tcW w:w="20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Interest</w:t>
            </w:r>
          </w:p>
        </w:tc>
        <w:tc>
          <w:tcPr>
            <w:tcW w:w="960" w:type="dxa"/>
            <w:vAlign w:val="bottom"/>
          </w:tcPr>
          <w:p>
            <w:pPr>
              <w:ind w:left="320"/>
              <w:spacing w:after="0"/>
              <w:rPr>
                <w:sz w:val="20"/>
                <w:szCs w:val="20"/>
                <w:color w:val="auto"/>
              </w:rPr>
            </w:pPr>
            <w:r>
              <w:rPr>
                <w:rFonts w:ascii="Arial" w:cs="Arial" w:eastAsia="Arial" w:hAnsi="Arial"/>
                <w:sz w:val="16"/>
                <w:szCs w:val="16"/>
                <w:b w:val="1"/>
                <w:bCs w:val="1"/>
                <w:color w:val="auto"/>
              </w:rPr>
              <w:t>Rate</w:t>
            </w:r>
          </w:p>
        </w:tc>
        <w:tc>
          <w:tcPr>
            <w:tcW w:w="0" w:type="dxa"/>
            <w:vAlign w:val="bottom"/>
          </w:tcPr>
          <w:p>
            <w:pPr>
              <w:spacing w:after="0"/>
              <w:rPr>
                <w:sz w:val="1"/>
                <w:szCs w:val="1"/>
                <w:color w:val="auto"/>
              </w:rPr>
            </w:pPr>
          </w:p>
        </w:tc>
      </w:tr>
      <w:tr>
        <w:trPr>
          <w:trHeight w:val="33"/>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580" w:type="dxa"/>
            <w:vAlign w:val="bottom"/>
            <w:gridSpan w:val="2"/>
          </w:tcPr>
          <w:p>
            <w:pPr>
              <w:ind w:left="4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Interest-earning assets: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580" w:type="dxa"/>
            <w:vAlign w:val="bottom"/>
            <w:gridSpan w:val="2"/>
          </w:tcPr>
          <w:p>
            <w:pPr>
              <w:ind w:left="180"/>
              <w:spacing w:after="0"/>
              <w:rPr>
                <w:sz w:val="20"/>
                <w:szCs w:val="20"/>
                <w:color w:val="auto"/>
              </w:rPr>
            </w:pPr>
            <w:r>
              <w:rPr>
                <w:rFonts w:ascii="Arial" w:cs="Arial" w:eastAsia="Arial" w:hAnsi="Arial"/>
                <w:sz w:val="16"/>
                <w:szCs w:val="16"/>
                <w:color w:val="auto"/>
              </w:rPr>
              <w:t xml:space="preserve">Loans, net of unearned income (FTE) </w:t>
            </w:r>
            <w:r>
              <w:rPr>
                <w:rFonts w:ascii="Arial" w:cs="Arial" w:eastAsia="Arial" w:hAnsi="Arial"/>
                <w:sz w:val="21"/>
                <w:szCs w:val="21"/>
                <w:color w:val="auto"/>
                <w:vertAlign w:val="superscript"/>
              </w:rPr>
              <w:t>(1)(2)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8,429,976</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115,347</w:t>
            </w:r>
          </w:p>
        </w:tc>
        <w:tc>
          <w:tcPr>
            <w:tcW w:w="120" w:type="dxa"/>
            <w:vAlign w:val="bottom"/>
          </w:tcPr>
          <w:p>
            <w:pPr>
              <w:spacing w:after="0"/>
              <w:rPr>
                <w:sz w:val="23"/>
                <w:szCs w:val="23"/>
                <w:color w:val="auto"/>
              </w:rPr>
            </w:pPr>
          </w:p>
        </w:tc>
        <w:tc>
          <w:tcPr>
            <w:tcW w:w="960" w:type="dxa"/>
            <w:vAlign w:val="bottom"/>
          </w:tcPr>
          <w:p>
            <w:pPr>
              <w:ind w:left="500"/>
              <w:spacing w:after="0"/>
              <w:rPr>
                <w:sz w:val="20"/>
                <w:szCs w:val="20"/>
                <w:color w:val="auto"/>
              </w:rPr>
            </w:pPr>
            <w:r>
              <w:rPr>
                <w:rFonts w:ascii="Arial" w:cs="Arial" w:eastAsia="Arial" w:hAnsi="Arial"/>
                <w:sz w:val="16"/>
                <w:szCs w:val="16"/>
                <w:color w:val="auto"/>
                <w:w w:val="96"/>
              </w:rPr>
              <w:t>5.55%</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7,993,339</w:t>
            </w:r>
          </w:p>
        </w:tc>
        <w:tc>
          <w:tcPr>
            <w:tcW w:w="12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96,389</w:t>
            </w:r>
          </w:p>
        </w:tc>
        <w:tc>
          <w:tcPr>
            <w:tcW w:w="100" w:type="dxa"/>
            <w:vAlign w:val="bottom"/>
          </w:tcPr>
          <w:p>
            <w:pPr>
              <w:spacing w:after="0"/>
              <w:rPr>
                <w:sz w:val="23"/>
                <w:szCs w:val="23"/>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w w:val="92"/>
              </w:rPr>
              <w:t>4.89%</w:t>
            </w:r>
          </w:p>
        </w:tc>
        <w:tc>
          <w:tcPr>
            <w:tcW w:w="0" w:type="dxa"/>
            <w:vAlign w:val="bottom"/>
          </w:tcPr>
          <w:p>
            <w:pPr>
              <w:spacing w:after="0"/>
              <w:rPr>
                <w:sz w:val="1"/>
                <w:szCs w:val="1"/>
                <w:color w:val="auto"/>
              </w:rPr>
            </w:pPr>
          </w:p>
        </w:tc>
      </w:tr>
      <w:tr>
        <w:trPr>
          <w:trHeight w:val="270"/>
        </w:trPr>
        <w:tc>
          <w:tcPr>
            <w:tcW w:w="45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 xml:space="preserve">Taxable securities </w:t>
            </w:r>
            <w:r>
              <w:rPr>
                <w:rFonts w:ascii="Arial" w:cs="Arial" w:eastAsia="Arial" w:hAnsi="Arial"/>
                <w:sz w:val="21"/>
                <w:szCs w:val="21"/>
                <w:color w:val="auto"/>
                <w:vertAlign w:val="superscript"/>
              </w:rPr>
              <w:t>(3)</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2,712,995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19,649</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2.90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2,722,977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17,323</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70"/>
        </w:trPr>
        <w:tc>
          <w:tcPr>
            <w:tcW w:w="4580" w:type="dxa"/>
            <w:vAlign w:val="bottom"/>
            <w:gridSpan w:val="2"/>
          </w:tcPr>
          <w:p>
            <w:pPr>
              <w:ind w:left="180"/>
              <w:spacing w:after="0"/>
              <w:rPr>
                <w:sz w:val="20"/>
                <w:szCs w:val="20"/>
                <w:color w:val="auto"/>
              </w:rPr>
            </w:pPr>
            <w:r>
              <w:rPr>
                <w:rFonts w:ascii="Arial" w:cs="Arial" w:eastAsia="Arial" w:hAnsi="Arial"/>
                <w:sz w:val="16"/>
                <w:szCs w:val="16"/>
                <w:color w:val="auto"/>
              </w:rPr>
              <w:t xml:space="preserve">Tax-exempt securities (FTE) </w:t>
            </w:r>
            <w:r>
              <w:rPr>
                <w:rFonts w:ascii="Arial" w:cs="Arial" w:eastAsia="Arial" w:hAnsi="Arial"/>
                <w:sz w:val="21"/>
                <w:szCs w:val="21"/>
                <w:color w:val="auto"/>
                <w:vertAlign w:val="superscript"/>
              </w:rPr>
              <w:t>(1)(3)</w:t>
            </w:r>
          </w:p>
        </w:tc>
        <w:tc>
          <w:tcPr>
            <w:tcW w:w="2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169,702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1,570</w:t>
            </w:r>
          </w:p>
        </w:tc>
        <w:tc>
          <w:tcPr>
            <w:tcW w:w="120" w:type="dxa"/>
            <w:vAlign w:val="bottom"/>
          </w:tcPr>
          <w:p>
            <w:pPr>
              <w:spacing w:after="0"/>
              <w:rPr>
                <w:sz w:val="23"/>
                <w:szCs w:val="23"/>
                <w:color w:val="auto"/>
              </w:rPr>
            </w:pPr>
          </w:p>
        </w:tc>
        <w:tc>
          <w:tcPr>
            <w:tcW w:w="960" w:type="dxa"/>
            <w:vAlign w:val="bottom"/>
          </w:tcPr>
          <w:p>
            <w:pPr>
              <w:ind w:left="500"/>
              <w:spacing w:after="0"/>
              <w:rPr>
                <w:sz w:val="20"/>
                <w:szCs w:val="20"/>
                <w:color w:val="auto"/>
              </w:rPr>
            </w:pPr>
            <w:r>
              <w:rPr>
                <w:rFonts w:ascii="Arial" w:cs="Arial" w:eastAsia="Arial" w:hAnsi="Arial"/>
                <w:sz w:val="16"/>
                <w:szCs w:val="16"/>
                <w:color w:val="auto"/>
              </w:rPr>
              <w:t>3.70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146,531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1,309</w:t>
            </w:r>
          </w:p>
        </w:tc>
        <w:tc>
          <w:tcPr>
            <w:tcW w:w="100" w:type="dxa"/>
            <w:vAlign w:val="bottom"/>
          </w:tcPr>
          <w:p>
            <w:pPr>
              <w:spacing w:after="0"/>
              <w:rPr>
                <w:sz w:val="23"/>
                <w:szCs w:val="23"/>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3.57</w:t>
            </w:r>
          </w:p>
        </w:tc>
        <w:tc>
          <w:tcPr>
            <w:tcW w:w="0" w:type="dxa"/>
            <w:vAlign w:val="bottom"/>
          </w:tcPr>
          <w:p>
            <w:pPr>
              <w:spacing w:after="0"/>
              <w:rPr>
                <w:sz w:val="1"/>
                <w:szCs w:val="1"/>
                <w:color w:val="auto"/>
              </w:rPr>
            </w:pPr>
          </w:p>
        </w:tc>
      </w:tr>
      <w:tr>
        <w:trPr>
          <w:trHeight w:val="270"/>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Federal funds sold and other interest-earning assets</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185,623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618</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213,055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698</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17"/>
        </w:trPr>
        <w:tc>
          <w:tcPr>
            <w:tcW w:w="4580" w:type="dxa"/>
            <w:vAlign w:val="bottom"/>
            <w:gridSpan w:val="2"/>
          </w:tcPr>
          <w:p>
            <w:pPr>
              <w:ind w:left="280"/>
              <w:spacing w:after="0"/>
              <w:rPr>
                <w:sz w:val="20"/>
                <w:szCs w:val="20"/>
                <w:color w:val="auto"/>
              </w:rPr>
            </w:pPr>
            <w:r>
              <w:rPr>
                <w:rFonts w:ascii="Arial" w:cs="Arial" w:eastAsia="Arial" w:hAnsi="Arial"/>
                <w:sz w:val="16"/>
                <w:szCs w:val="16"/>
                <w:b w:val="1"/>
                <w:bCs w:val="1"/>
                <w:color w:val="auto"/>
              </w:rPr>
              <w:t>Total interest-earning assets (FTE)</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9"/>
              </w:rPr>
              <w:t>11,498,296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137,184</w:t>
            </w:r>
          </w:p>
        </w:tc>
        <w:tc>
          <w:tcPr>
            <w:tcW w:w="120" w:type="dxa"/>
            <w:vAlign w:val="bottom"/>
          </w:tcPr>
          <w:p>
            <w:pPr>
              <w:spacing w:after="0"/>
              <w:rPr>
                <w:sz w:val="18"/>
                <w:szCs w:val="18"/>
                <w:color w:val="auto"/>
              </w:rPr>
            </w:pPr>
          </w:p>
        </w:tc>
        <w:tc>
          <w:tcPr>
            <w:tcW w:w="960" w:type="dxa"/>
            <w:vAlign w:val="bottom"/>
          </w:tcPr>
          <w:p>
            <w:pPr>
              <w:ind w:left="500"/>
              <w:spacing w:after="0"/>
              <w:rPr>
                <w:sz w:val="20"/>
                <w:szCs w:val="20"/>
                <w:color w:val="auto"/>
              </w:rPr>
            </w:pPr>
            <w:r>
              <w:rPr>
                <w:rFonts w:ascii="Arial" w:cs="Arial" w:eastAsia="Arial" w:hAnsi="Arial"/>
                <w:sz w:val="16"/>
                <w:szCs w:val="16"/>
                <w:color w:val="auto"/>
              </w:rPr>
              <w:t>4.83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9"/>
              </w:rPr>
              <w:t>11,075,902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115,719</w:t>
            </w:r>
          </w:p>
        </w:tc>
        <w:tc>
          <w:tcPr>
            <w:tcW w:w="100" w:type="dxa"/>
            <w:vAlign w:val="bottom"/>
          </w:tcPr>
          <w:p>
            <w:pPr>
              <w:spacing w:after="0"/>
              <w:rPr>
                <w:sz w:val="18"/>
                <w:szCs w:val="18"/>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4.23</w:t>
            </w: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Noninterest-earning assets: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Allowance for loan losses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(61,784)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(59,144)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80" w:type="dxa"/>
            <w:vAlign w:val="bottom"/>
            <w:gridSpan w:val="2"/>
          </w:tcPr>
          <w:p>
            <w:pPr>
              <w:ind w:left="180"/>
              <w:spacing w:after="0"/>
              <w:rPr>
                <w:sz w:val="20"/>
                <w:szCs w:val="20"/>
                <w:color w:val="auto"/>
              </w:rPr>
            </w:pPr>
            <w:r>
              <w:rPr>
                <w:rFonts w:ascii="Arial" w:cs="Arial" w:eastAsia="Arial" w:hAnsi="Arial"/>
                <w:sz w:val="16"/>
                <w:szCs w:val="16"/>
                <w:color w:val="auto"/>
              </w:rPr>
              <w:t>Cash and due from banks</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123,801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160,486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Premises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216,611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216,723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58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 xml:space="preserve">Other assets </w:t>
            </w:r>
            <w:r>
              <w:rPr>
                <w:rFonts w:ascii="Arial" w:cs="Arial" w:eastAsia="Arial" w:hAnsi="Arial"/>
                <w:sz w:val="21"/>
                <w:szCs w:val="21"/>
                <w:color w:val="auto"/>
                <w:vertAlign w:val="superscript"/>
              </w:rPr>
              <w:t>(3)</w:t>
            </w: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731,628</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8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9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717,385</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9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9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4580" w:type="dxa"/>
            <w:vAlign w:val="bottom"/>
            <w:gridSpan w:val="2"/>
            <w:shd w:val="clear" w:color="auto" w:fill="CCEEFF"/>
          </w:tcPr>
          <w:p>
            <w:pPr>
              <w:ind w:left="280"/>
              <w:spacing w:after="0"/>
              <w:rPr>
                <w:sz w:val="20"/>
                <w:szCs w:val="20"/>
                <w:color w:val="auto"/>
              </w:rPr>
            </w:pPr>
            <w:r>
              <w:rPr>
                <w:rFonts w:ascii="Arial" w:cs="Arial" w:eastAsia="Arial" w:hAnsi="Arial"/>
                <w:sz w:val="16"/>
                <w:szCs w:val="16"/>
                <w:b w:val="1"/>
                <w:bCs w:val="1"/>
                <w:color w:val="auto"/>
              </w:rPr>
              <w:t>Total assets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9"/>
              </w:rPr>
              <w:t>12,508,552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9"/>
              </w:rPr>
              <w:t>12,111,352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Interest-bearing liabilities: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Interest-bearing deposits: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80" w:type="dxa"/>
            <w:vAlign w:val="bottom"/>
            <w:gridSpan w:val="2"/>
          </w:tcPr>
          <w:p>
            <w:pPr>
              <w:ind w:left="280"/>
              <w:spacing w:after="0"/>
              <w:rPr>
                <w:sz w:val="20"/>
                <w:szCs w:val="20"/>
                <w:color w:val="auto"/>
              </w:rPr>
            </w:pPr>
            <w:r>
              <w:rPr>
                <w:rFonts w:ascii="Arial" w:cs="Arial" w:eastAsia="Arial" w:hAnsi="Arial"/>
                <w:sz w:val="16"/>
                <w:szCs w:val="16"/>
                <w:color w:val="auto"/>
              </w:rPr>
              <w:t>NOW and interest-bearing demand</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2,208,816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3,536</w:t>
            </w:r>
          </w:p>
        </w:tc>
        <w:tc>
          <w:tcPr>
            <w:tcW w:w="120" w:type="dxa"/>
            <w:vAlign w:val="bottom"/>
          </w:tcPr>
          <w:p>
            <w:pPr>
              <w:spacing w:after="0"/>
              <w:rPr>
                <w:sz w:val="20"/>
                <w:szCs w:val="20"/>
                <w:color w:val="auto"/>
              </w:rPr>
            </w:pPr>
          </w:p>
        </w:tc>
        <w:tc>
          <w:tcPr>
            <w:tcW w:w="960" w:type="dxa"/>
            <w:vAlign w:val="bottom"/>
          </w:tcPr>
          <w:p>
            <w:pPr>
              <w:ind w:left="500"/>
              <w:spacing w:after="0"/>
              <w:rPr>
                <w:sz w:val="20"/>
                <w:szCs w:val="20"/>
                <w:color w:val="auto"/>
              </w:rPr>
            </w:pPr>
            <w:r>
              <w:rPr>
                <w:rFonts w:ascii="Arial" w:cs="Arial" w:eastAsia="Arial" w:hAnsi="Arial"/>
                <w:sz w:val="16"/>
                <w:szCs w:val="16"/>
                <w:color w:val="auto"/>
              </w:rPr>
              <w:t>0.65</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2,083,703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1,113</w:t>
            </w:r>
          </w:p>
        </w:tc>
        <w:tc>
          <w:tcPr>
            <w:tcW w:w="100" w:type="dxa"/>
            <w:vAlign w:val="bottom"/>
          </w:tcPr>
          <w:p>
            <w:pPr>
              <w:spacing w:after="0"/>
              <w:rPr>
                <w:sz w:val="20"/>
                <w:szCs w:val="20"/>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0.22</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Money market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2,175,855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4,205</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0.78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2,230,620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2,175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0.40</w:t>
            </w:r>
          </w:p>
        </w:tc>
        <w:tc>
          <w:tcPr>
            <w:tcW w:w="0" w:type="dxa"/>
            <w:vAlign w:val="bottom"/>
          </w:tcPr>
          <w:p>
            <w:pPr>
              <w:spacing w:after="0"/>
              <w:rPr>
                <w:sz w:val="1"/>
                <w:szCs w:val="1"/>
                <w:color w:val="auto"/>
              </w:rPr>
            </w:pPr>
          </w:p>
        </w:tc>
      </w:tr>
      <w:tr>
        <w:trPr>
          <w:trHeight w:val="237"/>
        </w:trPr>
        <w:tc>
          <w:tcPr>
            <w:tcW w:w="4580" w:type="dxa"/>
            <w:vAlign w:val="bottom"/>
            <w:gridSpan w:val="2"/>
          </w:tcPr>
          <w:p>
            <w:pPr>
              <w:ind w:left="280"/>
              <w:spacing w:after="0"/>
              <w:rPr>
                <w:sz w:val="20"/>
                <w:szCs w:val="20"/>
                <w:color w:val="auto"/>
              </w:rPr>
            </w:pPr>
            <w:r>
              <w:rPr>
                <w:rFonts w:ascii="Arial" w:cs="Arial" w:eastAsia="Arial" w:hAnsi="Arial"/>
                <w:sz w:val="16"/>
                <w:szCs w:val="16"/>
                <w:color w:val="auto"/>
              </w:rPr>
              <w:t>Savings</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672,197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960" w:type="dxa"/>
            <w:vAlign w:val="bottom"/>
          </w:tcPr>
          <w:p>
            <w:pPr>
              <w:ind w:left="500"/>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655,746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Time</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1,627,584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5,336</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1,535,216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2,241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0.59</w:t>
            </w:r>
          </w:p>
        </w:tc>
        <w:tc>
          <w:tcPr>
            <w:tcW w:w="0" w:type="dxa"/>
            <w:vAlign w:val="bottom"/>
          </w:tcPr>
          <w:p>
            <w:pPr>
              <w:spacing w:after="0"/>
              <w:rPr>
                <w:sz w:val="1"/>
                <w:szCs w:val="1"/>
                <w:color w:val="auto"/>
              </w:rPr>
            </w:pPr>
          </w:p>
        </w:tc>
      </w:tr>
      <w:tr>
        <w:trPr>
          <w:trHeight w:val="237"/>
        </w:trPr>
        <w:tc>
          <w:tcPr>
            <w:tcW w:w="4580" w:type="dxa"/>
            <w:vAlign w:val="bottom"/>
            <w:gridSpan w:val="2"/>
          </w:tcPr>
          <w:p>
            <w:pPr>
              <w:ind w:left="280"/>
              <w:spacing w:after="0"/>
              <w:rPr>
                <w:sz w:val="20"/>
                <w:szCs w:val="20"/>
                <w:color w:val="auto"/>
              </w:rPr>
            </w:pPr>
            <w:r>
              <w:rPr>
                <w:rFonts w:ascii="Arial" w:cs="Arial" w:eastAsia="Arial" w:hAnsi="Arial"/>
                <w:sz w:val="16"/>
                <w:szCs w:val="16"/>
                <w:color w:val="auto"/>
              </w:rPr>
              <w:t>Brokered time deposits</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482,048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2,848</w:t>
            </w:r>
          </w:p>
        </w:tc>
        <w:tc>
          <w:tcPr>
            <w:tcW w:w="120" w:type="dxa"/>
            <w:vAlign w:val="bottom"/>
          </w:tcPr>
          <w:p>
            <w:pPr>
              <w:spacing w:after="0"/>
              <w:rPr>
                <w:sz w:val="20"/>
                <w:szCs w:val="20"/>
                <w:color w:val="auto"/>
              </w:rPr>
            </w:pPr>
          </w:p>
        </w:tc>
        <w:tc>
          <w:tcPr>
            <w:tcW w:w="960" w:type="dxa"/>
            <w:vAlign w:val="bottom"/>
          </w:tcPr>
          <w:p>
            <w:pPr>
              <w:ind w:left="500"/>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158,358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715</w:t>
            </w:r>
          </w:p>
        </w:tc>
        <w:tc>
          <w:tcPr>
            <w:tcW w:w="100" w:type="dxa"/>
            <w:vAlign w:val="bottom"/>
          </w:tcPr>
          <w:p>
            <w:pPr>
              <w:spacing w:after="0"/>
              <w:rPr>
                <w:sz w:val="20"/>
                <w:szCs w:val="20"/>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 interest-bearing deposits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7,166,500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15,957</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0.90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6,663,643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6,293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0.38</w:t>
            </w:r>
          </w:p>
        </w:tc>
        <w:tc>
          <w:tcPr>
            <w:tcW w:w="0" w:type="dxa"/>
            <w:vAlign w:val="bottom"/>
          </w:tcPr>
          <w:p>
            <w:pPr>
              <w:spacing w:after="0"/>
              <w:rPr>
                <w:sz w:val="1"/>
                <w:szCs w:val="1"/>
                <w:color w:val="auto"/>
              </w:rPr>
            </w:pPr>
          </w:p>
        </w:tc>
      </w:tr>
      <w:tr>
        <w:trPr>
          <w:trHeight w:val="217"/>
        </w:trPr>
        <w:tc>
          <w:tcPr>
            <w:tcW w:w="4580" w:type="dxa"/>
            <w:vAlign w:val="bottom"/>
            <w:gridSpan w:val="2"/>
          </w:tcPr>
          <w:p>
            <w:pPr>
              <w:ind w:left="180"/>
              <w:spacing w:after="0"/>
              <w:rPr>
                <w:sz w:val="20"/>
                <w:szCs w:val="20"/>
                <w:color w:val="auto"/>
              </w:rPr>
            </w:pPr>
            <w:r>
              <w:rPr>
                <w:rFonts w:ascii="Arial" w:cs="Arial" w:eastAsia="Arial" w:hAnsi="Arial"/>
                <w:sz w:val="16"/>
                <w:szCs w:val="16"/>
                <w:color w:val="auto"/>
              </w:rPr>
              <w:t>Federal funds purchased and other borrowings</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21,549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18"/>
                <w:szCs w:val="18"/>
                <w:color w:val="auto"/>
              </w:rPr>
            </w:pPr>
          </w:p>
        </w:tc>
        <w:tc>
          <w:tcPr>
            <w:tcW w:w="960" w:type="dxa"/>
            <w:vAlign w:val="bottom"/>
          </w:tcPr>
          <w:p>
            <w:pPr>
              <w:ind w:left="500"/>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78,732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8"/>
                <w:szCs w:val="18"/>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Federal Home Loan Bank advances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223,945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1,422</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511,727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2,124</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37"/>
        </w:trPr>
        <w:tc>
          <w:tcPr>
            <w:tcW w:w="4580" w:type="dxa"/>
            <w:vAlign w:val="bottom"/>
            <w:gridSpan w:val="2"/>
          </w:tcPr>
          <w:p>
            <w:pPr>
              <w:ind w:left="180"/>
              <w:spacing w:after="0"/>
              <w:rPr>
                <w:sz w:val="20"/>
                <w:szCs w:val="20"/>
                <w:color w:val="auto"/>
              </w:rPr>
            </w:pPr>
            <w:r>
              <w:rPr>
                <w:rFonts w:ascii="Arial" w:cs="Arial" w:eastAsia="Arial" w:hAnsi="Arial"/>
                <w:sz w:val="16"/>
                <w:szCs w:val="16"/>
                <w:color w:val="auto"/>
              </w:rPr>
              <w:t>Long-term debt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261,971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3,342</w:t>
            </w:r>
          </w:p>
        </w:tc>
        <w:tc>
          <w:tcPr>
            <w:tcW w:w="120" w:type="dxa"/>
            <w:vAlign w:val="bottom"/>
          </w:tcPr>
          <w:p>
            <w:pPr>
              <w:spacing w:after="0"/>
              <w:rPr>
                <w:sz w:val="20"/>
                <w:szCs w:val="20"/>
                <w:color w:val="auto"/>
              </w:rPr>
            </w:pPr>
          </w:p>
        </w:tc>
        <w:tc>
          <w:tcPr>
            <w:tcW w:w="960" w:type="dxa"/>
            <w:vAlign w:val="bottom"/>
          </w:tcPr>
          <w:p>
            <w:pPr>
              <w:ind w:left="500"/>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274,480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3,288</w:t>
            </w:r>
          </w:p>
        </w:tc>
        <w:tc>
          <w:tcPr>
            <w:tcW w:w="100" w:type="dxa"/>
            <w:vAlign w:val="bottom"/>
          </w:tcPr>
          <w:p>
            <w:pPr>
              <w:spacing w:after="0"/>
              <w:rPr>
                <w:sz w:val="20"/>
                <w:szCs w:val="20"/>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4.86</w:t>
            </w: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 borrowed funds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507,465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4,925</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864,939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5,712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17"/>
        </w:trPr>
        <w:tc>
          <w:tcPr>
            <w:tcW w:w="4580" w:type="dxa"/>
            <w:vAlign w:val="bottom"/>
            <w:gridSpan w:val="2"/>
          </w:tcPr>
          <w:p>
            <w:pPr>
              <w:ind w:left="280"/>
              <w:spacing w:after="0"/>
              <w:rPr>
                <w:sz w:val="20"/>
                <w:szCs w:val="20"/>
                <w:color w:val="auto"/>
              </w:rPr>
            </w:pPr>
            <w:r>
              <w:rPr>
                <w:rFonts w:ascii="Arial" w:cs="Arial" w:eastAsia="Arial" w:hAnsi="Arial"/>
                <w:sz w:val="16"/>
                <w:szCs w:val="16"/>
                <w:b w:val="1"/>
                <w:bCs w:val="1"/>
                <w:color w:val="auto"/>
              </w:rPr>
              <w:t>Total interest-bearing liabilities</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7,673,965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20,882</w:t>
            </w:r>
          </w:p>
        </w:tc>
        <w:tc>
          <w:tcPr>
            <w:tcW w:w="120" w:type="dxa"/>
            <w:vAlign w:val="bottom"/>
          </w:tcPr>
          <w:p>
            <w:pPr>
              <w:spacing w:after="0"/>
              <w:rPr>
                <w:sz w:val="18"/>
                <w:szCs w:val="18"/>
                <w:color w:val="auto"/>
              </w:rPr>
            </w:pPr>
          </w:p>
        </w:tc>
        <w:tc>
          <w:tcPr>
            <w:tcW w:w="960" w:type="dxa"/>
            <w:vAlign w:val="bottom"/>
          </w:tcPr>
          <w:p>
            <w:pPr>
              <w:ind w:left="500"/>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7,528,582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12,005</w:t>
            </w:r>
          </w:p>
        </w:tc>
        <w:tc>
          <w:tcPr>
            <w:tcW w:w="100" w:type="dxa"/>
            <w:vAlign w:val="bottom"/>
          </w:tcPr>
          <w:p>
            <w:pPr>
              <w:spacing w:after="0"/>
              <w:rPr>
                <w:sz w:val="18"/>
                <w:szCs w:val="18"/>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0.65</w:t>
            </w: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Noninterest-bearing liabilities: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Noninterest-bearing deposits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3,194,401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3,095,405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80" w:type="dxa"/>
            <w:vAlign w:val="bottom"/>
            <w:gridSpan w:val="2"/>
          </w:tcPr>
          <w:p>
            <w:pPr>
              <w:ind w:left="180"/>
              <w:spacing w:after="0"/>
              <w:rPr>
                <w:sz w:val="20"/>
                <w:szCs w:val="20"/>
                <w:color w:val="auto"/>
              </w:rPr>
            </w:pPr>
            <w:r>
              <w:rPr>
                <w:rFonts w:ascii="Arial" w:cs="Arial" w:eastAsia="Arial" w:hAnsi="Arial"/>
                <w:sz w:val="16"/>
                <w:szCs w:val="16"/>
                <w:color w:val="auto"/>
              </w:rPr>
              <w:t>Other liabilities</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162,213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150,955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11,030,579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10,774,942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Shareholders' equity</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1,477,973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1,336,410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Total liabilities and shareholders' equity</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9"/>
              </w:rPr>
              <w:t>12,508,552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9"/>
              </w:rPr>
              <w:t>12,111,352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Net interest revenue (FTE)</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116,302</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103,714</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ind w:left="40"/>
              <w:spacing w:after="0"/>
              <w:rPr>
                <w:sz w:val="20"/>
                <w:szCs w:val="20"/>
                <w:color w:val="auto"/>
              </w:rPr>
            </w:pPr>
            <w:r>
              <w:rPr>
                <w:rFonts w:ascii="Arial" w:cs="Arial" w:eastAsia="Arial" w:hAnsi="Arial"/>
                <w:sz w:val="16"/>
                <w:szCs w:val="16"/>
                <w:color w:val="auto"/>
              </w:rPr>
              <w:t>Net interest-rate spread (FTE)</w:t>
            </w: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vMerge w:val="restart"/>
          </w:tcPr>
          <w:p>
            <w:pPr>
              <w:ind w:left="500"/>
              <w:spacing w:after="0"/>
              <w:rPr>
                <w:sz w:val="20"/>
                <w:szCs w:val="20"/>
                <w:color w:val="auto"/>
              </w:rPr>
            </w:pPr>
            <w:r>
              <w:rPr>
                <w:rFonts w:ascii="Arial" w:cs="Arial" w:eastAsia="Arial" w:hAnsi="Arial"/>
                <w:sz w:val="16"/>
                <w:szCs w:val="16"/>
                <w:color w:val="auto"/>
                <w:w w:val="96"/>
              </w:rPr>
              <w:t>3.73%</w:t>
            </w: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vMerge w:val="restart"/>
          </w:tcPr>
          <w:p>
            <w:pPr>
              <w:ind w:left="520"/>
              <w:spacing w:after="0"/>
              <w:rPr>
                <w:sz w:val="20"/>
                <w:szCs w:val="20"/>
                <w:color w:val="auto"/>
              </w:rPr>
            </w:pPr>
            <w:r>
              <w:rPr>
                <w:rFonts w:ascii="Arial" w:cs="Arial" w:eastAsia="Arial" w:hAnsi="Arial"/>
                <w:sz w:val="16"/>
                <w:szCs w:val="16"/>
                <w:color w:val="auto"/>
                <w:w w:val="92"/>
              </w:rPr>
              <w:t>3.58%</w:t>
            </w:r>
          </w:p>
        </w:tc>
        <w:tc>
          <w:tcPr>
            <w:tcW w:w="0" w:type="dxa"/>
            <w:vAlign w:val="bottom"/>
          </w:tcPr>
          <w:p>
            <w:pPr>
              <w:spacing w:after="0" w:line="20" w:lineRule="exact"/>
              <w:rPr>
                <w:sz w:val="1"/>
                <w:szCs w:val="1"/>
                <w:color w:val="auto"/>
              </w:rPr>
            </w:pPr>
          </w:p>
        </w:tc>
      </w:tr>
      <w:tr>
        <w:trPr>
          <w:trHeight w:val="277"/>
        </w:trPr>
        <w:tc>
          <w:tcPr>
            <w:tcW w:w="4580" w:type="dxa"/>
            <w:vAlign w:val="bottom"/>
            <w:tcBorders>
              <w:bottom w:val="single" w:sz="8" w:color="CCEEFF"/>
            </w:tcBorders>
            <w:gridSpan w:val="2"/>
            <w:vMerge w:val="continue"/>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Net interest margin (FTE) </w:t>
            </w:r>
            <w:r>
              <w:rPr>
                <w:rFonts w:ascii="Arial" w:cs="Arial" w:eastAsia="Arial" w:hAnsi="Arial"/>
                <w:sz w:val="21"/>
                <w:szCs w:val="21"/>
                <w:color w:val="auto"/>
                <w:vertAlign w:val="superscript"/>
              </w:rPr>
              <w:t>(4)</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w w:val="96"/>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w w:val="92"/>
              </w:rPr>
              <w:t>3.80%</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340" w:right="240" w:hanging="332"/>
        <w:spacing w:after="0" w:line="250" w:lineRule="auto"/>
        <w:tabs>
          <w:tab w:leader="none" w:pos="340" w:val="left"/>
        </w:tabs>
        <w:numPr>
          <w:ilvl w:val="0"/>
          <w:numId w:val="3"/>
        </w:numPr>
        <w:rPr>
          <w:rFonts w:ascii="Arial" w:cs="Arial" w:eastAsia="Arial" w:hAnsi="Arial"/>
          <w:sz w:val="9"/>
          <w:szCs w:val="9"/>
          <w:color w:val="auto"/>
        </w:rPr>
      </w:pPr>
      <w:r>
        <w:rPr>
          <w:rFonts w:ascii="Arial" w:cs="Arial" w:eastAsia="Arial" w:hAnsi="Arial"/>
          <w:sz w:val="14"/>
          <w:szCs w:val="14"/>
          <w:color w:val="auto"/>
        </w:rPr>
        <w:t>Interest revenue on tax-exempt securities and loans has been increased to reflect comparable interest on taxable securities and loans. The rate used was 26% in 2019 and 2018, reflecting the statutory federal income tax rate and the federal tax adjusted state income tax rate.</w:t>
      </w:r>
    </w:p>
    <w:p>
      <w:pPr>
        <w:ind w:left="340" w:hanging="332"/>
        <w:spacing w:after="0"/>
        <w:tabs>
          <w:tab w:leader="none" w:pos="340" w:val="left"/>
        </w:tabs>
        <w:numPr>
          <w:ilvl w:val="0"/>
          <w:numId w:val="3"/>
        </w:numPr>
        <w:rPr>
          <w:rFonts w:ascii="Arial" w:cs="Arial" w:eastAsia="Arial" w:hAnsi="Arial"/>
          <w:sz w:val="9"/>
          <w:szCs w:val="9"/>
          <w:color w:val="auto"/>
        </w:rPr>
      </w:pPr>
      <w:r>
        <w:rPr>
          <w:rFonts w:ascii="Arial" w:cs="Arial" w:eastAsia="Arial" w:hAnsi="Arial"/>
          <w:sz w:val="14"/>
          <w:szCs w:val="14"/>
          <w:color w:val="auto"/>
        </w:rPr>
        <w:t>Included in the average balance of loans outstanding are loans where the accrual of interest has been discontinued and loans that are held for sale.</w:t>
      </w:r>
    </w:p>
    <w:p>
      <w:pPr>
        <w:spacing w:after="0" w:line="1" w:lineRule="exact"/>
        <w:rPr>
          <w:rFonts w:ascii="Arial" w:cs="Arial" w:eastAsia="Arial" w:hAnsi="Arial"/>
          <w:sz w:val="9"/>
          <w:szCs w:val="9"/>
          <w:color w:val="auto"/>
        </w:rPr>
      </w:pPr>
    </w:p>
    <w:p>
      <w:pPr>
        <w:ind w:left="340" w:right="700" w:hanging="332"/>
        <w:spacing w:after="0" w:line="241" w:lineRule="auto"/>
        <w:tabs>
          <w:tab w:leader="none" w:pos="340" w:val="left"/>
        </w:tabs>
        <w:numPr>
          <w:ilvl w:val="0"/>
          <w:numId w:val="3"/>
        </w:numPr>
        <w:rPr>
          <w:rFonts w:ascii="Arial" w:cs="Arial" w:eastAsia="Arial" w:hAnsi="Arial"/>
          <w:sz w:val="9"/>
          <w:szCs w:val="9"/>
          <w:color w:val="auto"/>
        </w:rPr>
      </w:pPr>
      <w:r>
        <w:rPr>
          <w:rFonts w:ascii="Arial" w:cs="Arial" w:eastAsia="Arial" w:hAnsi="Arial"/>
          <w:sz w:val="14"/>
          <w:szCs w:val="14"/>
          <w:color w:val="auto"/>
        </w:rPr>
        <w:t>Securities available for sale are shown at amortized cost. Pretax unrealized losses of $25.9 million in 2019 and $28.3 million in 2018 are included in other assets for purposes of this presentation.</w:t>
      </w:r>
    </w:p>
    <w:p>
      <w:pPr>
        <w:ind w:left="340" w:hanging="332"/>
        <w:spacing w:after="0"/>
        <w:tabs>
          <w:tab w:leader="none" w:pos="340" w:val="left"/>
        </w:tabs>
        <w:numPr>
          <w:ilvl w:val="0"/>
          <w:numId w:val="3"/>
        </w:numPr>
        <w:rPr>
          <w:rFonts w:ascii="Arial" w:cs="Arial" w:eastAsia="Arial" w:hAnsi="Arial"/>
          <w:sz w:val="9"/>
          <w:szCs w:val="9"/>
          <w:color w:val="auto"/>
        </w:rPr>
      </w:pPr>
      <w:r>
        <w:rPr>
          <w:rFonts w:ascii="Arial" w:cs="Arial" w:eastAsia="Arial" w:hAnsi="Arial"/>
          <w:sz w:val="14"/>
          <w:szCs w:val="14"/>
          <w:color w:val="auto"/>
        </w:rPr>
        <w:t>Net interest margin is taxable equivalent net interest revenue divided by average interest-earning assets.</w:t>
      </w:r>
    </w:p>
    <w:p>
      <w:pPr>
        <w:sectPr>
          <w:pgSz w:w="11900" w:h="16838" w:orient="portrait"/>
          <w:cols w:equalWidth="0" w:num="1">
            <w:col w:w="11420"/>
          </w:cols>
          <w:pgMar w:left="240" w:top="742" w:right="23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742" w:right="239" w:bottom="1440" w:gutter="0" w:footer="0" w:header="0"/>
          <w:type w:val="continuous"/>
        </w:sectPr>
      </w:pPr>
    </w:p>
    <w:bookmarkStart w:id="49" w:name="page50"/>
    <w:bookmarkEnd w:id="49"/>
    <w:p>
      <w:pPr>
        <w:jc w:val="both"/>
        <w:spacing w:after="0" w:line="264" w:lineRule="auto"/>
        <w:rPr>
          <w:sz w:val="20"/>
          <w:szCs w:val="20"/>
          <w:color w:val="auto"/>
        </w:rPr>
      </w:pPr>
      <w:r>
        <w:rPr>
          <w:rFonts w:ascii="Arial" w:cs="Arial" w:eastAsia="Arial" w:hAnsi="Arial"/>
          <w:sz w:val="18"/>
          <w:szCs w:val="18"/>
          <w:color w:val="auto"/>
        </w:rPr>
        <w:t>The following table shows the relative effect on net interest revenue for changes in the average outstanding amounts (volume) of interest-earning assets and interest-bearing liabilities and the rates earned and paid on such assets and liabilities (rate). Variances resulting from a combination of changes in rate and volume are allocated in proportion to the absolute dollar amounts of the change in each category.</w:t>
      </w:r>
    </w:p>
    <w:p>
      <w:pPr>
        <w:spacing w:after="0" w:line="339" w:lineRule="exact"/>
        <w:rPr>
          <w:sz w:val="20"/>
          <w:szCs w:val="20"/>
          <w:color w:val="auto"/>
        </w:rPr>
      </w:pPr>
    </w:p>
    <w:p>
      <w:pPr>
        <w:ind w:left="40" w:right="5180"/>
        <w:spacing w:after="0" w:line="344" w:lineRule="auto"/>
        <w:rPr>
          <w:sz w:val="20"/>
          <w:szCs w:val="20"/>
          <w:color w:val="auto"/>
        </w:rPr>
      </w:pPr>
      <w:r>
        <w:rPr>
          <w:rFonts w:ascii="Arial" w:cs="Arial" w:eastAsia="Arial" w:hAnsi="Arial"/>
          <w:sz w:val="18"/>
          <w:szCs w:val="18"/>
          <w:b w:val="1"/>
          <w:bCs w:val="1"/>
          <w:color w:val="auto"/>
        </w:rPr>
        <w:t xml:space="preserve">Table 3 - Change in Interest Revenue and Expense on a Taxable Equivalent Basis </w:t>
      </w: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80" w:type="dxa"/>
            <w:vAlign w:val="bottom"/>
            <w:gridSpan w:val="6"/>
          </w:tcPr>
          <w:p>
            <w:pPr>
              <w:jc w:val="center"/>
              <w:ind w:right="119"/>
              <w:spacing w:after="0"/>
              <w:rPr>
                <w:sz w:val="20"/>
                <w:szCs w:val="20"/>
                <w:color w:val="auto"/>
              </w:rPr>
            </w:pPr>
            <w:r>
              <w:rPr>
                <w:rFonts w:ascii="Arial" w:cs="Arial" w:eastAsia="Arial" w:hAnsi="Arial"/>
                <w:sz w:val="16"/>
                <w:szCs w:val="16"/>
                <w:b w:val="1"/>
                <w:bCs w:val="1"/>
                <w:color w:val="auto"/>
                <w:w w:val="93"/>
              </w:rPr>
              <w:t>Three Months Ended</w:t>
            </w:r>
          </w:p>
        </w:tc>
        <w:tc>
          <w:tcPr>
            <w:tcW w:w="8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4"/>
              </w:rPr>
              <w:t>March 31, 2019</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4"/>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Compared to 2018</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00" w:type="dxa"/>
            <w:vAlign w:val="bottom"/>
            <w:gridSpan w:val="9"/>
          </w:tcPr>
          <w:p>
            <w:pPr>
              <w:jc w:val="center"/>
              <w:ind w:right="1660"/>
              <w:spacing w:after="0"/>
              <w:rPr>
                <w:sz w:val="20"/>
                <w:szCs w:val="20"/>
                <w:color w:val="auto"/>
              </w:rPr>
            </w:pPr>
            <w:r>
              <w:rPr>
                <w:rFonts w:ascii="Arial" w:cs="Arial" w:eastAsia="Arial" w:hAnsi="Arial"/>
                <w:sz w:val="16"/>
                <w:szCs w:val="16"/>
                <w:b w:val="1"/>
                <w:bCs w:val="1"/>
                <w:color w:val="auto"/>
                <w:w w:val="89"/>
              </w:rPr>
              <w:t>Increase (Decrease) Due to Changes in</w:t>
            </w:r>
          </w:p>
        </w:tc>
        <w:tc>
          <w:tcPr>
            <w:tcW w:w="0" w:type="dxa"/>
            <w:vAlign w:val="bottom"/>
          </w:tcPr>
          <w:p>
            <w:pPr>
              <w:spacing w:after="0"/>
              <w:rPr>
                <w:sz w:val="1"/>
                <w:szCs w:val="1"/>
                <w:color w:val="auto"/>
              </w:rPr>
            </w:pPr>
          </w:p>
        </w:tc>
      </w:tr>
      <w:tr>
        <w:trPr>
          <w:trHeight w:val="33"/>
        </w:trPr>
        <w:tc>
          <w:tcPr>
            <w:tcW w:w="6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179"/>
              <w:spacing w:after="0"/>
              <w:rPr>
                <w:sz w:val="20"/>
                <w:szCs w:val="20"/>
                <w:color w:val="auto"/>
              </w:rPr>
            </w:pPr>
            <w:r>
              <w:rPr>
                <w:rFonts w:ascii="Arial" w:cs="Arial" w:eastAsia="Arial" w:hAnsi="Arial"/>
                <w:sz w:val="16"/>
                <w:szCs w:val="16"/>
                <w:b w:val="1"/>
                <w:bCs w:val="1"/>
                <w:color w:val="auto"/>
              </w:rPr>
              <w:t>Volume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7"/>
              </w:rPr>
              <w:t>Rate</w:t>
            </w:r>
          </w:p>
        </w:tc>
        <w:tc>
          <w:tcPr>
            <w:tcW w:w="260" w:type="dxa"/>
            <w:vAlign w:val="bottom"/>
          </w:tcPr>
          <w:p>
            <w:pPr>
              <w:spacing w:after="0"/>
              <w:rPr>
                <w:sz w:val="20"/>
                <w:szCs w:val="20"/>
                <w:color w:val="auto"/>
              </w:rPr>
            </w:pPr>
          </w:p>
        </w:tc>
        <w:tc>
          <w:tcPr>
            <w:tcW w:w="234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6300" w:type="dxa"/>
            <w:vAlign w:val="bottom"/>
            <w:vMerge w:val="restart"/>
          </w:tcPr>
          <w:p>
            <w:pPr>
              <w:ind w:left="1520"/>
              <w:spacing w:after="0"/>
              <w:rPr>
                <w:sz w:val="20"/>
                <w:szCs w:val="20"/>
                <w:color w:val="auto"/>
              </w:rPr>
            </w:pPr>
            <w:r>
              <w:rPr>
                <w:rFonts w:ascii="Arial" w:cs="Arial" w:eastAsia="Arial" w:hAnsi="Arial"/>
                <w:sz w:val="16"/>
                <w:szCs w:val="16"/>
                <w:b w:val="1"/>
                <w:bCs w:val="1"/>
                <w:color w:val="auto"/>
              </w:rPr>
              <w:t>Interest-earning assets:</w:t>
            </w: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3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6"/>
                <w:szCs w:val="16"/>
                <w:color w:val="auto"/>
              </w:rPr>
              <w:t>Loans (FTE)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5,470</w:t>
            </w:r>
          </w:p>
        </w:tc>
        <w:tc>
          <w:tcPr>
            <w:tcW w:w="44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18,958</w:t>
            </w: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00" w:type="dxa"/>
            <w:vAlign w:val="bottom"/>
          </w:tcPr>
          <w:p>
            <w:pPr>
              <w:ind w:left="1520"/>
              <w:spacing w:after="0"/>
              <w:rPr>
                <w:sz w:val="20"/>
                <w:szCs w:val="20"/>
                <w:color w:val="auto"/>
              </w:rPr>
            </w:pPr>
            <w:r>
              <w:rPr>
                <w:rFonts w:ascii="Arial" w:cs="Arial" w:eastAsia="Arial" w:hAnsi="Arial"/>
                <w:sz w:val="16"/>
                <w:szCs w:val="16"/>
                <w:color w:val="auto"/>
              </w:rPr>
              <w:t>Taxable securities</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2,390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2,326</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6"/>
                <w:szCs w:val="16"/>
                <w:color w:val="auto"/>
              </w:rPr>
              <w:t>Tax-exempt securities (FTE)</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w:t>
            </w: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00" w:type="dxa"/>
            <w:vAlign w:val="bottom"/>
          </w:tcPr>
          <w:p>
            <w:pPr>
              <w:ind w:left="1520"/>
              <w:spacing w:after="0"/>
              <w:rPr>
                <w:sz w:val="20"/>
                <w:szCs w:val="20"/>
                <w:color w:val="auto"/>
              </w:rPr>
            </w:pPr>
            <w:r>
              <w:rPr>
                <w:rFonts w:ascii="Arial" w:cs="Arial" w:eastAsia="Arial" w:hAnsi="Arial"/>
                <w:sz w:val="16"/>
                <w:szCs w:val="16"/>
                <w:color w:val="auto"/>
              </w:rPr>
              <w:t>Federal funds sold and other interest-earning assets</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(80)</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6"/>
                <w:szCs w:val="16"/>
                <w:b w:val="1"/>
                <w:bCs w:val="1"/>
                <w:color w:val="auto"/>
              </w:rPr>
              <w:t>Total interest-earning assets (FTE)</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5,528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21,465</w:t>
            </w: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3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6"/>
                <w:szCs w:val="16"/>
                <w:b w:val="1"/>
                <w:bCs w:val="1"/>
                <w:color w:val="auto"/>
              </w:rPr>
              <w:t>Interest-bearing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00" w:type="dxa"/>
            <w:vAlign w:val="bottom"/>
          </w:tcPr>
          <w:p>
            <w:pPr>
              <w:ind w:left="1520"/>
              <w:spacing w:after="0"/>
              <w:rPr>
                <w:sz w:val="20"/>
                <w:szCs w:val="20"/>
                <w:color w:val="auto"/>
              </w:rPr>
            </w:pPr>
            <w:r>
              <w:rPr>
                <w:rFonts w:ascii="Arial" w:cs="Arial" w:eastAsia="Arial" w:hAnsi="Arial"/>
                <w:sz w:val="16"/>
                <w:szCs w:val="16"/>
                <w:color w:val="auto"/>
              </w:rPr>
              <w:t>NOW and interest-bearing demand accounts</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2,352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2,423</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6"/>
                <w:szCs w:val="16"/>
                <w:color w:val="auto"/>
              </w:rPr>
              <w:t>Money market accounts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2,030</w:t>
            </w: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00" w:type="dxa"/>
            <w:vAlign w:val="bottom"/>
          </w:tcPr>
          <w:p>
            <w:pPr>
              <w:ind w:left="1520"/>
              <w:spacing w:after="0"/>
              <w:rPr>
                <w:sz w:val="20"/>
                <w:szCs w:val="20"/>
                <w:color w:val="auto"/>
              </w:rPr>
            </w:pPr>
            <w:r>
              <w:rPr>
                <w:rFonts w:ascii="Arial" w:cs="Arial" w:eastAsia="Arial" w:hAnsi="Arial"/>
                <w:sz w:val="16"/>
                <w:szCs w:val="16"/>
                <w:color w:val="auto"/>
              </w:rPr>
              <w:t>Savings deposits</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6"/>
                <w:szCs w:val="16"/>
                <w:color w:val="auto"/>
              </w:rPr>
              <w:t>Time deposits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3,095</w:t>
            </w: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00" w:type="dxa"/>
            <w:vAlign w:val="bottom"/>
          </w:tcPr>
          <w:p>
            <w:pPr>
              <w:ind w:left="1520"/>
              <w:spacing w:after="0"/>
              <w:rPr>
                <w:sz w:val="20"/>
                <w:szCs w:val="20"/>
                <w:color w:val="auto"/>
              </w:rPr>
            </w:pPr>
            <w:r>
              <w:rPr>
                <w:rFonts w:ascii="Arial" w:cs="Arial" w:eastAsia="Arial" w:hAnsi="Arial"/>
                <w:sz w:val="16"/>
                <w:szCs w:val="16"/>
                <w:color w:val="auto"/>
              </w:rPr>
              <w:t>Brokered deposits</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1,853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2,133</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6"/>
                <w:szCs w:val="16"/>
                <w:color w:val="auto"/>
              </w:rPr>
              <w:t>Total interest-bearing deposits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9,664</w:t>
            </w: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6300" w:type="dxa"/>
            <w:vAlign w:val="bottom"/>
          </w:tcPr>
          <w:p>
            <w:pPr>
              <w:ind w:left="1520"/>
              <w:spacing w:after="0"/>
              <w:rPr>
                <w:sz w:val="20"/>
                <w:szCs w:val="20"/>
                <w:color w:val="auto"/>
              </w:rPr>
            </w:pPr>
            <w:r>
              <w:rPr>
                <w:rFonts w:ascii="Arial" w:cs="Arial" w:eastAsia="Arial" w:hAnsi="Arial"/>
                <w:sz w:val="16"/>
                <w:szCs w:val="16"/>
                <w:color w:val="auto"/>
              </w:rPr>
              <w:t>Federal funds purchased &amp; other borrowings</w:t>
            </w: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(308)</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6"/>
                <w:szCs w:val="16"/>
                <w:color w:val="auto"/>
              </w:rPr>
              <w:t>Federal Home Loan Bank advances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00" w:type="dxa"/>
            <w:vAlign w:val="bottom"/>
          </w:tcPr>
          <w:p>
            <w:pPr>
              <w:ind w:left="1520"/>
              <w:spacing w:after="0"/>
              <w:rPr>
                <w:sz w:val="20"/>
                <w:szCs w:val="20"/>
                <w:color w:val="auto"/>
              </w:rPr>
            </w:pPr>
            <w:r>
              <w:rPr>
                <w:rFonts w:ascii="Arial" w:cs="Arial" w:eastAsia="Arial" w:hAnsi="Arial"/>
                <w:sz w:val="16"/>
                <w:szCs w:val="16"/>
                <w:color w:val="auto"/>
              </w:rPr>
              <w:t>Long-term debt</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54</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6"/>
                <w:szCs w:val="16"/>
                <w:color w:val="auto"/>
              </w:rPr>
              <w:t>Total borrowed funds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(787)</w:t>
            </w: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6300" w:type="dxa"/>
            <w:vAlign w:val="bottom"/>
          </w:tcPr>
          <w:p>
            <w:pPr>
              <w:ind w:left="1760"/>
              <w:spacing w:after="0"/>
              <w:rPr>
                <w:sz w:val="20"/>
                <w:szCs w:val="20"/>
                <w:color w:val="auto"/>
              </w:rPr>
            </w:pPr>
            <w:r>
              <w:rPr>
                <w:rFonts w:ascii="Arial" w:cs="Arial" w:eastAsia="Arial" w:hAnsi="Arial"/>
                <w:sz w:val="16"/>
                <w:szCs w:val="16"/>
                <w:b w:val="1"/>
                <w:bCs w:val="1"/>
                <w:color w:val="auto"/>
              </w:rPr>
              <w:t>Total interest-bearing liabilities</w:t>
            </w: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8,846</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8,877</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3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300" w:type="dxa"/>
            <w:vAlign w:val="bottom"/>
          </w:tcPr>
          <w:p>
            <w:pPr>
              <w:ind w:left="1880"/>
              <w:spacing w:after="0"/>
              <w:rPr>
                <w:sz w:val="20"/>
                <w:szCs w:val="20"/>
                <w:color w:val="auto"/>
              </w:rPr>
            </w:pPr>
            <w:r>
              <w:rPr>
                <w:rFonts w:ascii="Arial" w:cs="Arial" w:eastAsia="Arial" w:hAnsi="Arial"/>
                <w:sz w:val="16"/>
                <w:szCs w:val="16"/>
                <w:b w:val="1"/>
                <w:bCs w:val="1"/>
                <w:color w:val="auto"/>
              </w:rPr>
              <w:t>Increase in net interest revenue (FTE)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5,497</w:t>
            </w:r>
          </w:p>
        </w:tc>
        <w:tc>
          <w:tcPr>
            <w:tcW w:w="440" w:type="dxa"/>
            <w:vAlign w:val="bottom"/>
            <w:gridSpan w:val="3"/>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7,091</w:t>
            </w:r>
          </w:p>
        </w:tc>
        <w:tc>
          <w:tcPr>
            <w:tcW w:w="10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12,588</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Credit Losses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provision for credit losses is based on management’s evaluation of probable incurred losses in the loan portfolio and unfunded loan commitments and corresponding analysis of the allowance for credit losses at quarter-end. Provision for credit losses was $3.30 million for the three months ended March 31, 2019, compared to $3.80 million for the same period in 2018. For the three months ended March 31, 2019, net loan charge-offs as an annualized percentage of average outstanding loans were 0.15% compared to 0.08% for the same period in 2018. The amount of provision recorded in each period was the amount required such that the total allowance for loan losses reflected the appropriate balance, in the estimation of management, sufficient to cover incurred losses in the loan portfolio. In accordance with the accounting guidance for business combinations, there was no allowance for loan losses brought forward on loans acquired from Navitas on February 1, 2018. At March 31, 2018, United included the performing non-impaired loans acquired from Navitas in its general allowance calculation in order to reflect the necessary allowance for incurred losses, which increased provision expense by approximately $2.29 million for the first quarter of 2018. Provision expense for the first quarter of 2019 decreased $500,000 from the same period of last year, but remained relatively higher than historical periods as a result of loan growth and increased charge-offs. The increase in charge-offs was partly attributable to incorporating equipment financing loans into the loan portfolio for the full first quarter of 2019. Charge-offs from equipment financing loans totaled $1.42 million for the first quarter of 2019, which was in line with management’s expectations for this now-seasoned product line of higher yielding loans.</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allowance for unfunded commitments represents probable incurred losses on unfunded loan commitments that are expected to result in outstanding loan balances. The allowance for unfunded loan commitments was established through the provision for credit losses.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Additional discussion on credit quality and the allowance for loan losses is included in the “Asset Quality and Risk Elements” section of this report.</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584" w:right="2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noninterest income for the periods indicated.</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Table 4 - Noninterest Income</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10"/>
        </w:trPr>
        <w:tc>
          <w:tcPr>
            <w:tcW w:w="5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ind w:left="500"/>
              <w:spacing w:after="0"/>
              <w:rPr>
                <w:sz w:val="20"/>
                <w:szCs w:val="20"/>
                <w:color w:val="auto"/>
              </w:rPr>
            </w:pPr>
            <w:r>
              <w:rPr>
                <w:rFonts w:ascii="Arial" w:cs="Arial" w:eastAsia="Arial" w:hAnsi="Arial"/>
                <w:sz w:val="16"/>
                <w:szCs w:val="16"/>
                <w:b w:val="1"/>
                <w:bCs w:val="1"/>
                <w:color w:val="auto"/>
                <w:w w:val="94"/>
              </w:rPr>
              <w:t>March 31,</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ind w:left="700"/>
              <w:spacing w:after="0"/>
              <w:rPr>
                <w:sz w:val="20"/>
                <w:szCs w:val="20"/>
                <w:color w:val="auto"/>
              </w:rPr>
            </w:pPr>
            <w:r>
              <w:rPr>
                <w:rFonts w:ascii="Arial" w:cs="Arial" w:eastAsia="Arial" w:hAnsi="Arial"/>
                <w:sz w:val="16"/>
                <w:szCs w:val="16"/>
                <w:b w:val="1"/>
                <w:bCs w:val="1"/>
                <w:color w:val="auto"/>
                <w:w w:val="88"/>
              </w:rPr>
              <w:t>Change</w:t>
            </w:r>
          </w:p>
        </w:tc>
        <w:tc>
          <w:tcPr>
            <w:tcW w:w="8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33"/>
        </w:trPr>
        <w:tc>
          <w:tcPr>
            <w:tcW w:w="5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r>
      <w:tr>
        <w:trPr>
          <w:trHeight w:val="231"/>
        </w:trPr>
        <w:tc>
          <w:tcPr>
            <w:tcW w:w="5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ind w:left="12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259"/>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3"/>
          </w:tcPr>
          <w:p>
            <w:pPr>
              <w:ind w:left="60"/>
              <w:spacing w:after="0"/>
              <w:rPr>
                <w:sz w:val="20"/>
                <w:szCs w:val="20"/>
                <w:color w:val="auto"/>
              </w:rPr>
            </w:pPr>
            <w:r>
              <w:rPr>
                <w:rFonts w:ascii="Arial" w:cs="Arial" w:eastAsia="Arial" w:hAnsi="Arial"/>
                <w:sz w:val="16"/>
                <w:szCs w:val="16"/>
                <w:b w:val="1"/>
                <w:bCs w:val="1"/>
                <w:color w:val="auto"/>
              </w:rPr>
              <w:t>Amount</w:t>
            </w:r>
          </w:p>
        </w:tc>
        <w:tc>
          <w:tcPr>
            <w:tcW w:w="2540" w:type="dxa"/>
            <w:vAlign w:val="bottom"/>
            <w:gridSpan w:val="2"/>
          </w:tcPr>
          <w:p>
            <w:pPr>
              <w:ind w:left="20"/>
              <w:spacing w:after="0"/>
              <w:rPr>
                <w:sz w:val="20"/>
                <w:szCs w:val="20"/>
                <w:color w:val="auto"/>
              </w:rPr>
            </w:pPr>
            <w:r>
              <w:rPr>
                <w:rFonts w:ascii="Arial" w:cs="Arial" w:eastAsia="Arial" w:hAnsi="Arial"/>
                <w:sz w:val="16"/>
                <w:szCs w:val="16"/>
                <w:b w:val="1"/>
                <w:bCs w:val="1"/>
                <w:color w:val="auto"/>
              </w:rPr>
              <w:t>Percent</w:t>
            </w:r>
          </w:p>
        </w:tc>
      </w:tr>
      <w:tr>
        <w:trPr>
          <w:trHeight w:val="33"/>
        </w:trPr>
        <w:tc>
          <w:tcPr>
            <w:tcW w:w="5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r>
      <w:tr>
        <w:trPr>
          <w:trHeight w:val="217"/>
        </w:trPr>
        <w:tc>
          <w:tcPr>
            <w:tcW w:w="5240" w:type="dxa"/>
            <w:vAlign w:val="bottom"/>
          </w:tcPr>
          <w:p>
            <w:pPr>
              <w:ind w:left="1740"/>
              <w:spacing w:after="0"/>
              <w:rPr>
                <w:sz w:val="20"/>
                <w:szCs w:val="20"/>
                <w:color w:val="auto"/>
              </w:rPr>
            </w:pPr>
            <w:r>
              <w:rPr>
                <w:rFonts w:ascii="Arial" w:cs="Arial" w:eastAsia="Arial" w:hAnsi="Arial"/>
                <w:sz w:val="16"/>
                <w:szCs w:val="16"/>
                <w:color w:val="auto"/>
              </w:rPr>
              <w:t>Overdraft fees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3,455</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3,652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w:t>
            </w:r>
          </w:p>
        </w:tc>
        <w:tc>
          <w:tcPr>
            <w:tcW w:w="1700" w:type="dxa"/>
            <w:vAlign w:val="bottom"/>
          </w:tcPr>
          <w:p>
            <w:pPr>
              <w:spacing w:after="0"/>
              <w:rPr>
                <w:sz w:val="18"/>
                <w:szCs w:val="18"/>
                <w:color w:val="auto"/>
              </w:rPr>
            </w:pPr>
          </w:p>
        </w:tc>
      </w:tr>
      <w:tr>
        <w:trPr>
          <w:trHeight w:val="33"/>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740"/>
              <w:spacing w:after="0"/>
              <w:rPr>
                <w:sz w:val="20"/>
                <w:szCs w:val="20"/>
                <w:color w:val="auto"/>
              </w:rPr>
            </w:pPr>
            <w:r>
              <w:rPr>
                <w:rFonts w:ascii="Arial" w:cs="Arial" w:eastAsia="Arial" w:hAnsi="Arial"/>
                <w:sz w:val="16"/>
                <w:szCs w:val="16"/>
                <w:color w:val="auto"/>
              </w:rPr>
              <w:t>ATM and debit card fees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w:t>
            </w:r>
          </w:p>
        </w:tc>
        <w:tc>
          <w:tcPr>
            <w:tcW w:w="1700" w:type="dxa"/>
            <w:vAlign w:val="bottom"/>
            <w:tcBorders>
              <w:bottom w:val="single" w:sz="8" w:color="CCEEFF"/>
            </w:tcBorders>
            <w:shd w:val="clear" w:color="auto" w:fill="CCEEFF"/>
          </w:tcPr>
          <w:p>
            <w:pPr>
              <w:spacing w:after="0"/>
              <w:rPr>
                <w:sz w:val="21"/>
                <w:szCs w:val="21"/>
                <w:color w:val="auto"/>
              </w:rPr>
            </w:pPr>
          </w:p>
        </w:tc>
      </w:tr>
      <w:tr>
        <w:trPr>
          <w:trHeight w:val="237"/>
        </w:trPr>
        <w:tc>
          <w:tcPr>
            <w:tcW w:w="5240" w:type="dxa"/>
            <w:vAlign w:val="bottom"/>
          </w:tcPr>
          <w:p>
            <w:pPr>
              <w:ind w:left="1740"/>
              <w:spacing w:after="0"/>
              <w:rPr>
                <w:sz w:val="20"/>
                <w:szCs w:val="20"/>
                <w:color w:val="auto"/>
              </w:rPr>
            </w:pPr>
            <w:r>
              <w:rPr>
                <w:rFonts w:ascii="Arial" w:cs="Arial" w:eastAsia="Arial" w:hAnsi="Arial"/>
                <w:sz w:val="16"/>
                <w:szCs w:val="16"/>
                <w:color w:val="auto"/>
              </w:rPr>
              <w:t>Other service charges and fees</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2,120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2,002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6</w:t>
            </w:r>
          </w:p>
        </w:tc>
        <w:tc>
          <w:tcPr>
            <w:tcW w:w="1700" w:type="dxa"/>
            <w:vAlign w:val="bottom"/>
          </w:tcPr>
          <w:p>
            <w:pPr>
              <w:spacing w:after="0"/>
              <w:rPr>
                <w:sz w:val="20"/>
                <w:szCs w:val="20"/>
                <w:color w:val="auto"/>
              </w:rPr>
            </w:pPr>
          </w:p>
        </w:tc>
      </w:tr>
      <w:tr>
        <w:trPr>
          <w:trHeight w:val="33"/>
        </w:trPr>
        <w:tc>
          <w:tcPr>
            <w:tcW w:w="5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30"/>
        </w:trPr>
        <w:tc>
          <w:tcPr>
            <w:tcW w:w="5240" w:type="dxa"/>
            <w:vAlign w:val="bottom"/>
            <w:tcBorders>
              <w:bottom w:val="single" w:sz="8" w:color="CCEEFF"/>
            </w:tcBorders>
            <w:shd w:val="clear" w:color="auto" w:fill="CCEEFF"/>
          </w:tcPr>
          <w:p>
            <w:pPr>
              <w:ind w:left="1880"/>
              <w:spacing w:after="0"/>
              <w:rPr>
                <w:sz w:val="20"/>
                <w:szCs w:val="20"/>
                <w:color w:val="auto"/>
              </w:rPr>
            </w:pPr>
            <w:r>
              <w:rPr>
                <w:rFonts w:ascii="Arial" w:cs="Arial" w:eastAsia="Arial" w:hAnsi="Arial"/>
                <w:sz w:val="16"/>
                <w:szCs w:val="16"/>
                <w:color w:val="auto"/>
              </w:rPr>
              <w:t>Service charges and fees</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8,453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8,925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c>
          <w:tcPr>
            <w:tcW w:w="1700" w:type="dxa"/>
            <w:vAlign w:val="bottom"/>
            <w:tcBorders>
              <w:bottom w:val="single" w:sz="8" w:color="CCEEFF"/>
            </w:tcBorders>
            <w:shd w:val="clear" w:color="auto" w:fill="CCEEFF"/>
          </w:tcPr>
          <w:p>
            <w:pPr>
              <w:spacing w:after="0"/>
              <w:rPr>
                <w:sz w:val="20"/>
                <w:szCs w:val="20"/>
                <w:color w:val="auto"/>
              </w:rPr>
            </w:pPr>
          </w:p>
        </w:tc>
      </w:tr>
      <w:tr>
        <w:trPr>
          <w:trHeight w:val="237"/>
        </w:trPr>
        <w:tc>
          <w:tcPr>
            <w:tcW w:w="5240" w:type="dxa"/>
            <w:vAlign w:val="bottom"/>
          </w:tcPr>
          <w:p>
            <w:pPr>
              <w:ind w:left="1740"/>
              <w:spacing w:after="0"/>
              <w:rPr>
                <w:sz w:val="20"/>
                <w:szCs w:val="20"/>
                <w:color w:val="auto"/>
              </w:rPr>
            </w:pPr>
            <w:r>
              <w:rPr>
                <w:rFonts w:ascii="Arial" w:cs="Arial" w:eastAsia="Arial" w:hAnsi="Arial"/>
                <w:sz w:val="16"/>
                <w:szCs w:val="16"/>
                <w:color w:val="auto"/>
              </w:rPr>
              <w:t>Mortgage loan and related fees</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3,748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5,359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(1,611)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(30)</w:t>
            </w:r>
          </w:p>
        </w:tc>
        <w:tc>
          <w:tcPr>
            <w:tcW w:w="1700" w:type="dxa"/>
            <w:vAlign w:val="bottom"/>
          </w:tcPr>
          <w:p>
            <w:pPr>
              <w:spacing w:after="0"/>
              <w:rPr>
                <w:sz w:val="20"/>
                <w:szCs w:val="20"/>
                <w:color w:val="auto"/>
              </w:rPr>
            </w:pPr>
          </w:p>
        </w:tc>
      </w:tr>
      <w:tr>
        <w:trPr>
          <w:trHeight w:val="33"/>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740"/>
              <w:spacing w:after="0"/>
              <w:rPr>
                <w:sz w:val="20"/>
                <w:szCs w:val="20"/>
                <w:color w:val="auto"/>
              </w:rPr>
            </w:pPr>
            <w:r>
              <w:rPr>
                <w:rFonts w:ascii="Arial" w:cs="Arial" w:eastAsia="Arial" w:hAnsi="Arial"/>
                <w:sz w:val="16"/>
                <w:szCs w:val="16"/>
                <w:color w:val="auto"/>
              </w:rPr>
              <w:t>Brokerage fees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53</w:t>
            </w:r>
          </w:p>
        </w:tc>
        <w:tc>
          <w:tcPr>
            <w:tcW w:w="1700" w:type="dxa"/>
            <w:vAlign w:val="bottom"/>
            <w:tcBorders>
              <w:bottom w:val="single" w:sz="8" w:color="CCEEFF"/>
            </w:tcBorders>
            <w:shd w:val="clear" w:color="auto" w:fill="CCEEFF"/>
          </w:tcPr>
          <w:p>
            <w:pPr>
              <w:spacing w:after="0"/>
              <w:rPr>
                <w:sz w:val="21"/>
                <w:szCs w:val="21"/>
                <w:color w:val="auto"/>
              </w:rPr>
            </w:pPr>
          </w:p>
        </w:tc>
      </w:tr>
      <w:tr>
        <w:trPr>
          <w:trHeight w:val="237"/>
        </w:trPr>
        <w:tc>
          <w:tcPr>
            <w:tcW w:w="5240" w:type="dxa"/>
            <w:vAlign w:val="bottom"/>
          </w:tcPr>
          <w:p>
            <w:pPr>
              <w:ind w:left="1740"/>
              <w:spacing w:after="0"/>
              <w:rPr>
                <w:sz w:val="20"/>
                <w:szCs w:val="20"/>
                <w:color w:val="auto"/>
              </w:rPr>
            </w:pPr>
            <w:r>
              <w:rPr>
                <w:rFonts w:ascii="Arial" w:cs="Arial" w:eastAsia="Arial" w:hAnsi="Arial"/>
                <w:sz w:val="16"/>
                <w:szCs w:val="16"/>
                <w:color w:val="auto"/>
              </w:rPr>
              <w:t>Gains on sales of SBA/USDA loans</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1,303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1,778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(27)</w:t>
            </w:r>
          </w:p>
        </w:tc>
        <w:tc>
          <w:tcPr>
            <w:tcW w:w="1700" w:type="dxa"/>
            <w:vAlign w:val="bottom"/>
          </w:tcPr>
          <w:p>
            <w:pPr>
              <w:spacing w:after="0"/>
              <w:rPr>
                <w:sz w:val="20"/>
                <w:szCs w:val="20"/>
                <w:color w:val="auto"/>
              </w:rPr>
            </w:pPr>
          </w:p>
        </w:tc>
      </w:tr>
      <w:tr>
        <w:trPr>
          <w:trHeight w:val="33"/>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740"/>
              <w:spacing w:after="0"/>
              <w:rPr>
                <w:sz w:val="20"/>
                <w:szCs w:val="20"/>
                <w:color w:val="auto"/>
              </w:rPr>
            </w:pPr>
            <w:r>
              <w:rPr>
                <w:rFonts w:ascii="Arial" w:cs="Arial" w:eastAsia="Arial" w:hAnsi="Arial"/>
                <w:sz w:val="16"/>
                <w:szCs w:val="16"/>
                <w:color w:val="auto"/>
              </w:rPr>
              <w:t>Customer 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w:t>
            </w:r>
          </w:p>
        </w:tc>
        <w:tc>
          <w:tcPr>
            <w:tcW w:w="1700" w:type="dxa"/>
            <w:vAlign w:val="bottom"/>
            <w:tcBorders>
              <w:bottom w:val="single" w:sz="8" w:color="CCEEFF"/>
            </w:tcBorders>
            <w:shd w:val="clear" w:color="auto" w:fill="CCEEFF"/>
          </w:tcPr>
          <w:p>
            <w:pPr>
              <w:spacing w:after="0"/>
              <w:rPr>
                <w:sz w:val="21"/>
                <w:szCs w:val="21"/>
                <w:color w:val="auto"/>
              </w:rPr>
            </w:pPr>
          </w:p>
        </w:tc>
      </w:tr>
      <w:tr>
        <w:trPr>
          <w:trHeight w:val="237"/>
        </w:trPr>
        <w:tc>
          <w:tcPr>
            <w:tcW w:w="5240" w:type="dxa"/>
            <w:vAlign w:val="bottom"/>
          </w:tcPr>
          <w:p>
            <w:pPr>
              <w:ind w:left="1740"/>
              <w:spacing w:after="0"/>
              <w:rPr>
                <w:sz w:val="20"/>
                <w:szCs w:val="20"/>
                <w:color w:val="auto"/>
              </w:rPr>
            </w:pPr>
            <w:r>
              <w:rPr>
                <w:rFonts w:ascii="Arial" w:cs="Arial" w:eastAsia="Arial" w:hAnsi="Arial"/>
                <w:sz w:val="16"/>
                <w:szCs w:val="16"/>
                <w:color w:val="auto"/>
              </w:rPr>
              <w:t>Securities losses, net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(940)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673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3"/>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174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5,889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5,630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w:t>
            </w:r>
          </w:p>
        </w:tc>
        <w:tc>
          <w:tcPr>
            <w:tcW w:w="1700" w:type="dxa"/>
            <w:vAlign w:val="bottom"/>
            <w:tcBorders>
              <w:bottom w:val="single" w:sz="8" w:color="CCEEFF"/>
            </w:tcBorders>
            <w:shd w:val="clear" w:color="auto" w:fill="CCEEFF"/>
          </w:tcPr>
          <w:p>
            <w:pPr>
              <w:spacing w:after="0"/>
              <w:rPr>
                <w:sz w:val="23"/>
                <w:szCs w:val="23"/>
                <w:color w:val="auto"/>
              </w:rPr>
            </w:pPr>
          </w:p>
        </w:tc>
      </w:tr>
      <w:tr>
        <w:trPr>
          <w:trHeight w:val="244"/>
        </w:trPr>
        <w:tc>
          <w:tcPr>
            <w:tcW w:w="5240" w:type="dxa"/>
            <w:vAlign w:val="bottom"/>
          </w:tcPr>
          <w:p>
            <w:pPr>
              <w:ind w:left="1880"/>
              <w:spacing w:after="0"/>
              <w:rPr>
                <w:sz w:val="20"/>
                <w:szCs w:val="20"/>
                <w:color w:val="auto"/>
              </w:rPr>
            </w:pPr>
            <w:r>
              <w:rPr>
                <w:rFonts w:ascii="Arial" w:cs="Arial" w:eastAsia="Arial" w:hAnsi="Arial"/>
                <w:sz w:val="16"/>
                <w:szCs w:val="16"/>
                <w:color w:val="auto"/>
              </w:rPr>
              <w:t>Total noninterest income</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20,968</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22,396</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(1,428)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1700" w:type="dxa"/>
            <w:vAlign w:val="bottom"/>
          </w:tcPr>
          <w:p>
            <w:pPr>
              <w:spacing w:after="0"/>
              <w:rPr>
                <w:sz w:val="21"/>
                <w:szCs w:val="21"/>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Mortgage loan and related fees for the first quarter of 2019 decreased $1.61 million, or 30%, from the first quarter of 2018. The decrease was primarily attributable to a decline in the fair value of the mortgage servicing asset in the first quarter of 2019, which was driven by a decrease in mortgage interest rates late in the quarter. Mortgage production in the first quarter of 2019 decreased slightly compared to the same period of 2018. United closed 763 mortgage loans totaling $180 million in the first quarter of 2019 compared with 799 mortgage loans totaling $191 million in the first quarter of 2018. United had $116 million in home purchase mortgage originations in the first quarter of 2019, which accounted for 65% of mortgage production volume, compared with $104 million, or 56%, of production volume for the same period a year ago.</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Brokerage fees for the first quarter of 2019 increased 53% compared to the first quarter 2018. This increase was primarily attributable to lower brokerage fees during the first quarter of 2018 reflecting downtime associated with transitioning to a new third-party broker dealer.</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United’s Small Business Administration and United States Department of Agriculture (“SBA/USDA”) lending strategy includes selling a portion of the loan production each quarter. The amount of loans sold depends on a number of variables including the current lending environment and balance sheet management activities. Beginning in the first quarter of 2019, United made a strategic decision to hold more of its government guaranteed loans in order to benefit from the stable yield on these lower-risk assets. In the first quarter of 2019 and 2018, United sold the guaranteed portion of loans in the amount of $17.1 million and $22.2 million, respectively, which resulted in gains of $1.30 million and $1.78 million, respectively.</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Customer derivative fees relate primarily to interest rate swaps to commercial customers who desire fixed rate loans. United makes a floating rate loan to those customers and enters into an interest rate swap contract with the customer to swap the floating rate to a fixed rate. United then enters into an offsetting swap with a swap dealer with terms that mirror the customer swap. The fixed and variable legs of the customer and dealer swaps offset leaving United with the equivalent of a variable rate loan. During the first quarter of 2019, fees on customer derivatives decreased from the same period of last year reflecting the changing interest rate environment and customer preference.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noninterest income for the first quarter of 2019 included a full quarter of fee revenue from Navitas resulting in a $422,000 increase from the same period of 2018. In the first quarter of 2018 United recognized net securities losses of $940,000. The securities losses were part of a larger balance sheet management strategy that included the cancellation of $289 million notional in interest rate caps as well as the partial cancellation of other hedging instruments. The derivative cancellations resulted in gains of $1.16 million, which were included in other noninterest income. The securities losses and gains from derivative activities were mostly offsetting.</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4"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Noninterest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noninterest expenses for the periods indicated.</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Table 5 - Noninterest Expenses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10"/>
        </w:trPr>
        <w:tc>
          <w:tcPr>
            <w:tcW w:w="5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3"/>
          </w:tcPr>
          <w:p>
            <w:pPr>
              <w:ind w:left="500"/>
              <w:spacing w:after="0"/>
              <w:rPr>
                <w:sz w:val="20"/>
                <w:szCs w:val="20"/>
                <w:color w:val="auto"/>
              </w:rPr>
            </w:pPr>
            <w:r>
              <w:rPr>
                <w:rFonts w:ascii="Arial" w:cs="Arial" w:eastAsia="Arial" w:hAnsi="Arial"/>
                <w:sz w:val="16"/>
                <w:szCs w:val="16"/>
                <w:b w:val="1"/>
                <w:bCs w:val="1"/>
                <w:color w:val="auto"/>
                <w:w w:val="94"/>
              </w:rPr>
              <w:t>March 31,</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ind w:left="700"/>
              <w:spacing w:after="0"/>
              <w:rPr>
                <w:sz w:val="20"/>
                <w:szCs w:val="20"/>
                <w:color w:val="auto"/>
              </w:rPr>
            </w:pPr>
            <w:r>
              <w:rPr>
                <w:rFonts w:ascii="Arial" w:cs="Arial" w:eastAsia="Arial" w:hAnsi="Arial"/>
                <w:sz w:val="16"/>
                <w:szCs w:val="16"/>
                <w:b w:val="1"/>
                <w:bCs w:val="1"/>
                <w:color w:val="auto"/>
                <w:w w:val="88"/>
              </w:rPr>
              <w:t>Change</w:t>
            </w:r>
          </w:p>
        </w:tc>
        <w:tc>
          <w:tcPr>
            <w:tcW w:w="8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33"/>
        </w:trPr>
        <w:tc>
          <w:tcPr>
            <w:tcW w:w="5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r>
      <w:tr>
        <w:trPr>
          <w:trHeight w:val="217"/>
        </w:trPr>
        <w:tc>
          <w:tcPr>
            <w:tcW w:w="5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ind w:left="12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ind w:right="259"/>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ind w:left="60"/>
              <w:spacing w:after="0"/>
              <w:rPr>
                <w:sz w:val="20"/>
                <w:szCs w:val="20"/>
                <w:color w:val="auto"/>
              </w:rPr>
            </w:pPr>
            <w:r>
              <w:rPr>
                <w:rFonts w:ascii="Arial" w:cs="Arial" w:eastAsia="Arial" w:hAnsi="Arial"/>
                <w:sz w:val="16"/>
                <w:szCs w:val="16"/>
                <w:b w:val="1"/>
                <w:bCs w:val="1"/>
                <w:color w:val="auto"/>
              </w:rPr>
              <w:t>Amount</w:t>
            </w:r>
          </w:p>
        </w:tc>
        <w:tc>
          <w:tcPr>
            <w:tcW w:w="2520" w:type="dxa"/>
            <w:vAlign w:val="bottom"/>
            <w:gridSpan w:val="2"/>
          </w:tcPr>
          <w:p>
            <w:pPr>
              <w:spacing w:after="0"/>
              <w:rPr>
                <w:sz w:val="20"/>
                <w:szCs w:val="20"/>
                <w:color w:val="auto"/>
              </w:rPr>
            </w:pPr>
            <w:r>
              <w:rPr>
                <w:rFonts w:ascii="Arial" w:cs="Arial" w:eastAsia="Arial" w:hAnsi="Arial"/>
                <w:sz w:val="16"/>
                <w:szCs w:val="16"/>
                <w:b w:val="1"/>
                <w:bCs w:val="1"/>
                <w:color w:val="auto"/>
              </w:rPr>
              <w:t>Percent</w:t>
            </w:r>
          </w:p>
        </w:tc>
      </w:tr>
      <w:tr>
        <w:trPr>
          <w:trHeight w:val="47"/>
        </w:trPr>
        <w:tc>
          <w:tcPr>
            <w:tcW w:w="52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700" w:type="dxa"/>
            <w:vAlign w:val="bottom"/>
            <w:tcBorders>
              <w:bottom w:val="single" w:sz="8" w:color="CCEEFF"/>
            </w:tcBorders>
          </w:tcPr>
          <w:p>
            <w:pPr>
              <w:spacing w:after="0"/>
              <w:rPr>
                <w:sz w:val="4"/>
                <w:szCs w:val="4"/>
                <w:color w:val="auto"/>
              </w:rPr>
            </w:pPr>
          </w:p>
        </w:tc>
      </w:tr>
      <w:tr>
        <w:trPr>
          <w:trHeight w:val="230"/>
        </w:trPr>
        <w:tc>
          <w:tcPr>
            <w:tcW w:w="5240" w:type="dxa"/>
            <w:vAlign w:val="bottom"/>
            <w:tcBorders>
              <w:bottom w:val="single" w:sz="8" w:color="CCEEFF"/>
            </w:tcBorders>
            <w:shd w:val="clear" w:color="auto" w:fill="CCEEFF"/>
          </w:tcPr>
          <w:p>
            <w:pPr>
              <w:ind w:left="1760"/>
              <w:spacing w:after="0"/>
              <w:rPr>
                <w:sz w:val="20"/>
                <w:szCs w:val="20"/>
                <w:color w:val="auto"/>
              </w:rPr>
            </w:pPr>
            <w:r>
              <w:rPr>
                <w:rFonts w:ascii="Arial" w:cs="Arial" w:eastAsia="Arial" w:hAnsi="Arial"/>
                <w:sz w:val="16"/>
                <w:szCs w:val="16"/>
                <w:color w:val="auto"/>
              </w:rPr>
              <w:t>Salaries and employee benefits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47,503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42,875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4,628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700" w:type="dxa"/>
            <w:vAlign w:val="bottom"/>
            <w:tcBorders>
              <w:bottom w:val="single" w:sz="8" w:color="CCEEFF"/>
            </w:tcBorders>
            <w:shd w:val="clear" w:color="auto" w:fill="CCEEFF"/>
          </w:tcPr>
          <w:p>
            <w:pPr>
              <w:spacing w:after="0"/>
              <w:rPr>
                <w:sz w:val="20"/>
                <w:szCs w:val="20"/>
                <w:color w:val="auto"/>
              </w:rPr>
            </w:pPr>
          </w:p>
        </w:tc>
      </w:tr>
      <w:tr>
        <w:trPr>
          <w:trHeight w:val="237"/>
        </w:trPr>
        <w:tc>
          <w:tcPr>
            <w:tcW w:w="5240" w:type="dxa"/>
            <w:vAlign w:val="bottom"/>
          </w:tcPr>
          <w:p>
            <w:pPr>
              <w:ind w:left="1760"/>
              <w:spacing w:after="0"/>
              <w:rPr>
                <w:sz w:val="20"/>
                <w:szCs w:val="20"/>
                <w:color w:val="auto"/>
              </w:rPr>
            </w:pPr>
            <w:r>
              <w:rPr>
                <w:rFonts w:ascii="Arial" w:cs="Arial" w:eastAsia="Arial" w:hAnsi="Arial"/>
                <w:sz w:val="16"/>
                <w:szCs w:val="16"/>
                <w:color w:val="auto"/>
              </w:rPr>
              <w:t>Communications and equipment</w:t>
            </w: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5,788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4,632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1,156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25</w:t>
            </w:r>
          </w:p>
        </w:tc>
        <w:tc>
          <w:tcPr>
            <w:tcW w:w="1700" w:type="dxa"/>
            <w:vAlign w:val="bottom"/>
          </w:tcPr>
          <w:p>
            <w:pPr>
              <w:spacing w:after="0"/>
              <w:rPr>
                <w:sz w:val="20"/>
                <w:szCs w:val="20"/>
                <w:color w:val="auto"/>
              </w:rPr>
            </w:pPr>
          </w:p>
        </w:tc>
      </w:tr>
      <w:tr>
        <w:trPr>
          <w:trHeight w:val="33"/>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760"/>
              <w:spacing w:after="0"/>
              <w:rPr>
                <w:sz w:val="20"/>
                <w:szCs w:val="20"/>
                <w:color w:val="auto"/>
              </w:rPr>
            </w:pPr>
            <w:r>
              <w:rPr>
                <w:rFonts w:ascii="Arial" w:cs="Arial" w:eastAsia="Arial" w:hAnsi="Arial"/>
                <w:sz w:val="16"/>
                <w:szCs w:val="16"/>
                <w:color w:val="auto"/>
              </w:rPr>
              <w:t>Occupancy</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1700" w:type="dxa"/>
            <w:vAlign w:val="bottom"/>
            <w:tcBorders>
              <w:bottom w:val="single" w:sz="8" w:color="CCEEFF"/>
            </w:tcBorders>
            <w:shd w:val="clear" w:color="auto" w:fill="CCEEFF"/>
          </w:tcPr>
          <w:p>
            <w:pPr>
              <w:spacing w:after="0"/>
              <w:rPr>
                <w:sz w:val="21"/>
                <w:szCs w:val="21"/>
                <w:color w:val="auto"/>
              </w:rPr>
            </w:pPr>
          </w:p>
        </w:tc>
      </w:tr>
      <w:tr>
        <w:trPr>
          <w:trHeight w:val="237"/>
        </w:trPr>
        <w:tc>
          <w:tcPr>
            <w:tcW w:w="5240" w:type="dxa"/>
            <w:vAlign w:val="bottom"/>
          </w:tcPr>
          <w:p>
            <w:pPr>
              <w:ind w:left="1760"/>
              <w:spacing w:after="0"/>
              <w:rPr>
                <w:sz w:val="20"/>
                <w:szCs w:val="20"/>
                <w:color w:val="auto"/>
              </w:rPr>
            </w:pPr>
            <w:r>
              <w:rPr>
                <w:rFonts w:ascii="Arial" w:cs="Arial" w:eastAsia="Arial" w:hAnsi="Arial"/>
                <w:sz w:val="16"/>
                <w:szCs w:val="16"/>
                <w:color w:val="auto"/>
              </w:rPr>
              <w:t>Advertising and public relations</w:t>
            </w: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1,286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1,515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(15)</w:t>
            </w:r>
          </w:p>
        </w:tc>
        <w:tc>
          <w:tcPr>
            <w:tcW w:w="1700" w:type="dxa"/>
            <w:vAlign w:val="bottom"/>
          </w:tcPr>
          <w:p>
            <w:pPr>
              <w:spacing w:after="0"/>
              <w:rPr>
                <w:sz w:val="20"/>
                <w:szCs w:val="20"/>
                <w:color w:val="auto"/>
              </w:rPr>
            </w:pPr>
          </w:p>
        </w:tc>
      </w:tr>
      <w:tr>
        <w:trPr>
          <w:trHeight w:val="33"/>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760"/>
              <w:spacing w:after="0"/>
              <w:rPr>
                <w:sz w:val="20"/>
                <w:szCs w:val="20"/>
                <w:color w:val="auto"/>
              </w:rPr>
            </w:pPr>
            <w:r>
              <w:rPr>
                <w:rFonts w:ascii="Arial" w:cs="Arial" w:eastAsia="Arial" w:hAnsi="Arial"/>
                <w:sz w:val="16"/>
                <w:szCs w:val="16"/>
                <w:color w:val="auto"/>
              </w:rPr>
              <w:t>Postage, printing and supplies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w:t>
            </w:r>
          </w:p>
        </w:tc>
        <w:tc>
          <w:tcPr>
            <w:tcW w:w="1700" w:type="dxa"/>
            <w:vAlign w:val="bottom"/>
            <w:tcBorders>
              <w:bottom w:val="single" w:sz="8" w:color="CCEEFF"/>
            </w:tcBorders>
            <w:shd w:val="clear" w:color="auto" w:fill="CCEEFF"/>
          </w:tcPr>
          <w:p>
            <w:pPr>
              <w:spacing w:after="0"/>
              <w:rPr>
                <w:sz w:val="21"/>
                <w:szCs w:val="21"/>
                <w:color w:val="auto"/>
              </w:rPr>
            </w:pPr>
          </w:p>
        </w:tc>
      </w:tr>
      <w:tr>
        <w:trPr>
          <w:trHeight w:val="237"/>
        </w:trPr>
        <w:tc>
          <w:tcPr>
            <w:tcW w:w="5240" w:type="dxa"/>
            <w:vAlign w:val="bottom"/>
          </w:tcPr>
          <w:p>
            <w:pPr>
              <w:ind w:left="1760"/>
              <w:spacing w:after="0"/>
              <w:rPr>
                <w:sz w:val="20"/>
                <w:szCs w:val="20"/>
                <w:color w:val="auto"/>
              </w:rPr>
            </w:pPr>
            <w:r>
              <w:rPr>
                <w:rFonts w:ascii="Arial" w:cs="Arial" w:eastAsia="Arial" w:hAnsi="Arial"/>
                <w:sz w:val="16"/>
                <w:szCs w:val="16"/>
                <w:color w:val="auto"/>
              </w:rPr>
              <w:t>Professional fees</w:t>
            </w: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3,161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4,044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(883)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(22)</w:t>
            </w:r>
          </w:p>
        </w:tc>
        <w:tc>
          <w:tcPr>
            <w:tcW w:w="1700" w:type="dxa"/>
            <w:vAlign w:val="bottom"/>
          </w:tcPr>
          <w:p>
            <w:pPr>
              <w:spacing w:after="0"/>
              <w:rPr>
                <w:sz w:val="20"/>
                <w:szCs w:val="20"/>
                <w:color w:val="auto"/>
              </w:rPr>
            </w:pPr>
          </w:p>
        </w:tc>
      </w:tr>
      <w:tr>
        <w:trPr>
          <w:trHeight w:val="33"/>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760"/>
              <w:spacing w:after="0"/>
              <w:rPr>
                <w:sz w:val="20"/>
                <w:szCs w:val="20"/>
                <w:color w:val="auto"/>
              </w:rPr>
            </w:pPr>
            <w:r>
              <w:rPr>
                <w:rFonts w:ascii="Arial" w:cs="Arial" w:eastAsia="Arial" w:hAnsi="Arial"/>
                <w:sz w:val="16"/>
                <w:szCs w:val="16"/>
                <w:color w:val="auto"/>
              </w:rPr>
              <w:t>FDIC assessments and other regulatory charges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w:t>
            </w:r>
          </w:p>
        </w:tc>
        <w:tc>
          <w:tcPr>
            <w:tcW w:w="1700" w:type="dxa"/>
            <w:vAlign w:val="bottom"/>
            <w:tcBorders>
              <w:bottom w:val="single" w:sz="8" w:color="CCEEFF"/>
            </w:tcBorders>
            <w:shd w:val="clear" w:color="auto" w:fill="CCEEFF"/>
          </w:tcPr>
          <w:p>
            <w:pPr>
              <w:spacing w:after="0"/>
              <w:rPr>
                <w:sz w:val="21"/>
                <w:szCs w:val="21"/>
                <w:color w:val="auto"/>
              </w:rPr>
            </w:pPr>
          </w:p>
        </w:tc>
      </w:tr>
      <w:tr>
        <w:trPr>
          <w:trHeight w:val="237"/>
        </w:trPr>
        <w:tc>
          <w:tcPr>
            <w:tcW w:w="5240" w:type="dxa"/>
            <w:vAlign w:val="bottom"/>
          </w:tcPr>
          <w:p>
            <w:pPr>
              <w:ind w:left="1760"/>
              <w:spacing w:after="0"/>
              <w:rPr>
                <w:sz w:val="20"/>
                <w:szCs w:val="20"/>
                <w:color w:val="auto"/>
              </w:rPr>
            </w:pPr>
            <w:r>
              <w:rPr>
                <w:rFonts w:ascii="Arial" w:cs="Arial" w:eastAsia="Arial" w:hAnsi="Arial"/>
                <w:sz w:val="16"/>
                <w:szCs w:val="16"/>
                <w:color w:val="auto"/>
              </w:rPr>
              <w:t>Amortization of core deposit intangibles</w:t>
            </w: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1,100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1,306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(16)</w:t>
            </w:r>
          </w:p>
        </w:tc>
        <w:tc>
          <w:tcPr>
            <w:tcW w:w="1700" w:type="dxa"/>
            <w:vAlign w:val="bottom"/>
          </w:tcPr>
          <w:p>
            <w:pPr>
              <w:spacing w:after="0"/>
              <w:rPr>
                <w:sz w:val="20"/>
                <w:szCs w:val="20"/>
                <w:color w:val="auto"/>
              </w:rPr>
            </w:pPr>
          </w:p>
        </w:tc>
      </w:tr>
      <w:tr>
        <w:trPr>
          <w:trHeight w:val="33"/>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176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7,627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6,731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13</w:t>
            </w:r>
          </w:p>
        </w:tc>
        <w:tc>
          <w:tcPr>
            <w:tcW w:w="1700" w:type="dxa"/>
            <w:vAlign w:val="bottom"/>
            <w:tcBorders>
              <w:bottom w:val="single" w:sz="8" w:color="CCEEFF"/>
            </w:tcBorders>
            <w:shd w:val="clear" w:color="auto" w:fill="CCEEFF"/>
          </w:tcPr>
          <w:p>
            <w:pPr>
              <w:spacing w:after="0"/>
              <w:rPr>
                <w:sz w:val="23"/>
                <w:szCs w:val="23"/>
                <w:color w:val="auto"/>
              </w:rPr>
            </w:pPr>
          </w:p>
        </w:tc>
      </w:tr>
      <w:tr>
        <w:trPr>
          <w:trHeight w:val="217"/>
        </w:trPr>
        <w:tc>
          <w:tcPr>
            <w:tcW w:w="5240" w:type="dxa"/>
            <w:vAlign w:val="bottom"/>
          </w:tcPr>
          <w:p>
            <w:pPr>
              <w:ind w:left="1880"/>
              <w:spacing w:after="0"/>
              <w:rPr>
                <w:sz w:val="20"/>
                <w:szCs w:val="20"/>
                <w:color w:val="auto"/>
              </w:rPr>
            </w:pPr>
            <w:r>
              <w:rPr>
                <w:rFonts w:ascii="Arial" w:cs="Arial" w:eastAsia="Arial" w:hAnsi="Arial"/>
                <w:sz w:val="16"/>
                <w:szCs w:val="16"/>
                <w:color w:val="auto"/>
                <w:w w:val="95"/>
              </w:rPr>
              <w:t>Total excluding merger-related and other charges</w:t>
            </w: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75,345</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70,829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6</w:t>
            </w:r>
          </w:p>
        </w:tc>
        <w:tc>
          <w:tcPr>
            <w:tcW w:w="1700" w:type="dxa"/>
            <w:vAlign w:val="bottom"/>
          </w:tcPr>
          <w:p>
            <w:pPr>
              <w:spacing w:after="0"/>
              <w:rPr>
                <w:sz w:val="18"/>
                <w:szCs w:val="18"/>
                <w:color w:val="auto"/>
              </w:rPr>
            </w:pPr>
          </w:p>
        </w:tc>
      </w:tr>
      <w:tr>
        <w:trPr>
          <w:trHeight w:val="33"/>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760"/>
              <w:spacing w:after="0"/>
              <w:rPr>
                <w:sz w:val="20"/>
                <w:szCs w:val="20"/>
                <w:color w:val="auto"/>
              </w:rPr>
            </w:pPr>
            <w:r>
              <w:rPr>
                <w:rFonts w:ascii="Arial" w:cs="Arial" w:eastAsia="Arial" w:hAnsi="Arial"/>
                <w:sz w:val="16"/>
                <w:szCs w:val="16"/>
                <w:color w:val="auto"/>
              </w:rPr>
              <w:t>Merger-related and other charges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37"/>
        </w:trPr>
        <w:tc>
          <w:tcPr>
            <w:tcW w:w="5240" w:type="dxa"/>
            <w:vAlign w:val="bottom"/>
          </w:tcPr>
          <w:p>
            <w:pPr>
              <w:ind w:left="1760"/>
              <w:spacing w:after="0"/>
              <w:rPr>
                <w:sz w:val="20"/>
                <w:szCs w:val="20"/>
                <w:color w:val="auto"/>
              </w:rPr>
            </w:pPr>
            <w:r>
              <w:rPr>
                <w:rFonts w:ascii="Arial" w:cs="Arial" w:eastAsia="Arial" w:hAnsi="Arial"/>
                <w:sz w:val="16"/>
                <w:szCs w:val="16"/>
                <w:color w:val="auto"/>
              </w:rPr>
              <w:t>Amortization of noncompete agreements</w:t>
            </w: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592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3"/>
        </w:trPr>
        <w:tc>
          <w:tcPr>
            <w:tcW w:w="5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44"/>
        </w:trPr>
        <w:tc>
          <w:tcPr>
            <w:tcW w:w="5240" w:type="dxa"/>
            <w:vAlign w:val="bottom"/>
            <w:tcBorders>
              <w:bottom w:val="single" w:sz="8" w:color="CCEEFF"/>
            </w:tcBorders>
            <w:shd w:val="clear" w:color="auto" w:fill="CCEEFF"/>
          </w:tcPr>
          <w:p>
            <w:pPr>
              <w:ind w:left="1880"/>
              <w:spacing w:after="0"/>
              <w:rPr>
                <w:sz w:val="20"/>
                <w:szCs w:val="20"/>
                <w:color w:val="auto"/>
              </w:rPr>
            </w:pPr>
            <w:r>
              <w:rPr>
                <w:rFonts w:ascii="Arial" w:cs="Arial" w:eastAsia="Arial" w:hAnsi="Arial"/>
                <w:sz w:val="16"/>
                <w:szCs w:val="16"/>
                <w:color w:val="auto"/>
              </w:rPr>
              <w:t>Total noninterest expenses</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76,084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73,475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2,609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w:t>
            </w:r>
          </w:p>
        </w:tc>
        <w:tc>
          <w:tcPr>
            <w:tcW w:w="1700" w:type="dxa"/>
            <w:vAlign w:val="bottom"/>
            <w:tcBorders>
              <w:bottom w:val="single" w:sz="8" w:color="CCEEFF"/>
            </w:tcBorders>
            <w:shd w:val="clear" w:color="auto" w:fill="CCEEFF"/>
          </w:tcPr>
          <w:p>
            <w:pPr>
              <w:spacing w:after="0"/>
              <w:rPr>
                <w:sz w:val="21"/>
                <w:szCs w:val="21"/>
                <w:color w:val="auto"/>
              </w:rPr>
            </w:pPr>
          </w:p>
        </w:tc>
      </w:tr>
      <w:tr>
        <w:trPr>
          <w:trHeight w:val="20"/>
        </w:trPr>
        <w:tc>
          <w:tcPr>
            <w:tcW w:w="5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Noninterest expenses excluding merger-related and other charges for the first quarter of 2019 totaled $75.3 million, up 6% from the same period of 2018. Increases in salaries and benefits, communications and equipment, and other noninterest expense offset by lower professional fees and FDIC assessments and other regulatory charges accounted for much of the change in noninterest expense for the periods presented.</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Salaries and employee benefits for the first quarter of 2019 were $47.5 million, up 11% from same period of 2018. The increase was primarily due to the inclusion of Navitas for the entire first quarter of 2019 and additional stock compensation expense from new restricted stock unit awards issued in the third quarter of 2018. The remainder of the increase resulted from an increase in the 401(k) matching contribution, higher group medical insurance costs and annual merit-based salary increases awarded in the second quarter of 2018. Full time equivalent headcount totaled 2,291 at March 31, 2019, up from 2,288 at March 31, 2018. Communications and equipment expense increased primarily due to to increases in software maintenance costs and additional software contracts. The increase in other noninterest expense was attributable to several factors including increased lending support costs resulting from loan growth, volume related increases in loan servicing costs, and increases related to usage and development of United’s internet banking tools.</w:t>
      </w:r>
    </w:p>
    <w:p>
      <w:pPr>
        <w:spacing w:after="0" w:line="16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Professional fees for the first quarter of 2019 of $3.16 million decreased 22% from the same period of 2018. During the first quarter of 2018, professional fees were higher primarily due to recent acquisitions and increased legal fees associated with loan growth. FDIC assessments and other regulatory charges for the three months ended March 31, 2019 decreased relative to the same period in 2018 primarily due to a reduction in United’s FDIC assessment rate.</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Merger-related and other charges for the three months ended March 31, 2019 decreased $1.51 million from the same period of 2018, due to reduced levels of merger-related activity during the period. Merger-related and other charges for the first quarter of 2018 of $2.05 million consisted primarily of severance, conversion costs, branch closure costs and legal and professional fees. Additionally, the reduction of amortization of noncompete agreements was a result of the expiration of certain of these agreements since the first quarter of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income tax provision for the three months ended March 31, 2019 was $13.0 million, which represents an effective tax rate of 22.6% for the period. The income tax provision for the three months ended March 31, 2018 was $10.7 million, which represents an effective tax rate of 22.2% for the period.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800" w:right="239" w:bottom="1440" w:gutter="0" w:footer="0" w:header="0"/>
        </w:sectPr>
      </w:pPr>
    </w:p>
    <w:bookmarkStart w:id="52" w:name="page53"/>
    <w:bookmarkEnd w:id="52"/>
    <w:p>
      <w:pPr>
        <w:jc w:val="both"/>
        <w:spacing w:after="0" w:line="312" w:lineRule="auto"/>
        <w:rPr>
          <w:sz w:val="20"/>
          <w:szCs w:val="20"/>
          <w:color w:val="auto"/>
        </w:rPr>
      </w:pPr>
      <w:r>
        <w:rPr>
          <w:rFonts w:ascii="Arial" w:cs="Arial" w:eastAsia="Arial" w:hAnsi="Arial"/>
          <w:sz w:val="16"/>
          <w:szCs w:val="16"/>
          <w:color w:val="auto"/>
        </w:rPr>
        <w:t>At March 31, 2019 and December 31, 2018, United maintained a valuation allowance on its net deferred tax asset of $3.37 million. Management assesses the valuation allowance recorded against its net deferred tax asset at each reporting period. The determination of whether a valuation allowance for its net deferred tax asset is appropriate is subject to considerable judgment and requires an evaluation of all the positive and negative evidence.</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valuation allowance could fluctuate in future periods based on the assessment of the positive and negative evidence. Management’s conclusion at March 31, 2019 that it was more likely than not that the net deferred tax asset of $51.1 million will be realized is based upon management’s estimate of future taxable income. Management’s estimate of future taxable income is based on internal forecasts that consider historical performance, various internal estimates and assumptions, as well as certain external data, all of which management believes to be reasonable although inherently subject to significant judgment. If actual results differ significantly from the current estimates of future taxable income, the valuation allowance may need to be increased for some or all of its net deferred tax asset.</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is subject to income taxation in the United States and various state jurisdictions. United’s federal and state income tax returns are filed on a consolidated basis. Currently, no years for which United filed a federal income tax return are under examination by the IRS, and there are no state tax examinations currently in progress.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 information regarding income taxes, including a reconciliation of the differences between the recorded income tax provision and the amount of income tax computed by applying the statutory federal income tax rate to income before income taxes, can be found in Note 16 to the consolidated financial statements filed with United’s Annual Report on Form 10-K for the year ended December 31,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Review</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assets at March 31, 2019 and December 31, 2018 were $12.5 billion and $12.6 billion, respectively. Average total assets for the first quarter of 2019 were $12.5 billion, up from $12.1 billion in the first quarter 2018.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4"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The following table presents a summary of the loan portfolio.</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Table 6 - Loans Outstanding</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 2019</w:t>
            </w:r>
          </w:p>
        </w:tc>
        <w:tc>
          <w:tcPr>
            <w:tcW w:w="160" w:type="dxa"/>
            <w:vAlign w:val="bottom"/>
          </w:tcPr>
          <w:p>
            <w:pPr>
              <w:spacing w:after="0"/>
              <w:rPr>
                <w:sz w:val="18"/>
                <w:szCs w:val="18"/>
                <w:color w:val="auto"/>
              </w:rPr>
            </w:pPr>
          </w:p>
        </w:tc>
        <w:tc>
          <w:tcPr>
            <w:tcW w:w="364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 2018</w:t>
            </w:r>
          </w:p>
        </w:tc>
      </w:tr>
      <w:tr>
        <w:trPr>
          <w:trHeight w:val="33"/>
        </w:trPr>
        <w:tc>
          <w:tcPr>
            <w:tcW w:w="5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2060"/>
              <w:spacing w:after="0"/>
              <w:rPr>
                <w:sz w:val="20"/>
                <w:szCs w:val="20"/>
                <w:color w:val="auto"/>
              </w:rPr>
            </w:pPr>
            <w:r>
              <w:rPr>
                <w:rFonts w:ascii="Arial" w:cs="Arial" w:eastAsia="Arial" w:hAnsi="Arial"/>
                <w:sz w:val="16"/>
                <w:szCs w:val="16"/>
                <w:b w:val="1"/>
                <w:bCs w:val="1"/>
                <w:color w:val="auto"/>
              </w:rPr>
              <w:t>By Loan Type</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37"/>
        </w:trPr>
        <w:tc>
          <w:tcPr>
            <w:tcW w:w="5780" w:type="dxa"/>
            <w:vAlign w:val="bottom"/>
          </w:tcPr>
          <w:p>
            <w:pPr>
              <w:ind w:left="2060"/>
              <w:spacing w:after="0"/>
              <w:rPr>
                <w:sz w:val="20"/>
                <w:szCs w:val="20"/>
                <w:color w:val="auto"/>
              </w:rPr>
            </w:pPr>
            <w:r>
              <w:rPr>
                <w:rFonts w:ascii="Arial" w:cs="Arial" w:eastAsia="Arial" w:hAnsi="Arial"/>
                <w:sz w:val="16"/>
                <w:szCs w:val="16"/>
                <w:color w:val="auto"/>
              </w:rPr>
              <w:t>Owner occupied commercial real estate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1,620,068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1,647,904</w:t>
            </w:r>
          </w:p>
        </w:tc>
        <w:tc>
          <w:tcPr>
            <w:tcW w:w="2060" w:type="dxa"/>
            <w:vAlign w:val="bottom"/>
          </w:tcPr>
          <w:p>
            <w:pPr>
              <w:spacing w:after="0"/>
              <w:rPr>
                <w:sz w:val="20"/>
                <w:szCs w:val="20"/>
                <w:color w:val="auto"/>
              </w:rPr>
            </w:pPr>
          </w:p>
        </w:tc>
      </w:tr>
      <w:tr>
        <w:trPr>
          <w:trHeight w:val="33"/>
        </w:trPr>
        <w:tc>
          <w:tcPr>
            <w:tcW w:w="5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060"/>
              <w:spacing w:after="0"/>
              <w:rPr>
                <w:sz w:val="20"/>
                <w:szCs w:val="20"/>
                <w:color w:val="auto"/>
              </w:rPr>
            </w:pPr>
            <w:r>
              <w:rPr>
                <w:rFonts w:ascii="Arial" w:cs="Arial" w:eastAsia="Arial" w:hAnsi="Arial"/>
                <w:sz w:val="16"/>
                <w:szCs w:val="16"/>
                <w:color w:val="auto"/>
              </w:rPr>
              <w:t>Income producing commercial real estate</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1,867,425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1,812,420</w:t>
            </w:r>
          </w:p>
        </w:tc>
        <w:tc>
          <w:tcPr>
            <w:tcW w:w="2060" w:type="dxa"/>
            <w:vAlign w:val="bottom"/>
            <w:tcBorders>
              <w:bottom w:val="single" w:sz="8" w:color="CCEEFF"/>
            </w:tcBorders>
            <w:shd w:val="clear" w:color="auto" w:fill="CCEEFF"/>
          </w:tcPr>
          <w:p>
            <w:pPr>
              <w:spacing w:after="0"/>
              <w:rPr>
                <w:sz w:val="21"/>
                <w:szCs w:val="21"/>
                <w:color w:val="auto"/>
              </w:rPr>
            </w:pPr>
          </w:p>
        </w:tc>
      </w:tr>
      <w:tr>
        <w:trPr>
          <w:trHeight w:val="237"/>
        </w:trPr>
        <w:tc>
          <w:tcPr>
            <w:tcW w:w="5780" w:type="dxa"/>
            <w:vAlign w:val="bottom"/>
          </w:tcPr>
          <w:p>
            <w:pPr>
              <w:ind w:left="2060"/>
              <w:spacing w:after="0"/>
              <w:rPr>
                <w:sz w:val="20"/>
                <w:szCs w:val="20"/>
                <w:color w:val="auto"/>
              </w:rPr>
            </w:pPr>
            <w:r>
              <w:rPr>
                <w:rFonts w:ascii="Arial" w:cs="Arial" w:eastAsia="Arial" w:hAnsi="Arial"/>
                <w:sz w:val="16"/>
                <w:szCs w:val="16"/>
                <w:color w:val="auto"/>
              </w:rPr>
              <w:t>Commercial &amp; industrial</w:t>
            </w:r>
          </w:p>
        </w:tc>
        <w:tc>
          <w:tcPr>
            <w:tcW w:w="220" w:type="dxa"/>
            <w:vAlign w:val="bottom"/>
          </w:tcPr>
          <w:p>
            <w:pPr>
              <w:spacing w:after="0"/>
              <w:rPr>
                <w:sz w:val="20"/>
                <w:szCs w:val="20"/>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1,283,865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1,278,347</w:t>
            </w:r>
          </w:p>
        </w:tc>
        <w:tc>
          <w:tcPr>
            <w:tcW w:w="2060" w:type="dxa"/>
            <w:vAlign w:val="bottom"/>
          </w:tcPr>
          <w:p>
            <w:pPr>
              <w:spacing w:after="0"/>
              <w:rPr>
                <w:sz w:val="20"/>
                <w:szCs w:val="20"/>
                <w:color w:val="auto"/>
              </w:rPr>
            </w:pPr>
          </w:p>
        </w:tc>
      </w:tr>
      <w:tr>
        <w:trPr>
          <w:trHeight w:val="33"/>
        </w:trPr>
        <w:tc>
          <w:tcPr>
            <w:tcW w:w="5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060"/>
              <w:spacing w:after="0"/>
              <w:rPr>
                <w:sz w:val="20"/>
                <w:szCs w:val="20"/>
                <w:color w:val="auto"/>
              </w:rPr>
            </w:pPr>
            <w:r>
              <w:rPr>
                <w:rFonts w:ascii="Arial" w:cs="Arial" w:eastAsia="Arial" w:hAnsi="Arial"/>
                <w:sz w:val="16"/>
                <w:szCs w:val="16"/>
                <w:color w:val="auto"/>
              </w:rPr>
              <w:t>Commercial construction</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865,666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796,158</w:t>
            </w:r>
          </w:p>
        </w:tc>
        <w:tc>
          <w:tcPr>
            <w:tcW w:w="2060" w:type="dxa"/>
            <w:vAlign w:val="bottom"/>
            <w:tcBorders>
              <w:bottom w:val="single" w:sz="8" w:color="CCEEFF"/>
            </w:tcBorders>
            <w:shd w:val="clear" w:color="auto" w:fill="CCEEFF"/>
          </w:tcPr>
          <w:p>
            <w:pPr>
              <w:spacing w:after="0"/>
              <w:rPr>
                <w:sz w:val="21"/>
                <w:szCs w:val="21"/>
                <w:color w:val="auto"/>
              </w:rPr>
            </w:pPr>
          </w:p>
        </w:tc>
      </w:tr>
      <w:tr>
        <w:trPr>
          <w:trHeight w:val="237"/>
        </w:trPr>
        <w:tc>
          <w:tcPr>
            <w:tcW w:w="5780" w:type="dxa"/>
            <w:vAlign w:val="bottom"/>
          </w:tcPr>
          <w:p>
            <w:pPr>
              <w:ind w:left="2060"/>
              <w:spacing w:after="0"/>
              <w:rPr>
                <w:sz w:val="20"/>
                <w:szCs w:val="20"/>
                <w:color w:val="auto"/>
              </w:rPr>
            </w:pPr>
            <w:r>
              <w:rPr>
                <w:rFonts w:ascii="Arial" w:cs="Arial" w:eastAsia="Arial" w:hAnsi="Arial"/>
                <w:sz w:val="16"/>
                <w:szCs w:val="16"/>
                <w:color w:val="auto"/>
              </w:rPr>
              <w:t>Equipment financing</w:t>
            </w:r>
          </w:p>
        </w:tc>
        <w:tc>
          <w:tcPr>
            <w:tcW w:w="220" w:type="dxa"/>
            <w:vAlign w:val="bottom"/>
          </w:tcPr>
          <w:p>
            <w:pPr>
              <w:spacing w:after="0"/>
              <w:rPr>
                <w:sz w:val="20"/>
                <w:szCs w:val="20"/>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605,984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564,614</w:t>
            </w:r>
          </w:p>
        </w:tc>
        <w:tc>
          <w:tcPr>
            <w:tcW w:w="2060" w:type="dxa"/>
            <w:vAlign w:val="bottom"/>
          </w:tcPr>
          <w:p>
            <w:pPr>
              <w:spacing w:after="0"/>
              <w:rPr>
                <w:sz w:val="20"/>
                <w:szCs w:val="20"/>
                <w:color w:val="auto"/>
              </w:rPr>
            </w:pPr>
          </w:p>
        </w:tc>
      </w:tr>
      <w:tr>
        <w:trPr>
          <w:trHeight w:val="33"/>
        </w:trPr>
        <w:tc>
          <w:tcPr>
            <w:tcW w:w="5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r>
      <w:tr>
        <w:trPr>
          <w:trHeight w:val="230"/>
        </w:trPr>
        <w:tc>
          <w:tcPr>
            <w:tcW w:w="5780" w:type="dxa"/>
            <w:vAlign w:val="bottom"/>
            <w:tcBorders>
              <w:bottom w:val="single" w:sz="8" w:color="CCEEFF"/>
            </w:tcBorders>
            <w:shd w:val="clear" w:color="auto" w:fill="CCEEFF"/>
          </w:tcPr>
          <w:p>
            <w:pPr>
              <w:ind w:left="2300"/>
              <w:spacing w:after="0"/>
              <w:rPr>
                <w:sz w:val="20"/>
                <w:szCs w:val="20"/>
                <w:color w:val="auto"/>
              </w:rPr>
            </w:pPr>
            <w:r>
              <w:rPr>
                <w:rFonts w:ascii="Arial" w:cs="Arial" w:eastAsia="Arial" w:hAnsi="Arial"/>
                <w:sz w:val="16"/>
                <w:szCs w:val="16"/>
                <w:color w:val="auto"/>
              </w:rPr>
              <w:t>Total commercial</w:t>
            </w:r>
          </w:p>
        </w:tc>
        <w:tc>
          <w:tcPr>
            <w:tcW w:w="2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6,243,008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6,099,443</w:t>
            </w:r>
          </w:p>
        </w:tc>
        <w:tc>
          <w:tcPr>
            <w:tcW w:w="2060" w:type="dxa"/>
            <w:vAlign w:val="bottom"/>
            <w:tcBorders>
              <w:bottom w:val="single" w:sz="8" w:color="CCEEFF"/>
            </w:tcBorders>
            <w:shd w:val="clear" w:color="auto" w:fill="CCEEFF"/>
          </w:tcPr>
          <w:p>
            <w:pPr>
              <w:spacing w:after="0"/>
              <w:rPr>
                <w:sz w:val="20"/>
                <w:szCs w:val="20"/>
                <w:color w:val="auto"/>
              </w:rPr>
            </w:pPr>
          </w:p>
        </w:tc>
      </w:tr>
      <w:tr>
        <w:trPr>
          <w:trHeight w:val="237"/>
        </w:trPr>
        <w:tc>
          <w:tcPr>
            <w:tcW w:w="5780" w:type="dxa"/>
            <w:vAlign w:val="bottom"/>
          </w:tcPr>
          <w:p>
            <w:pPr>
              <w:ind w:left="2060"/>
              <w:spacing w:after="0"/>
              <w:rPr>
                <w:sz w:val="20"/>
                <w:szCs w:val="20"/>
                <w:color w:val="auto"/>
              </w:rPr>
            </w:pPr>
            <w:r>
              <w:rPr>
                <w:rFonts w:ascii="Arial" w:cs="Arial" w:eastAsia="Arial" w:hAnsi="Arial"/>
                <w:sz w:val="16"/>
                <w:szCs w:val="16"/>
                <w:color w:val="auto"/>
              </w:rPr>
              <w:t>Residential mortgage</w:t>
            </w:r>
          </w:p>
        </w:tc>
        <w:tc>
          <w:tcPr>
            <w:tcW w:w="220" w:type="dxa"/>
            <w:vAlign w:val="bottom"/>
          </w:tcPr>
          <w:p>
            <w:pPr>
              <w:spacing w:after="0"/>
              <w:rPr>
                <w:sz w:val="20"/>
                <w:szCs w:val="20"/>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1,063,840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1,049,232</w:t>
            </w:r>
          </w:p>
        </w:tc>
        <w:tc>
          <w:tcPr>
            <w:tcW w:w="2060" w:type="dxa"/>
            <w:vAlign w:val="bottom"/>
          </w:tcPr>
          <w:p>
            <w:pPr>
              <w:spacing w:after="0"/>
              <w:rPr>
                <w:sz w:val="20"/>
                <w:szCs w:val="20"/>
                <w:color w:val="auto"/>
              </w:rPr>
            </w:pPr>
          </w:p>
        </w:tc>
      </w:tr>
      <w:tr>
        <w:trPr>
          <w:trHeight w:val="33"/>
        </w:trPr>
        <w:tc>
          <w:tcPr>
            <w:tcW w:w="5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060"/>
              <w:spacing w:after="0"/>
              <w:rPr>
                <w:sz w:val="20"/>
                <w:szCs w:val="20"/>
                <w:color w:val="auto"/>
              </w:rPr>
            </w:pPr>
            <w:r>
              <w:rPr>
                <w:rFonts w:ascii="Arial" w:cs="Arial" w:eastAsia="Arial" w:hAnsi="Arial"/>
                <w:sz w:val="16"/>
                <w:szCs w:val="16"/>
                <w:color w:val="auto"/>
              </w:rPr>
              <w:t>Home equity lines of credit</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683,771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694,010</w:t>
            </w:r>
          </w:p>
        </w:tc>
        <w:tc>
          <w:tcPr>
            <w:tcW w:w="2060" w:type="dxa"/>
            <w:vAlign w:val="bottom"/>
            <w:tcBorders>
              <w:bottom w:val="single" w:sz="8" w:color="CCEEFF"/>
            </w:tcBorders>
            <w:shd w:val="clear" w:color="auto" w:fill="CCEEFF"/>
          </w:tcPr>
          <w:p>
            <w:pPr>
              <w:spacing w:after="0"/>
              <w:rPr>
                <w:sz w:val="21"/>
                <w:szCs w:val="21"/>
                <w:color w:val="auto"/>
              </w:rPr>
            </w:pPr>
          </w:p>
        </w:tc>
      </w:tr>
      <w:tr>
        <w:trPr>
          <w:trHeight w:val="237"/>
        </w:trPr>
        <w:tc>
          <w:tcPr>
            <w:tcW w:w="5780" w:type="dxa"/>
            <w:vAlign w:val="bottom"/>
          </w:tcPr>
          <w:p>
            <w:pPr>
              <w:ind w:left="2060"/>
              <w:spacing w:after="0"/>
              <w:rPr>
                <w:sz w:val="20"/>
                <w:szCs w:val="20"/>
                <w:color w:val="auto"/>
              </w:rPr>
            </w:pPr>
            <w:r>
              <w:rPr>
                <w:rFonts w:ascii="Arial" w:cs="Arial" w:eastAsia="Arial" w:hAnsi="Arial"/>
                <w:sz w:val="16"/>
                <w:szCs w:val="16"/>
                <w:color w:val="auto"/>
              </w:rPr>
              <w:t>Residential construction</w:t>
            </w:r>
          </w:p>
        </w:tc>
        <w:tc>
          <w:tcPr>
            <w:tcW w:w="220" w:type="dxa"/>
            <w:vAlign w:val="bottom"/>
          </w:tcPr>
          <w:p>
            <w:pPr>
              <w:spacing w:after="0"/>
              <w:rPr>
                <w:sz w:val="20"/>
                <w:szCs w:val="20"/>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200,708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211,011</w:t>
            </w:r>
          </w:p>
        </w:tc>
        <w:tc>
          <w:tcPr>
            <w:tcW w:w="2060" w:type="dxa"/>
            <w:vAlign w:val="bottom"/>
          </w:tcPr>
          <w:p>
            <w:pPr>
              <w:spacing w:after="0"/>
              <w:rPr>
                <w:sz w:val="20"/>
                <w:szCs w:val="20"/>
                <w:color w:val="auto"/>
              </w:rPr>
            </w:pPr>
          </w:p>
        </w:tc>
      </w:tr>
      <w:tr>
        <w:trPr>
          <w:trHeight w:val="33"/>
        </w:trPr>
        <w:tc>
          <w:tcPr>
            <w:tcW w:w="5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060"/>
              <w:spacing w:after="0"/>
              <w:rPr>
                <w:sz w:val="20"/>
                <w:szCs w:val="20"/>
                <w:color w:val="auto"/>
              </w:rPr>
            </w:pPr>
            <w:r>
              <w:rPr>
                <w:rFonts w:ascii="Arial" w:cs="Arial" w:eastAsia="Arial" w:hAnsi="Arial"/>
                <w:sz w:val="16"/>
                <w:szCs w:val="16"/>
                <w:color w:val="auto"/>
              </w:rPr>
              <w:t>Consumer direct</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121,174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122,013</w:t>
            </w:r>
          </w:p>
        </w:tc>
        <w:tc>
          <w:tcPr>
            <w:tcW w:w="2060" w:type="dxa"/>
            <w:vAlign w:val="bottom"/>
            <w:tcBorders>
              <w:bottom w:val="single" w:sz="8" w:color="CCEEFF"/>
            </w:tcBorders>
            <w:shd w:val="clear" w:color="auto" w:fill="CCEEFF"/>
          </w:tcPr>
          <w:p>
            <w:pPr>
              <w:spacing w:after="0"/>
              <w:rPr>
                <w:sz w:val="21"/>
                <w:szCs w:val="21"/>
                <w:color w:val="auto"/>
              </w:rPr>
            </w:pPr>
          </w:p>
        </w:tc>
      </w:tr>
      <w:tr>
        <w:trPr>
          <w:trHeight w:val="237"/>
        </w:trPr>
        <w:tc>
          <w:tcPr>
            <w:tcW w:w="5780" w:type="dxa"/>
            <w:vAlign w:val="bottom"/>
          </w:tcPr>
          <w:p>
            <w:pPr>
              <w:ind w:left="2060"/>
              <w:spacing w:after="0"/>
              <w:rPr>
                <w:sz w:val="20"/>
                <w:szCs w:val="20"/>
                <w:color w:val="auto"/>
              </w:rPr>
            </w:pPr>
            <w:r>
              <w:rPr>
                <w:rFonts w:ascii="Arial" w:cs="Arial" w:eastAsia="Arial" w:hAnsi="Arial"/>
                <w:sz w:val="16"/>
                <w:szCs w:val="16"/>
                <w:color w:val="auto"/>
              </w:rPr>
              <w:t>Indirect auto</w:t>
            </w:r>
          </w:p>
        </w:tc>
        <w:tc>
          <w:tcPr>
            <w:tcW w:w="220" w:type="dxa"/>
            <w:vAlign w:val="bottom"/>
          </w:tcPr>
          <w:p>
            <w:pPr>
              <w:spacing w:after="0"/>
              <w:rPr>
                <w:sz w:val="20"/>
                <w:szCs w:val="20"/>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180,753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207,692</w:t>
            </w:r>
          </w:p>
        </w:tc>
        <w:tc>
          <w:tcPr>
            <w:tcW w:w="2060" w:type="dxa"/>
            <w:vAlign w:val="bottom"/>
          </w:tcPr>
          <w:p>
            <w:pPr>
              <w:spacing w:after="0"/>
              <w:rPr>
                <w:sz w:val="20"/>
                <w:szCs w:val="20"/>
                <w:color w:val="auto"/>
              </w:rPr>
            </w:pPr>
          </w:p>
        </w:tc>
      </w:tr>
      <w:tr>
        <w:trPr>
          <w:trHeight w:val="33"/>
        </w:trPr>
        <w:tc>
          <w:tcPr>
            <w:tcW w:w="5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2300"/>
              <w:spacing w:after="0"/>
              <w:rPr>
                <w:sz w:val="20"/>
                <w:szCs w:val="20"/>
                <w:color w:val="auto"/>
              </w:rPr>
            </w:pPr>
            <w:r>
              <w:rPr>
                <w:rFonts w:ascii="Arial" w:cs="Arial" w:eastAsia="Arial" w:hAnsi="Arial"/>
                <w:sz w:val="16"/>
                <w:szCs w:val="16"/>
                <w:color w:val="auto"/>
              </w:rPr>
              <w:t>Total loans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8,493,254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8,383,401</w:t>
            </w:r>
          </w:p>
        </w:tc>
        <w:tc>
          <w:tcPr>
            <w:tcW w:w="2060" w:type="dxa"/>
            <w:vAlign w:val="bottom"/>
            <w:tcBorders>
              <w:bottom w:val="single" w:sz="8" w:color="CCEEFF"/>
            </w:tcBorders>
            <w:shd w:val="clear" w:color="auto" w:fill="CCEEFF"/>
          </w:tcPr>
          <w:p>
            <w:pPr>
              <w:spacing w:after="0"/>
              <w:rPr>
                <w:sz w:val="21"/>
                <w:szCs w:val="21"/>
                <w:color w:val="auto"/>
              </w:rPr>
            </w:pPr>
          </w:p>
        </w:tc>
      </w:tr>
      <w:tr>
        <w:trPr>
          <w:trHeight w:val="20"/>
        </w:trPr>
        <w:tc>
          <w:tcPr>
            <w:tcW w:w="5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71"/>
        </w:trPr>
        <w:tc>
          <w:tcPr>
            <w:tcW w:w="5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60" w:type="dxa"/>
            <w:vAlign w:val="bottom"/>
          </w:tcPr>
          <w:p>
            <w:pPr>
              <w:spacing w:after="0"/>
              <w:rPr>
                <w:sz w:val="23"/>
                <w:szCs w:val="23"/>
                <w:color w:val="auto"/>
              </w:rPr>
            </w:pPr>
          </w:p>
        </w:tc>
      </w:tr>
      <w:tr>
        <w:trPr>
          <w:trHeight w:val="250"/>
        </w:trPr>
        <w:tc>
          <w:tcPr>
            <w:tcW w:w="5780" w:type="dxa"/>
            <w:vAlign w:val="bottom"/>
            <w:tcBorders>
              <w:bottom w:val="single" w:sz="8" w:color="CCEEFF"/>
            </w:tcBorders>
            <w:shd w:val="clear" w:color="auto" w:fill="CCEEFF"/>
          </w:tcPr>
          <w:p>
            <w:pPr>
              <w:ind w:left="2060"/>
              <w:spacing w:after="0"/>
              <w:rPr>
                <w:sz w:val="20"/>
                <w:szCs w:val="20"/>
                <w:color w:val="auto"/>
              </w:rPr>
            </w:pPr>
            <w:r>
              <w:rPr>
                <w:rFonts w:ascii="Arial" w:cs="Arial" w:eastAsia="Arial" w:hAnsi="Arial"/>
                <w:sz w:val="16"/>
                <w:szCs w:val="16"/>
                <w:color w:val="auto"/>
              </w:rPr>
              <w:t>As a percentage of total loans:</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37"/>
        </w:trPr>
        <w:tc>
          <w:tcPr>
            <w:tcW w:w="5780" w:type="dxa"/>
            <w:vAlign w:val="bottom"/>
          </w:tcPr>
          <w:p>
            <w:pPr>
              <w:ind w:left="2060"/>
              <w:spacing w:after="0"/>
              <w:rPr>
                <w:sz w:val="20"/>
                <w:szCs w:val="20"/>
                <w:color w:val="auto"/>
              </w:rPr>
            </w:pPr>
            <w:r>
              <w:rPr>
                <w:rFonts w:ascii="Arial" w:cs="Arial" w:eastAsia="Arial" w:hAnsi="Arial"/>
                <w:sz w:val="16"/>
                <w:szCs w:val="16"/>
                <w:color w:val="auto"/>
              </w:rPr>
              <w:t>Owner occupied commercial real estate</w:t>
            </w:r>
          </w:p>
        </w:tc>
        <w:tc>
          <w:tcPr>
            <w:tcW w:w="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20%</w:t>
            </w:r>
          </w:p>
        </w:tc>
        <w:tc>
          <w:tcPr>
            <w:tcW w:w="2060" w:type="dxa"/>
            <w:vAlign w:val="bottom"/>
          </w:tcPr>
          <w:p>
            <w:pPr>
              <w:spacing w:after="0"/>
              <w:rPr>
                <w:sz w:val="20"/>
                <w:szCs w:val="20"/>
                <w:color w:val="auto"/>
              </w:rPr>
            </w:pPr>
          </w:p>
        </w:tc>
      </w:tr>
      <w:tr>
        <w:trPr>
          <w:trHeight w:val="33"/>
        </w:trPr>
        <w:tc>
          <w:tcPr>
            <w:tcW w:w="5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060"/>
              <w:spacing w:after="0"/>
              <w:rPr>
                <w:sz w:val="20"/>
                <w:szCs w:val="20"/>
                <w:color w:val="auto"/>
              </w:rPr>
            </w:pPr>
            <w:r>
              <w:rPr>
                <w:rFonts w:ascii="Arial" w:cs="Arial" w:eastAsia="Arial" w:hAnsi="Arial"/>
                <w:sz w:val="16"/>
                <w:szCs w:val="16"/>
                <w:color w:val="auto"/>
              </w:rPr>
              <w:t>Income producing commercial real estate</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w:t>
            </w:r>
          </w:p>
        </w:tc>
        <w:tc>
          <w:tcPr>
            <w:tcW w:w="2060" w:type="dxa"/>
            <w:vAlign w:val="bottom"/>
            <w:tcBorders>
              <w:bottom w:val="single" w:sz="8" w:color="CCEEFF"/>
            </w:tcBorders>
            <w:shd w:val="clear" w:color="auto" w:fill="CCEEFF"/>
          </w:tcPr>
          <w:p>
            <w:pPr>
              <w:spacing w:after="0"/>
              <w:rPr>
                <w:sz w:val="21"/>
                <w:szCs w:val="21"/>
                <w:color w:val="auto"/>
              </w:rPr>
            </w:pPr>
          </w:p>
        </w:tc>
      </w:tr>
      <w:tr>
        <w:trPr>
          <w:trHeight w:val="237"/>
        </w:trPr>
        <w:tc>
          <w:tcPr>
            <w:tcW w:w="5780" w:type="dxa"/>
            <w:vAlign w:val="bottom"/>
          </w:tcPr>
          <w:p>
            <w:pPr>
              <w:ind w:left="2060"/>
              <w:spacing w:after="0"/>
              <w:rPr>
                <w:sz w:val="20"/>
                <w:szCs w:val="20"/>
                <w:color w:val="auto"/>
              </w:rPr>
            </w:pPr>
            <w:r>
              <w:rPr>
                <w:rFonts w:ascii="Arial" w:cs="Arial" w:eastAsia="Arial" w:hAnsi="Arial"/>
                <w:sz w:val="16"/>
                <w:szCs w:val="16"/>
                <w:color w:val="auto"/>
              </w:rPr>
              <w:t>Commercial &amp; industrial</w:t>
            </w:r>
          </w:p>
        </w:tc>
        <w:tc>
          <w:tcPr>
            <w:tcW w:w="220" w:type="dxa"/>
            <w:vAlign w:val="bottom"/>
          </w:tcPr>
          <w:p>
            <w:pPr>
              <w:spacing w:after="0"/>
              <w:rPr>
                <w:sz w:val="20"/>
                <w:szCs w:val="20"/>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15</w:t>
            </w:r>
          </w:p>
        </w:tc>
        <w:tc>
          <w:tcPr>
            <w:tcW w:w="2060" w:type="dxa"/>
            <w:vAlign w:val="bottom"/>
          </w:tcPr>
          <w:p>
            <w:pPr>
              <w:spacing w:after="0"/>
              <w:rPr>
                <w:sz w:val="20"/>
                <w:szCs w:val="20"/>
                <w:color w:val="auto"/>
              </w:rPr>
            </w:pPr>
          </w:p>
        </w:tc>
      </w:tr>
      <w:tr>
        <w:trPr>
          <w:trHeight w:val="33"/>
        </w:trPr>
        <w:tc>
          <w:tcPr>
            <w:tcW w:w="5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060"/>
              <w:spacing w:after="0"/>
              <w:rPr>
                <w:sz w:val="20"/>
                <w:szCs w:val="20"/>
                <w:color w:val="auto"/>
              </w:rPr>
            </w:pPr>
            <w:r>
              <w:rPr>
                <w:rFonts w:ascii="Arial" w:cs="Arial" w:eastAsia="Arial" w:hAnsi="Arial"/>
                <w:sz w:val="16"/>
                <w:szCs w:val="16"/>
                <w:color w:val="auto"/>
              </w:rPr>
              <w:t>Commercial construction</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w:t>
            </w:r>
          </w:p>
        </w:tc>
        <w:tc>
          <w:tcPr>
            <w:tcW w:w="2060" w:type="dxa"/>
            <w:vAlign w:val="bottom"/>
            <w:tcBorders>
              <w:bottom w:val="single" w:sz="8" w:color="CCEEFF"/>
            </w:tcBorders>
            <w:shd w:val="clear" w:color="auto" w:fill="CCEEFF"/>
          </w:tcPr>
          <w:p>
            <w:pPr>
              <w:spacing w:after="0"/>
              <w:rPr>
                <w:sz w:val="21"/>
                <w:szCs w:val="21"/>
                <w:color w:val="auto"/>
              </w:rPr>
            </w:pPr>
          </w:p>
        </w:tc>
      </w:tr>
      <w:tr>
        <w:trPr>
          <w:trHeight w:val="237"/>
        </w:trPr>
        <w:tc>
          <w:tcPr>
            <w:tcW w:w="5780" w:type="dxa"/>
            <w:vAlign w:val="bottom"/>
          </w:tcPr>
          <w:p>
            <w:pPr>
              <w:ind w:left="2060"/>
              <w:spacing w:after="0"/>
              <w:rPr>
                <w:sz w:val="20"/>
                <w:szCs w:val="20"/>
                <w:color w:val="auto"/>
              </w:rPr>
            </w:pPr>
            <w:r>
              <w:rPr>
                <w:rFonts w:ascii="Arial" w:cs="Arial" w:eastAsia="Arial" w:hAnsi="Arial"/>
                <w:sz w:val="16"/>
                <w:szCs w:val="16"/>
                <w:color w:val="auto"/>
              </w:rPr>
              <w:t>Equipment financing</w:t>
            </w:r>
          </w:p>
        </w:tc>
        <w:tc>
          <w:tcPr>
            <w:tcW w:w="220" w:type="dxa"/>
            <w:vAlign w:val="bottom"/>
          </w:tcPr>
          <w:p>
            <w:pPr>
              <w:spacing w:after="0"/>
              <w:rPr>
                <w:sz w:val="20"/>
                <w:szCs w:val="20"/>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7</w:t>
            </w:r>
          </w:p>
        </w:tc>
        <w:tc>
          <w:tcPr>
            <w:tcW w:w="2060" w:type="dxa"/>
            <w:vAlign w:val="bottom"/>
          </w:tcPr>
          <w:p>
            <w:pPr>
              <w:spacing w:after="0"/>
              <w:rPr>
                <w:sz w:val="20"/>
                <w:szCs w:val="20"/>
                <w:color w:val="auto"/>
              </w:rPr>
            </w:pPr>
          </w:p>
        </w:tc>
      </w:tr>
      <w:tr>
        <w:trPr>
          <w:trHeight w:val="33"/>
        </w:trPr>
        <w:tc>
          <w:tcPr>
            <w:tcW w:w="5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r>
      <w:tr>
        <w:trPr>
          <w:trHeight w:val="230"/>
        </w:trPr>
        <w:tc>
          <w:tcPr>
            <w:tcW w:w="5780" w:type="dxa"/>
            <w:vAlign w:val="bottom"/>
            <w:tcBorders>
              <w:bottom w:val="single" w:sz="8" w:color="CCEEFF"/>
            </w:tcBorders>
            <w:shd w:val="clear" w:color="auto" w:fill="CCEEFF"/>
          </w:tcPr>
          <w:p>
            <w:pPr>
              <w:ind w:left="2300"/>
              <w:spacing w:after="0"/>
              <w:rPr>
                <w:sz w:val="20"/>
                <w:szCs w:val="20"/>
                <w:color w:val="auto"/>
              </w:rPr>
            </w:pPr>
            <w:r>
              <w:rPr>
                <w:rFonts w:ascii="Arial" w:cs="Arial" w:eastAsia="Arial" w:hAnsi="Arial"/>
                <w:sz w:val="16"/>
                <w:szCs w:val="16"/>
                <w:color w:val="auto"/>
              </w:rPr>
              <w:t>Total commercial</w:t>
            </w:r>
          </w:p>
        </w:tc>
        <w:tc>
          <w:tcPr>
            <w:tcW w:w="2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73</w:t>
            </w:r>
          </w:p>
        </w:tc>
        <w:tc>
          <w:tcPr>
            <w:tcW w:w="2060" w:type="dxa"/>
            <w:vAlign w:val="bottom"/>
            <w:tcBorders>
              <w:bottom w:val="single" w:sz="8" w:color="CCEEFF"/>
            </w:tcBorders>
            <w:shd w:val="clear" w:color="auto" w:fill="CCEEFF"/>
          </w:tcPr>
          <w:p>
            <w:pPr>
              <w:spacing w:after="0"/>
              <w:rPr>
                <w:sz w:val="20"/>
                <w:szCs w:val="20"/>
                <w:color w:val="auto"/>
              </w:rPr>
            </w:pPr>
          </w:p>
        </w:tc>
      </w:tr>
      <w:tr>
        <w:trPr>
          <w:trHeight w:val="237"/>
        </w:trPr>
        <w:tc>
          <w:tcPr>
            <w:tcW w:w="5780" w:type="dxa"/>
            <w:vAlign w:val="bottom"/>
          </w:tcPr>
          <w:p>
            <w:pPr>
              <w:ind w:left="2060"/>
              <w:spacing w:after="0"/>
              <w:rPr>
                <w:sz w:val="20"/>
                <w:szCs w:val="20"/>
                <w:color w:val="auto"/>
              </w:rPr>
            </w:pPr>
            <w:r>
              <w:rPr>
                <w:rFonts w:ascii="Arial" w:cs="Arial" w:eastAsia="Arial" w:hAnsi="Arial"/>
                <w:sz w:val="16"/>
                <w:szCs w:val="16"/>
                <w:color w:val="auto"/>
              </w:rPr>
              <w:t>Residential mortgage</w:t>
            </w:r>
          </w:p>
        </w:tc>
        <w:tc>
          <w:tcPr>
            <w:tcW w:w="220" w:type="dxa"/>
            <w:vAlign w:val="bottom"/>
          </w:tcPr>
          <w:p>
            <w:pPr>
              <w:spacing w:after="0"/>
              <w:rPr>
                <w:sz w:val="20"/>
                <w:szCs w:val="20"/>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13</w:t>
            </w:r>
          </w:p>
        </w:tc>
        <w:tc>
          <w:tcPr>
            <w:tcW w:w="2060" w:type="dxa"/>
            <w:vAlign w:val="bottom"/>
          </w:tcPr>
          <w:p>
            <w:pPr>
              <w:spacing w:after="0"/>
              <w:rPr>
                <w:sz w:val="20"/>
                <w:szCs w:val="20"/>
                <w:color w:val="auto"/>
              </w:rPr>
            </w:pPr>
          </w:p>
        </w:tc>
      </w:tr>
      <w:tr>
        <w:trPr>
          <w:trHeight w:val="33"/>
        </w:trPr>
        <w:tc>
          <w:tcPr>
            <w:tcW w:w="5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060"/>
              <w:spacing w:after="0"/>
              <w:rPr>
                <w:sz w:val="20"/>
                <w:szCs w:val="20"/>
                <w:color w:val="auto"/>
              </w:rPr>
            </w:pPr>
            <w:r>
              <w:rPr>
                <w:rFonts w:ascii="Arial" w:cs="Arial" w:eastAsia="Arial" w:hAnsi="Arial"/>
                <w:sz w:val="16"/>
                <w:szCs w:val="16"/>
                <w:color w:val="auto"/>
              </w:rPr>
              <w:t>Home equity lines of credit</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w:t>
            </w:r>
          </w:p>
        </w:tc>
        <w:tc>
          <w:tcPr>
            <w:tcW w:w="2060" w:type="dxa"/>
            <w:vAlign w:val="bottom"/>
            <w:tcBorders>
              <w:bottom w:val="single" w:sz="8" w:color="CCEEFF"/>
            </w:tcBorders>
            <w:shd w:val="clear" w:color="auto" w:fill="CCEEFF"/>
          </w:tcPr>
          <w:p>
            <w:pPr>
              <w:spacing w:after="0"/>
              <w:rPr>
                <w:sz w:val="21"/>
                <w:szCs w:val="21"/>
                <w:color w:val="auto"/>
              </w:rPr>
            </w:pPr>
          </w:p>
        </w:tc>
      </w:tr>
      <w:tr>
        <w:trPr>
          <w:trHeight w:val="237"/>
        </w:trPr>
        <w:tc>
          <w:tcPr>
            <w:tcW w:w="5780" w:type="dxa"/>
            <w:vAlign w:val="bottom"/>
          </w:tcPr>
          <w:p>
            <w:pPr>
              <w:ind w:left="2060"/>
              <w:spacing w:after="0"/>
              <w:rPr>
                <w:sz w:val="20"/>
                <w:szCs w:val="20"/>
                <w:color w:val="auto"/>
              </w:rPr>
            </w:pPr>
            <w:r>
              <w:rPr>
                <w:rFonts w:ascii="Arial" w:cs="Arial" w:eastAsia="Arial" w:hAnsi="Arial"/>
                <w:sz w:val="16"/>
                <w:szCs w:val="16"/>
                <w:color w:val="auto"/>
              </w:rPr>
              <w:t>Residential construction</w:t>
            </w:r>
          </w:p>
        </w:tc>
        <w:tc>
          <w:tcPr>
            <w:tcW w:w="220" w:type="dxa"/>
            <w:vAlign w:val="bottom"/>
          </w:tcPr>
          <w:p>
            <w:pPr>
              <w:spacing w:after="0"/>
              <w:rPr>
                <w:sz w:val="20"/>
                <w:szCs w:val="20"/>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2060" w:type="dxa"/>
            <w:vAlign w:val="bottom"/>
          </w:tcPr>
          <w:p>
            <w:pPr>
              <w:spacing w:after="0"/>
              <w:rPr>
                <w:sz w:val="20"/>
                <w:szCs w:val="20"/>
                <w:color w:val="auto"/>
              </w:rPr>
            </w:pPr>
          </w:p>
        </w:tc>
      </w:tr>
      <w:tr>
        <w:trPr>
          <w:trHeight w:val="33"/>
        </w:trPr>
        <w:tc>
          <w:tcPr>
            <w:tcW w:w="5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060"/>
              <w:spacing w:after="0"/>
              <w:rPr>
                <w:sz w:val="20"/>
                <w:szCs w:val="20"/>
                <w:color w:val="auto"/>
              </w:rPr>
            </w:pPr>
            <w:r>
              <w:rPr>
                <w:rFonts w:ascii="Arial" w:cs="Arial" w:eastAsia="Arial" w:hAnsi="Arial"/>
                <w:sz w:val="16"/>
                <w:szCs w:val="16"/>
                <w:color w:val="auto"/>
              </w:rPr>
              <w:t>Consumer direct</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2060" w:type="dxa"/>
            <w:vAlign w:val="bottom"/>
            <w:tcBorders>
              <w:bottom w:val="single" w:sz="8" w:color="CCEEFF"/>
            </w:tcBorders>
            <w:shd w:val="clear" w:color="auto" w:fill="CCEEFF"/>
          </w:tcPr>
          <w:p>
            <w:pPr>
              <w:spacing w:after="0"/>
              <w:rPr>
                <w:sz w:val="21"/>
                <w:szCs w:val="21"/>
                <w:color w:val="auto"/>
              </w:rPr>
            </w:pPr>
          </w:p>
        </w:tc>
      </w:tr>
      <w:tr>
        <w:trPr>
          <w:trHeight w:val="237"/>
        </w:trPr>
        <w:tc>
          <w:tcPr>
            <w:tcW w:w="5780" w:type="dxa"/>
            <w:vAlign w:val="bottom"/>
          </w:tcPr>
          <w:p>
            <w:pPr>
              <w:ind w:left="2060"/>
              <w:spacing w:after="0"/>
              <w:rPr>
                <w:sz w:val="20"/>
                <w:szCs w:val="20"/>
                <w:color w:val="auto"/>
              </w:rPr>
            </w:pPr>
            <w:r>
              <w:rPr>
                <w:rFonts w:ascii="Arial" w:cs="Arial" w:eastAsia="Arial" w:hAnsi="Arial"/>
                <w:sz w:val="16"/>
                <w:szCs w:val="16"/>
                <w:color w:val="auto"/>
              </w:rPr>
              <w:t>Indirect auto</w:t>
            </w:r>
          </w:p>
        </w:tc>
        <w:tc>
          <w:tcPr>
            <w:tcW w:w="220" w:type="dxa"/>
            <w:vAlign w:val="bottom"/>
          </w:tcPr>
          <w:p>
            <w:pPr>
              <w:spacing w:after="0"/>
              <w:rPr>
                <w:sz w:val="20"/>
                <w:szCs w:val="20"/>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2060" w:type="dxa"/>
            <w:vAlign w:val="bottom"/>
          </w:tcPr>
          <w:p>
            <w:pPr>
              <w:spacing w:after="0"/>
              <w:rPr>
                <w:sz w:val="20"/>
                <w:szCs w:val="20"/>
                <w:color w:val="auto"/>
              </w:rPr>
            </w:pPr>
          </w:p>
        </w:tc>
      </w:tr>
      <w:tr>
        <w:trPr>
          <w:trHeight w:val="33"/>
        </w:trPr>
        <w:tc>
          <w:tcPr>
            <w:tcW w:w="5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230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060" w:type="dxa"/>
            <w:vAlign w:val="bottom"/>
            <w:tcBorders>
              <w:bottom w:val="single" w:sz="8" w:color="CCEEFF"/>
            </w:tcBorders>
            <w:shd w:val="clear" w:color="auto" w:fill="CCEEFF"/>
          </w:tcPr>
          <w:p>
            <w:pPr>
              <w:spacing w:after="0"/>
              <w:rPr>
                <w:sz w:val="21"/>
                <w:szCs w:val="21"/>
                <w:color w:val="auto"/>
              </w:rPr>
            </w:pPr>
          </w:p>
        </w:tc>
      </w:tr>
      <w:tr>
        <w:trPr>
          <w:trHeight w:val="20"/>
        </w:trPr>
        <w:tc>
          <w:tcPr>
            <w:tcW w:w="5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71"/>
        </w:trPr>
        <w:tc>
          <w:tcPr>
            <w:tcW w:w="5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60" w:type="dxa"/>
            <w:vAlign w:val="bottom"/>
          </w:tcPr>
          <w:p>
            <w:pPr>
              <w:spacing w:after="0"/>
              <w:rPr>
                <w:sz w:val="23"/>
                <w:szCs w:val="23"/>
                <w:color w:val="auto"/>
              </w:rPr>
            </w:pPr>
          </w:p>
        </w:tc>
      </w:tr>
      <w:tr>
        <w:trPr>
          <w:trHeight w:val="250"/>
        </w:trPr>
        <w:tc>
          <w:tcPr>
            <w:tcW w:w="5780" w:type="dxa"/>
            <w:vAlign w:val="bottom"/>
            <w:tcBorders>
              <w:bottom w:val="single" w:sz="8" w:color="CCEEFF"/>
            </w:tcBorders>
            <w:shd w:val="clear" w:color="auto" w:fill="CCEEFF"/>
          </w:tcPr>
          <w:p>
            <w:pPr>
              <w:ind w:left="2060"/>
              <w:spacing w:after="0"/>
              <w:rPr>
                <w:sz w:val="20"/>
                <w:szCs w:val="20"/>
                <w:color w:val="auto"/>
              </w:rPr>
            </w:pPr>
            <w:r>
              <w:rPr>
                <w:rFonts w:ascii="Arial" w:cs="Arial" w:eastAsia="Arial" w:hAnsi="Arial"/>
                <w:sz w:val="16"/>
                <w:szCs w:val="16"/>
                <w:b w:val="1"/>
                <w:bCs w:val="1"/>
                <w:color w:val="auto"/>
              </w:rPr>
              <w:t>By Geographic Location</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37"/>
        </w:trPr>
        <w:tc>
          <w:tcPr>
            <w:tcW w:w="5780" w:type="dxa"/>
            <w:vAlign w:val="bottom"/>
          </w:tcPr>
          <w:p>
            <w:pPr>
              <w:ind w:left="2060"/>
              <w:spacing w:after="0"/>
              <w:rPr>
                <w:sz w:val="20"/>
                <w:szCs w:val="20"/>
                <w:color w:val="auto"/>
              </w:rPr>
            </w:pPr>
            <w:r>
              <w:rPr>
                <w:rFonts w:ascii="Arial" w:cs="Arial" w:eastAsia="Arial" w:hAnsi="Arial"/>
                <w:sz w:val="16"/>
                <w:szCs w:val="16"/>
                <w:color w:val="auto"/>
              </w:rPr>
              <w:t>North Georgia</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970,072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980,968</w:t>
            </w:r>
          </w:p>
        </w:tc>
        <w:tc>
          <w:tcPr>
            <w:tcW w:w="2060" w:type="dxa"/>
            <w:vAlign w:val="bottom"/>
          </w:tcPr>
          <w:p>
            <w:pPr>
              <w:spacing w:after="0"/>
              <w:rPr>
                <w:sz w:val="20"/>
                <w:szCs w:val="20"/>
                <w:color w:val="auto"/>
              </w:rPr>
            </w:pPr>
          </w:p>
        </w:tc>
      </w:tr>
      <w:tr>
        <w:trPr>
          <w:trHeight w:val="33"/>
        </w:trPr>
        <w:tc>
          <w:tcPr>
            <w:tcW w:w="5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060"/>
              <w:spacing w:after="0"/>
              <w:rPr>
                <w:sz w:val="20"/>
                <w:szCs w:val="20"/>
                <w:color w:val="auto"/>
              </w:rPr>
            </w:pPr>
            <w:r>
              <w:rPr>
                <w:rFonts w:ascii="Arial" w:cs="Arial" w:eastAsia="Arial" w:hAnsi="Arial"/>
                <w:sz w:val="16"/>
                <w:szCs w:val="16"/>
                <w:color w:val="auto"/>
              </w:rPr>
              <w:t>Atlanta MSA</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1,523,406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1,506,990</w:t>
            </w:r>
          </w:p>
        </w:tc>
        <w:tc>
          <w:tcPr>
            <w:tcW w:w="2060" w:type="dxa"/>
            <w:vAlign w:val="bottom"/>
            <w:tcBorders>
              <w:bottom w:val="single" w:sz="8" w:color="CCEEFF"/>
            </w:tcBorders>
            <w:shd w:val="clear" w:color="auto" w:fill="CCEEFF"/>
          </w:tcPr>
          <w:p>
            <w:pPr>
              <w:spacing w:after="0"/>
              <w:rPr>
                <w:sz w:val="21"/>
                <w:szCs w:val="21"/>
                <w:color w:val="auto"/>
              </w:rPr>
            </w:pPr>
          </w:p>
        </w:tc>
      </w:tr>
      <w:tr>
        <w:trPr>
          <w:trHeight w:val="237"/>
        </w:trPr>
        <w:tc>
          <w:tcPr>
            <w:tcW w:w="5780" w:type="dxa"/>
            <w:vAlign w:val="bottom"/>
          </w:tcPr>
          <w:p>
            <w:pPr>
              <w:ind w:left="2060"/>
              <w:spacing w:after="0"/>
              <w:rPr>
                <w:sz w:val="20"/>
                <w:szCs w:val="20"/>
                <w:color w:val="auto"/>
              </w:rPr>
            </w:pPr>
            <w:r>
              <w:rPr>
                <w:rFonts w:ascii="Arial" w:cs="Arial" w:eastAsia="Arial" w:hAnsi="Arial"/>
                <w:sz w:val="16"/>
                <w:szCs w:val="16"/>
                <w:color w:val="auto"/>
              </w:rPr>
              <w:t>North Carolina</w:t>
            </w:r>
          </w:p>
        </w:tc>
        <w:tc>
          <w:tcPr>
            <w:tcW w:w="220" w:type="dxa"/>
            <w:vAlign w:val="bottom"/>
          </w:tcPr>
          <w:p>
            <w:pPr>
              <w:spacing w:after="0"/>
              <w:rPr>
                <w:sz w:val="20"/>
                <w:szCs w:val="20"/>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1,074,024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1,071,790</w:t>
            </w:r>
          </w:p>
        </w:tc>
        <w:tc>
          <w:tcPr>
            <w:tcW w:w="2060" w:type="dxa"/>
            <w:vAlign w:val="bottom"/>
          </w:tcPr>
          <w:p>
            <w:pPr>
              <w:spacing w:after="0"/>
              <w:rPr>
                <w:sz w:val="20"/>
                <w:szCs w:val="20"/>
                <w:color w:val="auto"/>
              </w:rPr>
            </w:pPr>
          </w:p>
        </w:tc>
      </w:tr>
      <w:tr>
        <w:trPr>
          <w:trHeight w:val="33"/>
        </w:trPr>
        <w:tc>
          <w:tcPr>
            <w:tcW w:w="5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060"/>
              <w:spacing w:after="0"/>
              <w:rPr>
                <w:sz w:val="20"/>
                <w:szCs w:val="20"/>
                <w:color w:val="auto"/>
              </w:rPr>
            </w:pPr>
            <w:r>
              <w:rPr>
                <w:rFonts w:ascii="Arial" w:cs="Arial" w:eastAsia="Arial" w:hAnsi="Arial"/>
                <w:sz w:val="16"/>
                <w:szCs w:val="16"/>
                <w:color w:val="auto"/>
              </w:rPr>
              <w:t>Coastal Georgia</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603,385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587,988</w:t>
            </w:r>
          </w:p>
        </w:tc>
        <w:tc>
          <w:tcPr>
            <w:tcW w:w="2060" w:type="dxa"/>
            <w:vAlign w:val="bottom"/>
            <w:tcBorders>
              <w:bottom w:val="single" w:sz="8" w:color="CCEEFF"/>
            </w:tcBorders>
            <w:shd w:val="clear" w:color="auto" w:fill="CCEEFF"/>
          </w:tcPr>
          <w:p>
            <w:pPr>
              <w:spacing w:after="0"/>
              <w:rPr>
                <w:sz w:val="21"/>
                <w:szCs w:val="21"/>
                <w:color w:val="auto"/>
              </w:rPr>
            </w:pPr>
          </w:p>
        </w:tc>
      </w:tr>
      <w:tr>
        <w:trPr>
          <w:trHeight w:val="237"/>
        </w:trPr>
        <w:tc>
          <w:tcPr>
            <w:tcW w:w="5780" w:type="dxa"/>
            <w:vAlign w:val="bottom"/>
          </w:tcPr>
          <w:p>
            <w:pPr>
              <w:ind w:left="2060"/>
              <w:spacing w:after="0"/>
              <w:rPr>
                <w:sz w:val="20"/>
                <w:szCs w:val="20"/>
                <w:color w:val="auto"/>
              </w:rPr>
            </w:pPr>
            <w:r>
              <w:rPr>
                <w:rFonts w:ascii="Arial" w:cs="Arial" w:eastAsia="Arial" w:hAnsi="Arial"/>
                <w:sz w:val="16"/>
                <w:szCs w:val="16"/>
                <w:color w:val="auto"/>
              </w:rPr>
              <w:t>Gainesville MSA</w:t>
            </w:r>
          </w:p>
        </w:tc>
        <w:tc>
          <w:tcPr>
            <w:tcW w:w="220" w:type="dxa"/>
            <w:vAlign w:val="bottom"/>
          </w:tcPr>
          <w:p>
            <w:pPr>
              <w:spacing w:after="0"/>
              <w:rPr>
                <w:sz w:val="20"/>
                <w:szCs w:val="20"/>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242,984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246,715</w:t>
            </w:r>
          </w:p>
        </w:tc>
        <w:tc>
          <w:tcPr>
            <w:tcW w:w="2060" w:type="dxa"/>
            <w:vAlign w:val="bottom"/>
          </w:tcPr>
          <w:p>
            <w:pPr>
              <w:spacing w:after="0"/>
              <w:rPr>
                <w:sz w:val="20"/>
                <w:szCs w:val="20"/>
                <w:color w:val="auto"/>
              </w:rPr>
            </w:pPr>
          </w:p>
        </w:tc>
      </w:tr>
      <w:tr>
        <w:trPr>
          <w:trHeight w:val="33"/>
        </w:trPr>
        <w:tc>
          <w:tcPr>
            <w:tcW w:w="5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060"/>
              <w:spacing w:after="0"/>
              <w:rPr>
                <w:sz w:val="20"/>
                <w:szCs w:val="20"/>
                <w:color w:val="auto"/>
              </w:rPr>
            </w:pPr>
            <w:r>
              <w:rPr>
                <w:rFonts w:ascii="Arial" w:cs="Arial" w:eastAsia="Arial" w:hAnsi="Arial"/>
                <w:sz w:val="16"/>
                <w:szCs w:val="16"/>
                <w:color w:val="auto"/>
              </w:rPr>
              <w:t>East Tennessee</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458,349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477,403</w:t>
            </w:r>
          </w:p>
        </w:tc>
        <w:tc>
          <w:tcPr>
            <w:tcW w:w="2060" w:type="dxa"/>
            <w:vAlign w:val="bottom"/>
            <w:tcBorders>
              <w:bottom w:val="single" w:sz="8" w:color="CCEEFF"/>
            </w:tcBorders>
            <w:shd w:val="clear" w:color="auto" w:fill="CCEEFF"/>
          </w:tcPr>
          <w:p>
            <w:pPr>
              <w:spacing w:after="0"/>
              <w:rPr>
                <w:sz w:val="21"/>
                <w:szCs w:val="21"/>
                <w:color w:val="auto"/>
              </w:rPr>
            </w:pPr>
          </w:p>
        </w:tc>
      </w:tr>
      <w:tr>
        <w:trPr>
          <w:trHeight w:val="237"/>
        </w:trPr>
        <w:tc>
          <w:tcPr>
            <w:tcW w:w="5780" w:type="dxa"/>
            <w:vAlign w:val="bottom"/>
          </w:tcPr>
          <w:p>
            <w:pPr>
              <w:ind w:left="2060"/>
              <w:spacing w:after="0"/>
              <w:rPr>
                <w:sz w:val="20"/>
                <w:szCs w:val="20"/>
                <w:color w:val="auto"/>
              </w:rPr>
            </w:pPr>
            <w:r>
              <w:rPr>
                <w:rFonts w:ascii="Arial" w:cs="Arial" w:eastAsia="Arial" w:hAnsi="Arial"/>
                <w:sz w:val="16"/>
                <w:szCs w:val="16"/>
                <w:color w:val="auto"/>
              </w:rPr>
              <w:t>South Carolina</w:t>
            </w:r>
          </w:p>
        </w:tc>
        <w:tc>
          <w:tcPr>
            <w:tcW w:w="220" w:type="dxa"/>
            <w:vAlign w:val="bottom"/>
          </w:tcPr>
          <w:p>
            <w:pPr>
              <w:spacing w:after="0"/>
              <w:rPr>
                <w:sz w:val="20"/>
                <w:szCs w:val="20"/>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1,674,012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1,645,567</w:t>
            </w:r>
          </w:p>
        </w:tc>
        <w:tc>
          <w:tcPr>
            <w:tcW w:w="2060" w:type="dxa"/>
            <w:vAlign w:val="bottom"/>
          </w:tcPr>
          <w:p>
            <w:pPr>
              <w:spacing w:after="0"/>
              <w:rPr>
                <w:sz w:val="20"/>
                <w:szCs w:val="20"/>
                <w:color w:val="auto"/>
              </w:rPr>
            </w:pPr>
          </w:p>
        </w:tc>
      </w:tr>
      <w:tr>
        <w:trPr>
          <w:trHeight w:val="33"/>
        </w:trPr>
        <w:tc>
          <w:tcPr>
            <w:tcW w:w="5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060"/>
              <w:spacing w:after="0"/>
              <w:rPr>
                <w:sz w:val="20"/>
                <w:szCs w:val="20"/>
                <w:color w:val="auto"/>
              </w:rPr>
            </w:pPr>
            <w:r>
              <w:rPr>
                <w:rFonts w:ascii="Arial" w:cs="Arial" w:eastAsia="Arial" w:hAnsi="Arial"/>
                <w:sz w:val="16"/>
                <w:szCs w:val="16"/>
                <w:color w:val="auto"/>
              </w:rPr>
              <w:t>Commercial Banking Solutions</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1,766,269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1,658,288</w:t>
            </w:r>
          </w:p>
        </w:tc>
        <w:tc>
          <w:tcPr>
            <w:tcW w:w="2060" w:type="dxa"/>
            <w:vAlign w:val="bottom"/>
            <w:tcBorders>
              <w:bottom w:val="single" w:sz="8" w:color="CCEEFF"/>
            </w:tcBorders>
            <w:shd w:val="clear" w:color="auto" w:fill="CCEEFF"/>
          </w:tcPr>
          <w:p>
            <w:pPr>
              <w:spacing w:after="0"/>
              <w:rPr>
                <w:sz w:val="21"/>
                <w:szCs w:val="21"/>
                <w:color w:val="auto"/>
              </w:rPr>
            </w:pPr>
          </w:p>
        </w:tc>
      </w:tr>
      <w:tr>
        <w:trPr>
          <w:trHeight w:val="237"/>
        </w:trPr>
        <w:tc>
          <w:tcPr>
            <w:tcW w:w="5780" w:type="dxa"/>
            <w:vAlign w:val="bottom"/>
          </w:tcPr>
          <w:p>
            <w:pPr>
              <w:ind w:left="2060"/>
              <w:spacing w:after="0"/>
              <w:rPr>
                <w:sz w:val="20"/>
                <w:szCs w:val="20"/>
                <w:color w:val="auto"/>
              </w:rPr>
            </w:pPr>
            <w:r>
              <w:rPr>
                <w:rFonts w:ascii="Arial" w:cs="Arial" w:eastAsia="Arial" w:hAnsi="Arial"/>
                <w:sz w:val="16"/>
                <w:szCs w:val="16"/>
                <w:color w:val="auto"/>
              </w:rPr>
              <w:t>Indirect auto</w:t>
            </w:r>
          </w:p>
        </w:tc>
        <w:tc>
          <w:tcPr>
            <w:tcW w:w="220" w:type="dxa"/>
            <w:vAlign w:val="bottom"/>
          </w:tcPr>
          <w:p>
            <w:pPr>
              <w:spacing w:after="0"/>
              <w:rPr>
                <w:sz w:val="20"/>
                <w:szCs w:val="20"/>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180,753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207,692</w:t>
            </w:r>
          </w:p>
        </w:tc>
        <w:tc>
          <w:tcPr>
            <w:tcW w:w="2060" w:type="dxa"/>
            <w:vAlign w:val="bottom"/>
          </w:tcPr>
          <w:p>
            <w:pPr>
              <w:spacing w:after="0"/>
              <w:rPr>
                <w:sz w:val="20"/>
                <w:szCs w:val="20"/>
                <w:color w:val="auto"/>
              </w:rPr>
            </w:pPr>
          </w:p>
        </w:tc>
      </w:tr>
      <w:tr>
        <w:trPr>
          <w:trHeight w:val="33"/>
        </w:trPr>
        <w:tc>
          <w:tcPr>
            <w:tcW w:w="5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2300"/>
              <w:spacing w:after="0"/>
              <w:rPr>
                <w:sz w:val="20"/>
                <w:szCs w:val="20"/>
                <w:color w:val="auto"/>
              </w:rPr>
            </w:pPr>
            <w:r>
              <w:rPr>
                <w:rFonts w:ascii="Arial" w:cs="Arial" w:eastAsia="Arial" w:hAnsi="Arial"/>
                <w:sz w:val="16"/>
                <w:szCs w:val="16"/>
                <w:color w:val="auto"/>
              </w:rPr>
              <w:t>Total loans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8,493,254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8,383,401</w:t>
            </w:r>
          </w:p>
        </w:tc>
        <w:tc>
          <w:tcPr>
            <w:tcW w:w="2060" w:type="dxa"/>
            <w:vAlign w:val="bottom"/>
            <w:tcBorders>
              <w:bottom w:val="single" w:sz="8" w:color="CCEEFF"/>
            </w:tcBorders>
            <w:shd w:val="clear" w:color="auto" w:fill="CCEEFF"/>
          </w:tcPr>
          <w:p>
            <w:pPr>
              <w:spacing w:after="0"/>
              <w:rPr>
                <w:sz w:val="21"/>
                <w:szCs w:val="21"/>
                <w:color w:val="auto"/>
              </w:rPr>
            </w:pPr>
          </w:p>
        </w:tc>
      </w:tr>
      <w:tr>
        <w:trPr>
          <w:trHeight w:val="20"/>
        </w:trPr>
        <w:tc>
          <w:tcPr>
            <w:tcW w:w="5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Substantially all of United’s loans are to customers located in the immediate market areas of its community banks in Georgia, South Carolina, North Carolina and Tennessee, including customers who have a seasonal residence in United’s market areas, or are generated by the Commercial Banking Solutions division that focuses on specific commercial loan businesses, such as equipment financing and SBA and franchise lending. Approximately 74% of United’s loans are secured by real estate. Total loans averaged $8.43 billion in the first quarter of 2019, compared with $7.99 billion in the first quarter of 2018, an increase of 5% due to organic growth and the inclusion of Navitas loans for the entire first quarter of 2019.</w:t>
      </w:r>
    </w:p>
    <w:p>
      <w:pPr>
        <w:sectPr>
          <w:pgSz w:w="11900" w:h="16838" w:orient="portrait"/>
          <w:cols w:equalWidth="0" w:num="1">
            <w:col w:w="11420"/>
          </w:cols>
          <w:pgMar w:left="240" w:top="800" w:right="2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800" w:right="239" w:bottom="1440" w:gutter="0" w:footer="0" w:header="0"/>
          <w:type w:val="continuous"/>
        </w:sectPr>
      </w:pPr>
    </w:p>
    <w:bookmarkStart w:id="54" w:name="page55"/>
    <w:bookmarkEnd w:id="54"/>
    <w:p>
      <w:pPr>
        <w:jc w:val="both"/>
        <w:spacing w:after="0" w:line="259" w:lineRule="auto"/>
        <w:rPr>
          <w:sz w:val="20"/>
          <w:szCs w:val="20"/>
          <w:color w:val="auto"/>
        </w:rPr>
      </w:pPr>
      <w:r>
        <w:rPr>
          <w:rFonts w:ascii="Arial" w:cs="Arial" w:eastAsia="Arial" w:hAnsi="Arial"/>
          <w:sz w:val="18"/>
          <w:szCs w:val="18"/>
          <w:color w:val="auto"/>
        </w:rPr>
        <w:t>United’s home equity lines generally require the payment of interest only for a set period after origination. After this initial period, the outstanding balance begins amortizing and requires the payment of both principal and interest. At March 31, 2019 and December 31, 2018, the funded portion of home equity lines totaled $684 million and $694 million, respectively. Of the $684 million in balances outstanding at March 31, 2019, $405 million, or 59%, were secured by first liens. At March 31, 2019, 52% of the total available home equity lines were drawn upon.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monitors the performance of its home equity loans and lines secured by second liens similar to other consumer loans and utilizes assumptions specific to these loans in determining the necessary allowance. United also receives notification when the first lien holder is in the process of foreclosure and upon that notification, management reviews current valuations to determine if any charge-offs are warranted and whether it is in United’s best interest to pay off the first lien creditor.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Quality and Risk Elements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United manages asset quality and controls credit risk through review and oversight of the loan portfolio as well as adherence to policies designed to promote sound underwriting and loan monitoring practices. United’s credit administration function is responsible for monitoring asset quality and Board of Directors approved portfolio limits, establishing credit policies and procedures and enforcing the consistent application of these policies and procedures among all lending units. Additional information on the credit administration function is included in Item 1 under the heading </w:t>
      </w:r>
      <w:r>
        <w:rPr>
          <w:rFonts w:ascii="Arial" w:cs="Arial" w:eastAsia="Arial" w:hAnsi="Arial"/>
          <w:sz w:val="18"/>
          <w:szCs w:val="18"/>
          <w:i w:val="1"/>
          <w:iCs w:val="1"/>
          <w:color w:val="auto"/>
        </w:rPr>
        <w:t>Lending Activities</w:t>
      </w:r>
      <w:r>
        <w:rPr>
          <w:rFonts w:ascii="Arial" w:cs="Arial" w:eastAsia="Arial" w:hAnsi="Arial"/>
          <w:sz w:val="18"/>
          <w:szCs w:val="18"/>
          <w:color w:val="auto"/>
        </w:rPr>
        <w:t xml:space="preserve"> in United’s Annual Report on Form 10-K for the year ended December 31, 2018.</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classifies commercial performing loans as “substandard” when there is a well-defined weakness or weaknesses that jeopardizes the repayment by the borrower and there is a distinct possibility that United could sustain some loss if the deficiency is not corrected. United classifies consumer performing loans as “substandard” when the loan is in bankruptcy.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performing classified loans for the last five quarters.</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Table 7 - Performing Classified Loans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7"/>
                <w:szCs w:val="17"/>
                <w:color w:val="auto"/>
              </w:rPr>
            </w:pPr>
          </w:p>
        </w:tc>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5040" w:type="dxa"/>
            <w:vAlign w:val="bottom"/>
          </w:tcPr>
          <w:p>
            <w:pPr>
              <w:spacing w:after="0"/>
              <w:rPr>
                <w:sz w:val="18"/>
                <w:szCs w:val="18"/>
                <w:color w:val="auto"/>
              </w:rPr>
            </w:pPr>
          </w:p>
        </w:tc>
        <w:tc>
          <w:tcPr>
            <w:tcW w:w="1280" w:type="dxa"/>
            <w:vAlign w:val="bottom"/>
            <w:gridSpan w:val="3"/>
          </w:tcPr>
          <w:p>
            <w:pPr>
              <w:ind w:left="40"/>
              <w:spacing w:after="0"/>
              <w:rPr>
                <w:sz w:val="20"/>
                <w:szCs w:val="20"/>
                <w:color w:val="auto"/>
              </w:rPr>
            </w:pPr>
            <w:r>
              <w:rPr>
                <w:rFonts w:ascii="Arial" w:cs="Arial" w:eastAsia="Arial" w:hAnsi="Arial"/>
                <w:sz w:val="16"/>
                <w:szCs w:val="16"/>
                <w:b w:val="1"/>
                <w:bCs w:val="1"/>
                <w:color w:val="auto"/>
              </w:rPr>
              <w:t>March 31, 2019</w:t>
            </w:r>
          </w:p>
        </w:tc>
        <w:tc>
          <w:tcPr>
            <w:tcW w:w="140" w:type="dxa"/>
            <w:vAlign w:val="bottom"/>
          </w:tcPr>
          <w:p>
            <w:pPr>
              <w:spacing w:after="0"/>
              <w:rPr>
                <w:sz w:val="18"/>
                <w:szCs w:val="18"/>
                <w:color w:val="auto"/>
              </w:rPr>
            </w:pPr>
          </w:p>
        </w:tc>
        <w:tc>
          <w:tcPr>
            <w:tcW w:w="1140" w:type="dxa"/>
            <w:vAlign w:val="bottom"/>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220" w:type="dxa"/>
            <w:vAlign w:val="bottom"/>
            <w:gridSpan w:val="3"/>
          </w:tcPr>
          <w:p>
            <w:pPr>
              <w:ind w:left="80"/>
              <w:spacing w:after="0"/>
              <w:rPr>
                <w:sz w:val="20"/>
                <w:szCs w:val="20"/>
                <w:color w:val="auto"/>
              </w:rPr>
            </w:pPr>
            <w:r>
              <w:rPr>
                <w:rFonts w:ascii="Arial" w:cs="Arial" w:eastAsia="Arial" w:hAnsi="Arial"/>
                <w:sz w:val="16"/>
                <w:szCs w:val="16"/>
                <w:b w:val="1"/>
                <w:bCs w:val="1"/>
                <w:color w:val="auto"/>
              </w:rPr>
              <w:t>June 30, 2018</w:t>
            </w:r>
          </w:p>
        </w:tc>
        <w:tc>
          <w:tcPr>
            <w:tcW w:w="160" w:type="dxa"/>
            <w:vAlign w:val="bottom"/>
          </w:tcPr>
          <w:p>
            <w:pPr>
              <w:spacing w:after="0"/>
              <w:rPr>
                <w:sz w:val="18"/>
                <w:szCs w:val="18"/>
                <w:color w:val="auto"/>
              </w:rPr>
            </w:pPr>
          </w:p>
        </w:tc>
        <w:tc>
          <w:tcPr>
            <w:tcW w:w="9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r>
      <w:tr>
        <w:trPr>
          <w:trHeight w:val="33"/>
        </w:trPr>
        <w:tc>
          <w:tcPr>
            <w:tcW w:w="5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By Category</w:t>
            </w:r>
          </w:p>
        </w:tc>
        <w:tc>
          <w:tcPr>
            <w:tcW w:w="3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Owner occupied commercial real estate</w:t>
            </w: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32,433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32,909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38,601</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42,169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42,096</w:t>
            </w:r>
          </w:p>
        </w:tc>
      </w:tr>
      <w:tr>
        <w:trPr>
          <w:trHeight w:val="33"/>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producing commercial real estate</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19,277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18,048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26,120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24,984</w:t>
            </w: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Commercial &amp; industrial</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21,125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20,980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21,509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17,820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11,003</w:t>
            </w:r>
          </w:p>
        </w:tc>
      </w:tr>
      <w:tr>
        <w:trPr>
          <w:trHeight w:val="33"/>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 construction</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8,422</w:t>
            </w: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Equipment financing</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274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820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414</w:t>
            </w:r>
          </w:p>
        </w:tc>
      </w:tr>
      <w:tr>
        <w:trPr>
          <w:trHeight w:val="33"/>
        </w:trPr>
        <w:tc>
          <w:tcPr>
            <w:tcW w:w="5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commercial</w:t>
            </w:r>
          </w:p>
        </w:tc>
        <w:tc>
          <w:tcPr>
            <w:tcW w:w="3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80,969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81,703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92,566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97,031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86,919</w:t>
            </w: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Residential mortgage</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5,600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5,623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13,582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14,970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14,824</w:t>
            </w:r>
          </w:p>
        </w:tc>
      </w:tr>
      <w:tr>
        <w:trPr>
          <w:trHeight w:val="33"/>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Home equity</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5,491</w:t>
            </w: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Residential construction</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249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293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1,397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1,567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1,506</w:t>
            </w:r>
          </w:p>
        </w:tc>
      </w:tr>
      <w:tr>
        <w:trPr>
          <w:trHeight w:val="33"/>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 direct</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1,142</w:t>
            </w: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Indirect auto</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1,555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1,334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1,704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1,291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1,498</w:t>
            </w:r>
          </w:p>
        </w:tc>
      </w:tr>
      <w:tr>
        <w:trPr>
          <w:trHeight w:val="33"/>
        </w:trPr>
        <w:tc>
          <w:tcPr>
            <w:tcW w:w="5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90,205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90,783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114,483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120,474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111,380</w:t>
            </w:r>
          </w:p>
        </w:tc>
      </w:tr>
      <w:tr>
        <w:trPr>
          <w:trHeight w:val="20"/>
        </w:trPr>
        <w:tc>
          <w:tcPr>
            <w:tcW w:w="5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7"/>
        </w:trPr>
        <w:tc>
          <w:tcPr>
            <w:tcW w:w="5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By Market</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North Georgia</w:t>
            </w: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17,066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16,477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23,540</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25,417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26,243</w:t>
            </w:r>
          </w:p>
        </w:tc>
      </w:tr>
      <w:tr>
        <w:trPr>
          <w:trHeight w:val="33"/>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Atlanta MSA</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12,145</w:t>
            </w: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North Carolina</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10,019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11,556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18,315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24,886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27,186</w:t>
            </w:r>
          </w:p>
        </w:tc>
      </w:tr>
      <w:tr>
        <w:trPr>
          <w:trHeight w:val="33"/>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Coastal Georgia</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3,075</w:t>
            </w: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Gainesville MSA</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950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966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662</w:t>
            </w:r>
          </w:p>
        </w:tc>
      </w:tr>
      <w:tr>
        <w:trPr>
          <w:trHeight w:val="33"/>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East Tennessee</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11,783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12,402</w:t>
            </w: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South Carolina</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28,481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26,277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28,533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22,841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26,800</w:t>
            </w:r>
          </w:p>
        </w:tc>
      </w:tr>
      <w:tr>
        <w:trPr>
          <w:trHeight w:val="33"/>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 Banking Solutions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1,369</w:t>
            </w: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Indirect auto</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1,555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1,334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1,704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1,291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1,498</w:t>
            </w:r>
          </w:p>
        </w:tc>
      </w:tr>
      <w:tr>
        <w:trPr>
          <w:trHeight w:val="33"/>
        </w:trPr>
        <w:tc>
          <w:tcPr>
            <w:tcW w:w="5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loans</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90,205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90,783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114,483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120,474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111,380</w:t>
            </w:r>
          </w:p>
        </w:tc>
      </w:tr>
      <w:tr>
        <w:trPr>
          <w:trHeight w:val="20"/>
        </w:trPr>
        <w:tc>
          <w:tcPr>
            <w:tcW w:w="5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584" w:right="239" w:bottom="1440" w:gutter="0" w:footer="0" w:header="0"/>
          <w:type w:val="continuous"/>
        </w:sectPr>
      </w:pPr>
    </w:p>
    <w:bookmarkStart w:id="55" w:name="page56"/>
    <w:bookmarkEnd w:id="55"/>
    <w:p>
      <w:pPr>
        <w:jc w:val="both"/>
        <w:spacing w:after="0" w:line="273" w:lineRule="auto"/>
        <w:rPr>
          <w:sz w:val="20"/>
          <w:szCs w:val="20"/>
          <w:color w:val="auto"/>
        </w:rPr>
      </w:pPr>
      <w:r>
        <w:rPr>
          <w:rFonts w:ascii="Arial" w:cs="Arial" w:eastAsia="Arial" w:hAnsi="Arial"/>
          <w:sz w:val="17"/>
          <w:szCs w:val="17"/>
          <w:color w:val="auto"/>
        </w:rPr>
        <w:t>Reviews of classified performing and non-performing loans, past due loans and larger credits are conducted on a regular basis and are designed to identify risk migration and potential charges to the allowance for loan losses. These reviews are presented by the responsible lending officers or respective credit officer and specific action plans are discussed along with the financial strength of borrowers, the value of the applicable collateral, past loan loss experience, anticipated loan losses, changes in risk profile, the effect of prevailing economic conditions on the borrower and other factors specific to the borrower and its industry. In addition to the reviews mentioned above, United also has an internal loan review team which directly reviews the portfolio in conjunction with external loan review to ensure the objectivity of the loan review process.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the changes in the allowance for credit losses for the periods indicated.</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Table 8 - Allowance for Credit Losses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p>
      <w:pPr>
        <w:jc w:val="center"/>
        <w:ind w:left="51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51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33020</wp:posOffset>
            </wp:positionV>
            <wp:extent cx="15608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940" w:type="dxa"/>
            <w:vAlign w:val="bottom"/>
          </w:tcPr>
          <w:p>
            <w:pPr>
              <w:spacing w:after="0"/>
              <w:rPr>
                <w:sz w:val="18"/>
                <w:szCs w:val="18"/>
                <w:color w:val="auto"/>
              </w:rPr>
            </w:pPr>
          </w:p>
        </w:tc>
      </w:tr>
      <w:tr>
        <w:trPr>
          <w:trHeight w:val="33"/>
        </w:trPr>
        <w:tc>
          <w:tcPr>
            <w:tcW w:w="7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30"/>
        </w:trPr>
        <w:tc>
          <w:tcPr>
            <w:tcW w:w="7040" w:type="dxa"/>
            <w:vAlign w:val="bottom"/>
            <w:tcBorders>
              <w:bottom w:val="single" w:sz="8" w:color="CCEEFF"/>
            </w:tcBorders>
            <w:shd w:val="clear" w:color="auto" w:fill="CCEEFF"/>
          </w:tcPr>
          <w:p>
            <w:pPr>
              <w:ind w:left="1960"/>
              <w:spacing w:after="0"/>
              <w:rPr>
                <w:sz w:val="20"/>
                <w:szCs w:val="20"/>
                <w:color w:val="auto"/>
              </w:rPr>
            </w:pPr>
            <w:r>
              <w:rPr>
                <w:rFonts w:ascii="Arial" w:cs="Arial" w:eastAsia="Arial" w:hAnsi="Arial"/>
                <w:sz w:val="16"/>
                <w:szCs w:val="16"/>
                <w:color w:val="auto"/>
              </w:rPr>
              <w:t>Allowance for loan and lease losses at beginning of period</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61,203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58,914</w:t>
            </w:r>
          </w:p>
        </w:tc>
        <w:tc>
          <w:tcPr>
            <w:tcW w:w="1940" w:type="dxa"/>
            <w:vAlign w:val="bottom"/>
            <w:tcBorders>
              <w:bottom w:val="single" w:sz="8" w:color="CCEEFF"/>
            </w:tcBorders>
            <w:shd w:val="clear" w:color="auto" w:fill="CCEEFF"/>
          </w:tcPr>
          <w:p>
            <w:pPr>
              <w:spacing w:after="0"/>
              <w:rPr>
                <w:sz w:val="20"/>
                <w:szCs w:val="20"/>
                <w:color w:val="auto"/>
              </w:rPr>
            </w:pPr>
          </w:p>
        </w:tc>
      </w:tr>
      <w:tr>
        <w:trPr>
          <w:trHeight w:val="237"/>
        </w:trPr>
        <w:tc>
          <w:tcPr>
            <w:tcW w:w="7040" w:type="dxa"/>
            <w:vAlign w:val="bottom"/>
          </w:tcPr>
          <w:p>
            <w:pPr>
              <w:ind w:left="1960"/>
              <w:spacing w:after="0"/>
              <w:rPr>
                <w:sz w:val="20"/>
                <w:szCs w:val="20"/>
                <w:color w:val="auto"/>
              </w:rPr>
            </w:pPr>
            <w:r>
              <w:rPr>
                <w:rFonts w:ascii="Arial" w:cs="Arial" w:eastAsia="Arial" w:hAnsi="Arial"/>
                <w:sz w:val="16"/>
                <w:szCs w:val="16"/>
                <w:color w:val="auto"/>
              </w:rPr>
              <w:t>Charge-offs: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3"/>
        </w:trPr>
        <w:tc>
          <w:tcPr>
            <w:tcW w:w="7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080"/>
              <w:spacing w:after="0"/>
              <w:rPr>
                <w:sz w:val="20"/>
                <w:szCs w:val="20"/>
                <w:color w:val="auto"/>
              </w:rPr>
            </w:pPr>
            <w:r>
              <w:rPr>
                <w:rFonts w:ascii="Arial" w:cs="Arial" w:eastAsia="Arial" w:hAnsi="Arial"/>
                <w:sz w:val="16"/>
                <w:szCs w:val="16"/>
                <w:color w:val="auto"/>
              </w:rPr>
              <w:t>Owner occupied commercial real estate</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w:t>
            </w:r>
          </w:p>
        </w:tc>
        <w:tc>
          <w:tcPr>
            <w:tcW w:w="1940" w:type="dxa"/>
            <w:vAlign w:val="bottom"/>
            <w:tcBorders>
              <w:bottom w:val="single" w:sz="8" w:color="CCEEFF"/>
            </w:tcBorders>
            <w:shd w:val="clear" w:color="auto" w:fill="CCEEFF"/>
          </w:tcPr>
          <w:p>
            <w:pPr>
              <w:spacing w:after="0"/>
              <w:rPr>
                <w:sz w:val="21"/>
                <w:szCs w:val="21"/>
                <w:color w:val="auto"/>
              </w:rPr>
            </w:pPr>
          </w:p>
        </w:tc>
      </w:tr>
      <w:tr>
        <w:trPr>
          <w:trHeight w:val="237"/>
        </w:trPr>
        <w:tc>
          <w:tcPr>
            <w:tcW w:w="7040" w:type="dxa"/>
            <w:vAlign w:val="bottom"/>
          </w:tcPr>
          <w:p>
            <w:pPr>
              <w:ind w:left="2080"/>
              <w:spacing w:after="0"/>
              <w:rPr>
                <w:sz w:val="20"/>
                <w:szCs w:val="20"/>
                <w:color w:val="auto"/>
              </w:rPr>
            </w:pPr>
            <w:r>
              <w:rPr>
                <w:rFonts w:ascii="Arial" w:cs="Arial" w:eastAsia="Arial" w:hAnsi="Arial"/>
                <w:sz w:val="16"/>
                <w:szCs w:val="16"/>
                <w:color w:val="auto"/>
              </w:rPr>
              <w:t>Income producing commercial real estate</w:t>
            </w:r>
          </w:p>
        </w:tc>
        <w:tc>
          <w:tcPr>
            <w:tcW w:w="22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197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657</w:t>
            </w:r>
          </w:p>
        </w:tc>
        <w:tc>
          <w:tcPr>
            <w:tcW w:w="1940" w:type="dxa"/>
            <w:vAlign w:val="bottom"/>
          </w:tcPr>
          <w:p>
            <w:pPr>
              <w:spacing w:after="0"/>
              <w:rPr>
                <w:sz w:val="20"/>
                <w:szCs w:val="20"/>
                <w:color w:val="auto"/>
              </w:rPr>
            </w:pPr>
          </w:p>
        </w:tc>
      </w:tr>
      <w:tr>
        <w:trPr>
          <w:trHeight w:val="33"/>
        </w:trPr>
        <w:tc>
          <w:tcPr>
            <w:tcW w:w="7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080"/>
              <w:spacing w:after="0"/>
              <w:rPr>
                <w:sz w:val="20"/>
                <w:szCs w:val="20"/>
                <w:color w:val="auto"/>
              </w:rPr>
            </w:pPr>
            <w:r>
              <w:rPr>
                <w:rFonts w:ascii="Arial" w:cs="Arial" w:eastAsia="Arial" w:hAnsi="Arial"/>
                <w:sz w:val="16"/>
                <w:szCs w:val="16"/>
                <w:color w:val="auto"/>
              </w:rPr>
              <w:t>Commercial &amp; industrial</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384</w:t>
            </w:r>
          </w:p>
        </w:tc>
        <w:tc>
          <w:tcPr>
            <w:tcW w:w="1940" w:type="dxa"/>
            <w:vAlign w:val="bottom"/>
            <w:tcBorders>
              <w:bottom w:val="single" w:sz="8" w:color="CCEEFF"/>
            </w:tcBorders>
            <w:shd w:val="clear" w:color="auto" w:fill="CCEEFF"/>
          </w:tcPr>
          <w:p>
            <w:pPr>
              <w:spacing w:after="0"/>
              <w:rPr>
                <w:sz w:val="21"/>
                <w:szCs w:val="21"/>
                <w:color w:val="auto"/>
              </w:rPr>
            </w:pPr>
          </w:p>
        </w:tc>
      </w:tr>
      <w:tr>
        <w:trPr>
          <w:trHeight w:val="237"/>
        </w:trPr>
        <w:tc>
          <w:tcPr>
            <w:tcW w:w="7040" w:type="dxa"/>
            <w:vAlign w:val="bottom"/>
          </w:tcPr>
          <w:p>
            <w:pPr>
              <w:ind w:left="2080"/>
              <w:spacing w:after="0"/>
              <w:rPr>
                <w:sz w:val="20"/>
                <w:szCs w:val="20"/>
                <w:color w:val="auto"/>
              </w:rPr>
            </w:pPr>
            <w:r>
              <w:rPr>
                <w:rFonts w:ascii="Arial" w:cs="Arial" w:eastAsia="Arial" w:hAnsi="Arial"/>
                <w:sz w:val="16"/>
                <w:szCs w:val="16"/>
                <w:color w:val="auto"/>
              </w:rPr>
              <w:t>Commercial construction</w:t>
            </w:r>
          </w:p>
        </w:tc>
        <w:tc>
          <w:tcPr>
            <w:tcW w:w="22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363</w:t>
            </w:r>
          </w:p>
        </w:tc>
        <w:tc>
          <w:tcPr>
            <w:tcW w:w="1940" w:type="dxa"/>
            <w:vAlign w:val="bottom"/>
          </w:tcPr>
          <w:p>
            <w:pPr>
              <w:spacing w:after="0"/>
              <w:rPr>
                <w:sz w:val="20"/>
                <w:szCs w:val="20"/>
                <w:color w:val="auto"/>
              </w:rPr>
            </w:pPr>
          </w:p>
        </w:tc>
      </w:tr>
      <w:tr>
        <w:trPr>
          <w:trHeight w:val="33"/>
        </w:trPr>
        <w:tc>
          <w:tcPr>
            <w:tcW w:w="7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080"/>
              <w:spacing w:after="0"/>
              <w:rPr>
                <w:sz w:val="20"/>
                <w:szCs w:val="20"/>
                <w:color w:val="auto"/>
              </w:rPr>
            </w:pPr>
            <w:r>
              <w:rPr>
                <w:rFonts w:ascii="Arial" w:cs="Arial" w:eastAsia="Arial" w:hAnsi="Arial"/>
                <w:sz w:val="16"/>
                <w:szCs w:val="16"/>
                <w:color w:val="auto"/>
              </w:rPr>
              <w:t>Equipment financing</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139</w:t>
            </w:r>
          </w:p>
        </w:tc>
        <w:tc>
          <w:tcPr>
            <w:tcW w:w="1940" w:type="dxa"/>
            <w:vAlign w:val="bottom"/>
            <w:tcBorders>
              <w:bottom w:val="single" w:sz="8" w:color="CCEEFF"/>
            </w:tcBorders>
            <w:shd w:val="clear" w:color="auto" w:fill="CCEEFF"/>
          </w:tcPr>
          <w:p>
            <w:pPr>
              <w:spacing w:after="0"/>
              <w:rPr>
                <w:sz w:val="21"/>
                <w:szCs w:val="21"/>
                <w:color w:val="auto"/>
              </w:rPr>
            </w:pPr>
          </w:p>
        </w:tc>
      </w:tr>
      <w:tr>
        <w:trPr>
          <w:trHeight w:val="237"/>
        </w:trPr>
        <w:tc>
          <w:tcPr>
            <w:tcW w:w="7040" w:type="dxa"/>
            <w:vAlign w:val="bottom"/>
          </w:tcPr>
          <w:p>
            <w:pPr>
              <w:ind w:left="2080"/>
              <w:spacing w:after="0"/>
              <w:rPr>
                <w:sz w:val="20"/>
                <w:szCs w:val="20"/>
                <w:color w:val="auto"/>
              </w:rPr>
            </w:pPr>
            <w:r>
              <w:rPr>
                <w:rFonts w:ascii="Arial" w:cs="Arial" w:eastAsia="Arial" w:hAnsi="Arial"/>
                <w:sz w:val="16"/>
                <w:szCs w:val="16"/>
                <w:color w:val="auto"/>
              </w:rPr>
              <w:t>Residential mortgage</w:t>
            </w:r>
          </w:p>
        </w:tc>
        <w:tc>
          <w:tcPr>
            <w:tcW w:w="22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70</w:t>
            </w:r>
          </w:p>
        </w:tc>
        <w:tc>
          <w:tcPr>
            <w:tcW w:w="1940" w:type="dxa"/>
            <w:vAlign w:val="bottom"/>
          </w:tcPr>
          <w:p>
            <w:pPr>
              <w:spacing w:after="0"/>
              <w:rPr>
                <w:sz w:val="20"/>
                <w:szCs w:val="20"/>
                <w:color w:val="auto"/>
              </w:rPr>
            </w:pPr>
          </w:p>
        </w:tc>
      </w:tr>
      <w:tr>
        <w:trPr>
          <w:trHeight w:val="33"/>
        </w:trPr>
        <w:tc>
          <w:tcPr>
            <w:tcW w:w="7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080"/>
              <w:spacing w:after="0"/>
              <w:rPr>
                <w:sz w:val="20"/>
                <w:szCs w:val="20"/>
                <w:color w:val="auto"/>
              </w:rPr>
            </w:pPr>
            <w:r>
              <w:rPr>
                <w:rFonts w:ascii="Arial" w:cs="Arial" w:eastAsia="Arial" w:hAnsi="Arial"/>
                <w:sz w:val="16"/>
                <w:szCs w:val="16"/>
                <w:color w:val="auto"/>
              </w:rPr>
              <w:t>Home equity lines of credit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124</w:t>
            </w:r>
          </w:p>
        </w:tc>
        <w:tc>
          <w:tcPr>
            <w:tcW w:w="1940" w:type="dxa"/>
            <w:vAlign w:val="bottom"/>
            <w:tcBorders>
              <w:bottom w:val="single" w:sz="8" w:color="CCEEFF"/>
            </w:tcBorders>
            <w:shd w:val="clear" w:color="auto" w:fill="CCEEFF"/>
          </w:tcPr>
          <w:p>
            <w:pPr>
              <w:spacing w:after="0"/>
              <w:rPr>
                <w:sz w:val="21"/>
                <w:szCs w:val="21"/>
                <w:color w:val="auto"/>
              </w:rPr>
            </w:pPr>
          </w:p>
        </w:tc>
      </w:tr>
      <w:tr>
        <w:trPr>
          <w:trHeight w:val="237"/>
        </w:trPr>
        <w:tc>
          <w:tcPr>
            <w:tcW w:w="7040" w:type="dxa"/>
            <w:vAlign w:val="bottom"/>
          </w:tcPr>
          <w:p>
            <w:pPr>
              <w:ind w:left="2080"/>
              <w:spacing w:after="0"/>
              <w:rPr>
                <w:sz w:val="20"/>
                <w:szCs w:val="20"/>
                <w:color w:val="auto"/>
              </w:rPr>
            </w:pPr>
            <w:r>
              <w:rPr>
                <w:rFonts w:ascii="Arial" w:cs="Arial" w:eastAsia="Arial" w:hAnsi="Arial"/>
                <w:sz w:val="16"/>
                <w:szCs w:val="16"/>
                <w:color w:val="auto"/>
              </w:rPr>
              <w:t>Residential construction</w:t>
            </w:r>
          </w:p>
        </w:tc>
        <w:tc>
          <w:tcPr>
            <w:tcW w:w="22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60" w:type="dxa"/>
            <w:vAlign w:val="bottom"/>
            <w:gridSpan w:val="2"/>
          </w:tcPr>
          <w:p>
            <w:pPr>
              <w:jc w:val="right"/>
              <w:ind w:right="2100"/>
              <w:spacing w:after="0"/>
              <w:rPr>
                <w:sz w:val="20"/>
                <w:szCs w:val="20"/>
                <w:color w:val="auto"/>
              </w:rPr>
            </w:pPr>
            <w:r>
              <w:rPr>
                <w:rFonts w:ascii="Arial" w:cs="Arial" w:eastAsia="Arial" w:hAnsi="Arial"/>
                <w:sz w:val="16"/>
                <w:szCs w:val="16"/>
                <w:color w:val="auto"/>
              </w:rPr>
              <w:t>—</w:t>
            </w:r>
          </w:p>
        </w:tc>
      </w:tr>
      <w:tr>
        <w:trPr>
          <w:trHeight w:val="33"/>
        </w:trPr>
        <w:tc>
          <w:tcPr>
            <w:tcW w:w="7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080"/>
              <w:spacing w:after="0"/>
              <w:rPr>
                <w:sz w:val="20"/>
                <w:szCs w:val="20"/>
                <w:color w:val="auto"/>
              </w:rPr>
            </w:pPr>
            <w:r>
              <w:rPr>
                <w:rFonts w:ascii="Arial" w:cs="Arial" w:eastAsia="Arial" w:hAnsi="Arial"/>
                <w:sz w:val="16"/>
                <w:szCs w:val="16"/>
                <w:color w:val="auto"/>
              </w:rPr>
              <w:t>Consumer direct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651</w:t>
            </w:r>
          </w:p>
        </w:tc>
        <w:tc>
          <w:tcPr>
            <w:tcW w:w="1940" w:type="dxa"/>
            <w:vAlign w:val="bottom"/>
            <w:tcBorders>
              <w:bottom w:val="single" w:sz="8" w:color="CCEEFF"/>
            </w:tcBorders>
            <w:shd w:val="clear" w:color="auto" w:fill="CCEEFF"/>
          </w:tcPr>
          <w:p>
            <w:pPr>
              <w:spacing w:after="0"/>
              <w:rPr>
                <w:sz w:val="21"/>
                <w:szCs w:val="21"/>
                <w:color w:val="auto"/>
              </w:rPr>
            </w:pPr>
          </w:p>
        </w:tc>
      </w:tr>
      <w:tr>
        <w:trPr>
          <w:trHeight w:val="237"/>
        </w:trPr>
        <w:tc>
          <w:tcPr>
            <w:tcW w:w="7040" w:type="dxa"/>
            <w:vAlign w:val="bottom"/>
          </w:tcPr>
          <w:p>
            <w:pPr>
              <w:ind w:left="2080"/>
              <w:spacing w:after="0"/>
              <w:rPr>
                <w:sz w:val="20"/>
                <w:szCs w:val="20"/>
                <w:color w:val="auto"/>
              </w:rPr>
            </w:pPr>
            <w:r>
              <w:rPr>
                <w:rFonts w:ascii="Arial" w:cs="Arial" w:eastAsia="Arial" w:hAnsi="Arial"/>
                <w:sz w:val="16"/>
                <w:szCs w:val="16"/>
                <w:color w:val="auto"/>
              </w:rPr>
              <w:t>Indirect auto</w:t>
            </w:r>
          </w:p>
        </w:tc>
        <w:tc>
          <w:tcPr>
            <w:tcW w:w="22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197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436</w:t>
            </w:r>
          </w:p>
        </w:tc>
        <w:tc>
          <w:tcPr>
            <w:tcW w:w="1940" w:type="dxa"/>
            <w:vAlign w:val="bottom"/>
          </w:tcPr>
          <w:p>
            <w:pPr>
              <w:spacing w:after="0"/>
              <w:rPr>
                <w:sz w:val="20"/>
                <w:szCs w:val="20"/>
                <w:color w:val="auto"/>
              </w:rPr>
            </w:pPr>
          </w:p>
        </w:tc>
      </w:tr>
      <w:tr>
        <w:trPr>
          <w:trHeight w:val="33"/>
        </w:trPr>
        <w:tc>
          <w:tcPr>
            <w:tcW w:w="7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200"/>
              <w:spacing w:after="0"/>
              <w:rPr>
                <w:sz w:val="20"/>
                <w:szCs w:val="20"/>
                <w:color w:val="auto"/>
              </w:rPr>
            </w:pPr>
            <w:r>
              <w:rPr>
                <w:rFonts w:ascii="Arial" w:cs="Arial" w:eastAsia="Arial" w:hAnsi="Arial"/>
                <w:sz w:val="16"/>
                <w:szCs w:val="16"/>
                <w:color w:val="auto"/>
              </w:rPr>
              <w:t>Total loans charged-off</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4,360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2,884</w:t>
            </w:r>
          </w:p>
        </w:tc>
        <w:tc>
          <w:tcPr>
            <w:tcW w:w="1940" w:type="dxa"/>
            <w:vAlign w:val="bottom"/>
            <w:tcBorders>
              <w:bottom w:val="single" w:sz="8" w:color="CCEEFF"/>
            </w:tcBorders>
            <w:shd w:val="clear" w:color="auto" w:fill="CCEEFF"/>
          </w:tcPr>
          <w:p>
            <w:pPr>
              <w:spacing w:after="0"/>
              <w:rPr>
                <w:sz w:val="21"/>
                <w:szCs w:val="21"/>
                <w:color w:val="auto"/>
              </w:rPr>
            </w:pPr>
          </w:p>
        </w:tc>
      </w:tr>
      <w:tr>
        <w:trPr>
          <w:trHeight w:val="231"/>
        </w:trPr>
        <w:tc>
          <w:tcPr>
            <w:tcW w:w="7040" w:type="dxa"/>
            <w:vAlign w:val="bottom"/>
          </w:tcPr>
          <w:p>
            <w:pPr>
              <w:ind w:left="1960"/>
              <w:spacing w:after="0"/>
              <w:rPr>
                <w:sz w:val="20"/>
                <w:szCs w:val="20"/>
                <w:color w:val="auto"/>
              </w:rPr>
            </w:pPr>
            <w:r>
              <w:rPr>
                <w:rFonts w:ascii="Arial" w:cs="Arial" w:eastAsia="Arial" w:hAnsi="Arial"/>
                <w:sz w:val="16"/>
                <w:szCs w:val="16"/>
                <w:color w:val="auto"/>
              </w:rPr>
              <w:t>Recoveries:</w:t>
            </w: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940" w:type="dxa"/>
            <w:vAlign w:val="bottom"/>
          </w:tcPr>
          <w:p>
            <w:pPr>
              <w:spacing w:after="0"/>
              <w:rPr>
                <w:sz w:val="20"/>
                <w:szCs w:val="20"/>
                <w:color w:val="auto"/>
              </w:rPr>
            </w:pPr>
          </w:p>
        </w:tc>
      </w:tr>
      <w:tr>
        <w:trPr>
          <w:trHeight w:val="33"/>
        </w:trPr>
        <w:tc>
          <w:tcPr>
            <w:tcW w:w="7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080"/>
              <w:spacing w:after="0"/>
              <w:rPr>
                <w:sz w:val="20"/>
                <w:szCs w:val="20"/>
                <w:color w:val="auto"/>
              </w:rPr>
            </w:pPr>
            <w:r>
              <w:rPr>
                <w:rFonts w:ascii="Arial" w:cs="Arial" w:eastAsia="Arial" w:hAnsi="Arial"/>
                <w:sz w:val="16"/>
                <w:szCs w:val="16"/>
                <w:color w:val="auto"/>
              </w:rPr>
              <w:t>Owner occupied commercial real estate</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103</w:t>
            </w:r>
          </w:p>
        </w:tc>
        <w:tc>
          <w:tcPr>
            <w:tcW w:w="1940" w:type="dxa"/>
            <w:vAlign w:val="bottom"/>
            <w:tcBorders>
              <w:bottom w:val="single" w:sz="8" w:color="CCEEFF"/>
            </w:tcBorders>
            <w:shd w:val="clear" w:color="auto" w:fill="CCEEFF"/>
          </w:tcPr>
          <w:p>
            <w:pPr>
              <w:spacing w:after="0"/>
              <w:rPr>
                <w:sz w:val="21"/>
                <w:szCs w:val="21"/>
                <w:color w:val="auto"/>
              </w:rPr>
            </w:pPr>
          </w:p>
        </w:tc>
      </w:tr>
      <w:tr>
        <w:trPr>
          <w:trHeight w:val="237"/>
        </w:trPr>
        <w:tc>
          <w:tcPr>
            <w:tcW w:w="7040" w:type="dxa"/>
            <w:vAlign w:val="bottom"/>
          </w:tcPr>
          <w:p>
            <w:pPr>
              <w:ind w:left="2080"/>
              <w:spacing w:after="0"/>
              <w:rPr>
                <w:sz w:val="20"/>
                <w:szCs w:val="20"/>
                <w:color w:val="auto"/>
              </w:rPr>
            </w:pPr>
            <w:r>
              <w:rPr>
                <w:rFonts w:ascii="Arial" w:cs="Arial" w:eastAsia="Arial" w:hAnsi="Arial"/>
                <w:sz w:val="16"/>
                <w:szCs w:val="16"/>
                <w:color w:val="auto"/>
              </w:rPr>
              <w:t>Income producing commercial real estate</w:t>
            </w:r>
          </w:p>
        </w:tc>
        <w:tc>
          <w:tcPr>
            <w:tcW w:w="22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235</w:t>
            </w:r>
          </w:p>
        </w:tc>
        <w:tc>
          <w:tcPr>
            <w:tcW w:w="1940" w:type="dxa"/>
            <w:vAlign w:val="bottom"/>
          </w:tcPr>
          <w:p>
            <w:pPr>
              <w:spacing w:after="0"/>
              <w:rPr>
                <w:sz w:val="20"/>
                <w:szCs w:val="20"/>
                <w:color w:val="auto"/>
              </w:rPr>
            </w:pPr>
          </w:p>
        </w:tc>
      </w:tr>
      <w:tr>
        <w:trPr>
          <w:trHeight w:val="33"/>
        </w:trPr>
        <w:tc>
          <w:tcPr>
            <w:tcW w:w="7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080"/>
              <w:spacing w:after="0"/>
              <w:rPr>
                <w:sz w:val="20"/>
                <w:szCs w:val="20"/>
                <w:color w:val="auto"/>
              </w:rPr>
            </w:pPr>
            <w:r>
              <w:rPr>
                <w:rFonts w:ascii="Arial" w:cs="Arial" w:eastAsia="Arial" w:hAnsi="Arial"/>
                <w:sz w:val="16"/>
                <w:szCs w:val="16"/>
                <w:color w:val="auto"/>
              </w:rPr>
              <w:t>Commercial &amp; industrial</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389</w:t>
            </w:r>
          </w:p>
        </w:tc>
        <w:tc>
          <w:tcPr>
            <w:tcW w:w="1940" w:type="dxa"/>
            <w:vAlign w:val="bottom"/>
            <w:tcBorders>
              <w:bottom w:val="single" w:sz="8" w:color="CCEEFF"/>
            </w:tcBorders>
            <w:shd w:val="clear" w:color="auto" w:fill="CCEEFF"/>
          </w:tcPr>
          <w:p>
            <w:pPr>
              <w:spacing w:after="0"/>
              <w:rPr>
                <w:sz w:val="21"/>
                <w:szCs w:val="21"/>
                <w:color w:val="auto"/>
              </w:rPr>
            </w:pPr>
          </w:p>
        </w:tc>
      </w:tr>
      <w:tr>
        <w:trPr>
          <w:trHeight w:val="237"/>
        </w:trPr>
        <w:tc>
          <w:tcPr>
            <w:tcW w:w="7040" w:type="dxa"/>
            <w:vAlign w:val="bottom"/>
          </w:tcPr>
          <w:p>
            <w:pPr>
              <w:ind w:left="2080"/>
              <w:spacing w:after="0"/>
              <w:rPr>
                <w:sz w:val="20"/>
                <w:szCs w:val="20"/>
                <w:color w:val="auto"/>
              </w:rPr>
            </w:pPr>
            <w:r>
              <w:rPr>
                <w:rFonts w:ascii="Arial" w:cs="Arial" w:eastAsia="Arial" w:hAnsi="Arial"/>
                <w:sz w:val="16"/>
                <w:szCs w:val="16"/>
                <w:color w:val="auto"/>
              </w:rPr>
              <w:t>Commercial construction</w:t>
            </w:r>
          </w:p>
        </w:tc>
        <w:tc>
          <w:tcPr>
            <w:tcW w:w="22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394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97</w:t>
            </w:r>
          </w:p>
        </w:tc>
        <w:tc>
          <w:tcPr>
            <w:tcW w:w="1940" w:type="dxa"/>
            <w:vAlign w:val="bottom"/>
          </w:tcPr>
          <w:p>
            <w:pPr>
              <w:spacing w:after="0"/>
              <w:rPr>
                <w:sz w:val="20"/>
                <w:szCs w:val="20"/>
                <w:color w:val="auto"/>
              </w:rPr>
            </w:pPr>
          </w:p>
        </w:tc>
      </w:tr>
      <w:tr>
        <w:trPr>
          <w:trHeight w:val="33"/>
        </w:trPr>
        <w:tc>
          <w:tcPr>
            <w:tcW w:w="7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080"/>
              <w:spacing w:after="0"/>
              <w:rPr>
                <w:sz w:val="20"/>
                <w:szCs w:val="20"/>
                <w:color w:val="auto"/>
              </w:rPr>
            </w:pPr>
            <w:r>
              <w:rPr>
                <w:rFonts w:ascii="Arial" w:cs="Arial" w:eastAsia="Arial" w:hAnsi="Arial"/>
                <w:sz w:val="16"/>
                <w:szCs w:val="16"/>
                <w:color w:val="auto"/>
              </w:rPr>
              <w:t>Equipment financing</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97</w:t>
            </w:r>
          </w:p>
        </w:tc>
        <w:tc>
          <w:tcPr>
            <w:tcW w:w="1940" w:type="dxa"/>
            <w:vAlign w:val="bottom"/>
            <w:tcBorders>
              <w:bottom w:val="single" w:sz="8" w:color="CCEEFF"/>
            </w:tcBorders>
            <w:shd w:val="clear" w:color="auto" w:fill="CCEEFF"/>
          </w:tcPr>
          <w:p>
            <w:pPr>
              <w:spacing w:after="0"/>
              <w:rPr>
                <w:sz w:val="21"/>
                <w:szCs w:val="21"/>
                <w:color w:val="auto"/>
              </w:rPr>
            </w:pPr>
          </w:p>
        </w:tc>
      </w:tr>
      <w:tr>
        <w:trPr>
          <w:trHeight w:val="237"/>
        </w:trPr>
        <w:tc>
          <w:tcPr>
            <w:tcW w:w="7040" w:type="dxa"/>
            <w:vAlign w:val="bottom"/>
          </w:tcPr>
          <w:p>
            <w:pPr>
              <w:ind w:left="2080"/>
              <w:spacing w:after="0"/>
              <w:rPr>
                <w:sz w:val="20"/>
                <w:szCs w:val="20"/>
                <w:color w:val="auto"/>
              </w:rPr>
            </w:pPr>
            <w:r>
              <w:rPr>
                <w:rFonts w:ascii="Arial" w:cs="Arial" w:eastAsia="Arial" w:hAnsi="Arial"/>
                <w:sz w:val="16"/>
                <w:szCs w:val="16"/>
                <w:color w:val="auto"/>
              </w:rPr>
              <w:t>Residential mortgage</w:t>
            </w:r>
          </w:p>
        </w:tc>
        <w:tc>
          <w:tcPr>
            <w:tcW w:w="22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123</w:t>
            </w:r>
          </w:p>
        </w:tc>
        <w:tc>
          <w:tcPr>
            <w:tcW w:w="1940" w:type="dxa"/>
            <w:vAlign w:val="bottom"/>
          </w:tcPr>
          <w:p>
            <w:pPr>
              <w:spacing w:after="0"/>
              <w:rPr>
                <w:sz w:val="20"/>
                <w:szCs w:val="20"/>
                <w:color w:val="auto"/>
              </w:rPr>
            </w:pPr>
          </w:p>
        </w:tc>
      </w:tr>
      <w:tr>
        <w:trPr>
          <w:trHeight w:val="33"/>
        </w:trPr>
        <w:tc>
          <w:tcPr>
            <w:tcW w:w="7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080"/>
              <w:spacing w:after="0"/>
              <w:rPr>
                <w:sz w:val="20"/>
                <w:szCs w:val="20"/>
                <w:color w:val="auto"/>
              </w:rPr>
            </w:pPr>
            <w:r>
              <w:rPr>
                <w:rFonts w:ascii="Arial" w:cs="Arial" w:eastAsia="Arial" w:hAnsi="Arial"/>
                <w:sz w:val="16"/>
                <w:szCs w:val="16"/>
                <w:color w:val="auto"/>
              </w:rPr>
              <w:t>Home equity lines of credit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w:t>
            </w:r>
          </w:p>
        </w:tc>
        <w:tc>
          <w:tcPr>
            <w:tcW w:w="1940" w:type="dxa"/>
            <w:vAlign w:val="bottom"/>
            <w:tcBorders>
              <w:bottom w:val="single" w:sz="8" w:color="CCEEFF"/>
            </w:tcBorders>
            <w:shd w:val="clear" w:color="auto" w:fill="CCEEFF"/>
          </w:tcPr>
          <w:p>
            <w:pPr>
              <w:spacing w:after="0"/>
              <w:rPr>
                <w:sz w:val="21"/>
                <w:szCs w:val="21"/>
                <w:color w:val="auto"/>
              </w:rPr>
            </w:pPr>
          </w:p>
        </w:tc>
      </w:tr>
      <w:tr>
        <w:trPr>
          <w:trHeight w:val="237"/>
        </w:trPr>
        <w:tc>
          <w:tcPr>
            <w:tcW w:w="7040" w:type="dxa"/>
            <w:vAlign w:val="bottom"/>
          </w:tcPr>
          <w:p>
            <w:pPr>
              <w:ind w:left="2080"/>
              <w:spacing w:after="0"/>
              <w:rPr>
                <w:sz w:val="20"/>
                <w:szCs w:val="20"/>
                <w:color w:val="auto"/>
              </w:rPr>
            </w:pPr>
            <w:r>
              <w:rPr>
                <w:rFonts w:ascii="Arial" w:cs="Arial" w:eastAsia="Arial" w:hAnsi="Arial"/>
                <w:sz w:val="16"/>
                <w:szCs w:val="16"/>
                <w:color w:val="auto"/>
              </w:rPr>
              <w:t>Residential construction</w:t>
            </w:r>
          </w:p>
        </w:tc>
        <w:tc>
          <w:tcPr>
            <w:tcW w:w="22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64</w:t>
            </w:r>
          </w:p>
        </w:tc>
        <w:tc>
          <w:tcPr>
            <w:tcW w:w="1940" w:type="dxa"/>
            <w:vAlign w:val="bottom"/>
          </w:tcPr>
          <w:p>
            <w:pPr>
              <w:spacing w:after="0"/>
              <w:rPr>
                <w:sz w:val="20"/>
                <w:szCs w:val="20"/>
                <w:color w:val="auto"/>
              </w:rPr>
            </w:pPr>
          </w:p>
        </w:tc>
      </w:tr>
      <w:tr>
        <w:trPr>
          <w:trHeight w:val="33"/>
        </w:trPr>
        <w:tc>
          <w:tcPr>
            <w:tcW w:w="7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080"/>
              <w:spacing w:after="0"/>
              <w:rPr>
                <w:sz w:val="20"/>
                <w:szCs w:val="20"/>
                <w:color w:val="auto"/>
              </w:rPr>
            </w:pPr>
            <w:r>
              <w:rPr>
                <w:rFonts w:ascii="Arial" w:cs="Arial" w:eastAsia="Arial" w:hAnsi="Arial"/>
                <w:sz w:val="16"/>
                <w:szCs w:val="16"/>
                <w:color w:val="auto"/>
              </w:rPr>
              <w:t>Consumer direct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160</w:t>
            </w:r>
          </w:p>
        </w:tc>
        <w:tc>
          <w:tcPr>
            <w:tcW w:w="1940" w:type="dxa"/>
            <w:vAlign w:val="bottom"/>
            <w:tcBorders>
              <w:bottom w:val="single" w:sz="8" w:color="CCEEFF"/>
            </w:tcBorders>
            <w:shd w:val="clear" w:color="auto" w:fill="CCEEFF"/>
          </w:tcPr>
          <w:p>
            <w:pPr>
              <w:spacing w:after="0"/>
              <w:rPr>
                <w:sz w:val="21"/>
                <w:szCs w:val="21"/>
                <w:color w:val="auto"/>
              </w:rPr>
            </w:pPr>
          </w:p>
        </w:tc>
      </w:tr>
      <w:tr>
        <w:trPr>
          <w:trHeight w:val="237"/>
        </w:trPr>
        <w:tc>
          <w:tcPr>
            <w:tcW w:w="7040" w:type="dxa"/>
            <w:vAlign w:val="bottom"/>
          </w:tcPr>
          <w:p>
            <w:pPr>
              <w:ind w:left="2080"/>
              <w:spacing w:after="0"/>
              <w:rPr>
                <w:sz w:val="20"/>
                <w:szCs w:val="20"/>
                <w:color w:val="auto"/>
              </w:rPr>
            </w:pPr>
            <w:r>
              <w:rPr>
                <w:rFonts w:ascii="Arial" w:cs="Arial" w:eastAsia="Arial" w:hAnsi="Arial"/>
                <w:sz w:val="16"/>
                <w:szCs w:val="16"/>
                <w:color w:val="auto"/>
              </w:rPr>
              <w:t>Indirect auto</w:t>
            </w:r>
          </w:p>
        </w:tc>
        <w:tc>
          <w:tcPr>
            <w:tcW w:w="22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80</w:t>
            </w:r>
          </w:p>
        </w:tc>
        <w:tc>
          <w:tcPr>
            <w:tcW w:w="1940" w:type="dxa"/>
            <w:vAlign w:val="bottom"/>
          </w:tcPr>
          <w:p>
            <w:pPr>
              <w:spacing w:after="0"/>
              <w:rPr>
                <w:sz w:val="20"/>
                <w:szCs w:val="20"/>
                <w:color w:val="auto"/>
              </w:rPr>
            </w:pPr>
          </w:p>
        </w:tc>
      </w:tr>
      <w:tr>
        <w:trPr>
          <w:trHeight w:val="33"/>
        </w:trPr>
        <w:tc>
          <w:tcPr>
            <w:tcW w:w="7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200"/>
              <w:spacing w:after="0"/>
              <w:rPr>
                <w:sz w:val="20"/>
                <w:szCs w:val="20"/>
                <w:color w:val="auto"/>
              </w:rPr>
            </w:pPr>
            <w:r>
              <w:rPr>
                <w:rFonts w:ascii="Arial" w:cs="Arial" w:eastAsia="Arial" w:hAnsi="Arial"/>
                <w:sz w:val="16"/>
                <w:szCs w:val="16"/>
                <w:color w:val="auto"/>
              </w:rPr>
              <w:t>Total recoveries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1,383</w:t>
            </w:r>
          </w:p>
        </w:tc>
        <w:tc>
          <w:tcPr>
            <w:tcW w:w="1940" w:type="dxa"/>
            <w:vAlign w:val="bottom"/>
            <w:tcBorders>
              <w:bottom w:val="single" w:sz="8" w:color="CCEEFF"/>
            </w:tcBorders>
            <w:shd w:val="clear" w:color="auto" w:fill="CCEEFF"/>
          </w:tcPr>
          <w:p>
            <w:pPr>
              <w:spacing w:after="0"/>
              <w:rPr>
                <w:sz w:val="21"/>
                <w:szCs w:val="21"/>
                <w:color w:val="auto"/>
              </w:rPr>
            </w:pPr>
          </w:p>
        </w:tc>
      </w:tr>
      <w:tr>
        <w:trPr>
          <w:trHeight w:val="217"/>
        </w:trPr>
        <w:tc>
          <w:tcPr>
            <w:tcW w:w="7040" w:type="dxa"/>
            <w:vAlign w:val="bottom"/>
          </w:tcPr>
          <w:p>
            <w:pPr>
              <w:ind w:left="2200"/>
              <w:spacing w:after="0"/>
              <w:rPr>
                <w:sz w:val="20"/>
                <w:szCs w:val="20"/>
                <w:color w:val="auto"/>
              </w:rPr>
            </w:pPr>
            <w:r>
              <w:rPr>
                <w:rFonts w:ascii="Arial" w:cs="Arial" w:eastAsia="Arial" w:hAnsi="Arial"/>
                <w:sz w:val="16"/>
                <w:szCs w:val="16"/>
                <w:color w:val="auto"/>
              </w:rPr>
              <w:t>Net charge-offs</w:t>
            </w: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3,130</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1,501</w:t>
            </w:r>
          </w:p>
        </w:tc>
        <w:tc>
          <w:tcPr>
            <w:tcW w:w="1940" w:type="dxa"/>
            <w:vAlign w:val="bottom"/>
          </w:tcPr>
          <w:p>
            <w:pPr>
              <w:spacing w:after="0"/>
              <w:rPr>
                <w:sz w:val="18"/>
                <w:szCs w:val="18"/>
                <w:color w:val="auto"/>
              </w:rPr>
            </w:pPr>
          </w:p>
        </w:tc>
      </w:tr>
      <w:tr>
        <w:trPr>
          <w:trHeight w:val="33"/>
        </w:trPr>
        <w:tc>
          <w:tcPr>
            <w:tcW w:w="7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1960"/>
              <w:spacing w:after="0"/>
              <w:rPr>
                <w:sz w:val="20"/>
                <w:szCs w:val="20"/>
                <w:color w:val="auto"/>
              </w:rPr>
            </w:pPr>
            <w:r>
              <w:rPr>
                <w:rFonts w:ascii="Arial" w:cs="Arial" w:eastAsia="Arial" w:hAnsi="Arial"/>
                <w:sz w:val="16"/>
                <w:szCs w:val="16"/>
                <w:color w:val="auto"/>
              </w:rPr>
              <w:t>Provision for loan and lease losses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3,672</w:t>
            </w:r>
          </w:p>
        </w:tc>
        <w:tc>
          <w:tcPr>
            <w:tcW w:w="1940" w:type="dxa"/>
            <w:vAlign w:val="bottom"/>
            <w:tcBorders>
              <w:bottom w:val="single" w:sz="8" w:color="CCEEFF"/>
            </w:tcBorders>
            <w:shd w:val="clear" w:color="auto" w:fill="CCEEFF"/>
          </w:tcPr>
          <w:p>
            <w:pPr>
              <w:spacing w:after="0"/>
              <w:rPr>
                <w:sz w:val="21"/>
                <w:szCs w:val="21"/>
                <w:color w:val="auto"/>
              </w:rPr>
            </w:pPr>
          </w:p>
        </w:tc>
      </w:tr>
      <w:tr>
        <w:trPr>
          <w:trHeight w:val="217"/>
        </w:trPr>
        <w:tc>
          <w:tcPr>
            <w:tcW w:w="7040" w:type="dxa"/>
            <w:vAlign w:val="bottom"/>
          </w:tcPr>
          <w:p>
            <w:pPr>
              <w:ind w:left="1960"/>
              <w:spacing w:after="0"/>
              <w:rPr>
                <w:sz w:val="20"/>
                <w:szCs w:val="20"/>
                <w:color w:val="auto"/>
              </w:rPr>
            </w:pPr>
            <w:r>
              <w:rPr>
                <w:rFonts w:ascii="Arial" w:cs="Arial" w:eastAsia="Arial" w:hAnsi="Arial"/>
                <w:sz w:val="16"/>
                <w:szCs w:val="16"/>
                <w:color w:val="auto"/>
              </w:rPr>
              <w:t>Allowance for loan and lease losses at end of period</w:t>
            </w: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61,642</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61,085</w:t>
            </w:r>
          </w:p>
        </w:tc>
        <w:tc>
          <w:tcPr>
            <w:tcW w:w="1940" w:type="dxa"/>
            <w:vAlign w:val="bottom"/>
          </w:tcPr>
          <w:p>
            <w:pPr>
              <w:spacing w:after="0"/>
              <w:rPr>
                <w:sz w:val="18"/>
                <w:szCs w:val="18"/>
                <w:color w:val="auto"/>
              </w:rPr>
            </w:pPr>
          </w:p>
        </w:tc>
      </w:tr>
      <w:tr>
        <w:trPr>
          <w:trHeight w:val="33"/>
        </w:trPr>
        <w:tc>
          <w:tcPr>
            <w:tcW w:w="7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64"/>
        </w:trPr>
        <w:tc>
          <w:tcPr>
            <w:tcW w:w="70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r>
      <w:tr>
        <w:trPr>
          <w:trHeight w:val="237"/>
        </w:trPr>
        <w:tc>
          <w:tcPr>
            <w:tcW w:w="7040" w:type="dxa"/>
            <w:vAlign w:val="bottom"/>
          </w:tcPr>
          <w:p>
            <w:pPr>
              <w:ind w:left="1960"/>
              <w:spacing w:after="0"/>
              <w:rPr>
                <w:sz w:val="20"/>
                <w:szCs w:val="20"/>
                <w:color w:val="auto"/>
              </w:rPr>
            </w:pPr>
            <w:r>
              <w:rPr>
                <w:rFonts w:ascii="Arial" w:cs="Arial" w:eastAsia="Arial" w:hAnsi="Arial"/>
                <w:sz w:val="16"/>
                <w:szCs w:val="16"/>
                <w:color w:val="auto"/>
              </w:rPr>
              <w:t>Allowance for unfunded commitments at beginning of period</w:t>
            </w:r>
          </w:p>
        </w:tc>
        <w:tc>
          <w:tcPr>
            <w:tcW w:w="22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3,410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2,312</w:t>
            </w:r>
          </w:p>
        </w:tc>
        <w:tc>
          <w:tcPr>
            <w:tcW w:w="1940" w:type="dxa"/>
            <w:vAlign w:val="bottom"/>
          </w:tcPr>
          <w:p>
            <w:pPr>
              <w:spacing w:after="0"/>
              <w:rPr>
                <w:sz w:val="20"/>
                <w:szCs w:val="20"/>
                <w:color w:val="auto"/>
              </w:rPr>
            </w:pPr>
          </w:p>
        </w:tc>
      </w:tr>
      <w:tr>
        <w:trPr>
          <w:trHeight w:val="33"/>
        </w:trPr>
        <w:tc>
          <w:tcPr>
            <w:tcW w:w="7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7040" w:type="dxa"/>
            <w:vAlign w:val="bottom"/>
            <w:tcBorders>
              <w:bottom w:val="single" w:sz="8" w:color="CCEEFF"/>
            </w:tcBorders>
            <w:shd w:val="clear" w:color="auto" w:fill="CCEEFF"/>
          </w:tcPr>
          <w:p>
            <w:pPr>
              <w:ind w:left="2080"/>
              <w:spacing w:after="0"/>
              <w:rPr>
                <w:sz w:val="20"/>
                <w:szCs w:val="20"/>
                <w:color w:val="auto"/>
              </w:rPr>
            </w:pPr>
            <w:r>
              <w:rPr>
                <w:rFonts w:ascii="Arial" w:cs="Arial" w:eastAsia="Arial" w:hAnsi="Arial"/>
                <w:sz w:val="16"/>
                <w:szCs w:val="16"/>
                <w:color w:val="auto"/>
              </w:rPr>
              <w:t>Provision for losses on unfunded commitments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128</w:t>
            </w:r>
          </w:p>
        </w:tc>
        <w:tc>
          <w:tcPr>
            <w:tcW w:w="1940" w:type="dxa"/>
            <w:vAlign w:val="bottom"/>
            <w:tcBorders>
              <w:bottom w:val="single" w:sz="8" w:color="CCEEFF"/>
            </w:tcBorders>
            <w:shd w:val="clear" w:color="auto" w:fill="CCEEFF"/>
          </w:tcPr>
          <w:p>
            <w:pPr>
              <w:spacing w:after="0"/>
              <w:rPr>
                <w:sz w:val="23"/>
                <w:szCs w:val="23"/>
                <w:color w:val="auto"/>
              </w:rPr>
            </w:pPr>
          </w:p>
        </w:tc>
      </w:tr>
      <w:tr>
        <w:trPr>
          <w:trHeight w:val="217"/>
        </w:trPr>
        <w:tc>
          <w:tcPr>
            <w:tcW w:w="7040" w:type="dxa"/>
            <w:vAlign w:val="bottom"/>
          </w:tcPr>
          <w:p>
            <w:pPr>
              <w:ind w:left="1960"/>
              <w:spacing w:after="0"/>
              <w:rPr>
                <w:sz w:val="20"/>
                <w:szCs w:val="20"/>
                <w:color w:val="auto"/>
              </w:rPr>
            </w:pPr>
            <w:r>
              <w:rPr>
                <w:rFonts w:ascii="Arial" w:cs="Arial" w:eastAsia="Arial" w:hAnsi="Arial"/>
                <w:sz w:val="16"/>
                <w:szCs w:val="16"/>
                <w:color w:val="auto"/>
              </w:rPr>
              <w:t>Allowance for unfunded commitments at end of period</w:t>
            </w: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3,141</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2,440</w:t>
            </w:r>
          </w:p>
        </w:tc>
        <w:tc>
          <w:tcPr>
            <w:tcW w:w="1940" w:type="dxa"/>
            <w:vAlign w:val="bottom"/>
          </w:tcPr>
          <w:p>
            <w:pPr>
              <w:spacing w:after="0"/>
              <w:rPr>
                <w:sz w:val="18"/>
                <w:szCs w:val="18"/>
                <w:color w:val="auto"/>
              </w:rPr>
            </w:pPr>
          </w:p>
        </w:tc>
      </w:tr>
      <w:tr>
        <w:trPr>
          <w:trHeight w:val="33"/>
        </w:trPr>
        <w:tc>
          <w:tcPr>
            <w:tcW w:w="7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44"/>
        </w:trPr>
        <w:tc>
          <w:tcPr>
            <w:tcW w:w="7040" w:type="dxa"/>
            <w:vAlign w:val="bottom"/>
            <w:tcBorders>
              <w:bottom w:val="single" w:sz="8" w:color="CCEEFF"/>
            </w:tcBorders>
            <w:shd w:val="clear" w:color="auto" w:fill="CCEEFF"/>
          </w:tcPr>
          <w:p>
            <w:pPr>
              <w:ind w:left="1960"/>
              <w:spacing w:after="0"/>
              <w:rPr>
                <w:sz w:val="20"/>
                <w:szCs w:val="20"/>
                <w:color w:val="auto"/>
              </w:rPr>
            </w:pPr>
            <w:r>
              <w:rPr>
                <w:rFonts w:ascii="Arial" w:cs="Arial" w:eastAsia="Arial" w:hAnsi="Arial"/>
                <w:sz w:val="16"/>
                <w:szCs w:val="16"/>
                <w:color w:val="auto"/>
              </w:rPr>
              <w:t>Allowance for credit losses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64,783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63,525</w:t>
            </w:r>
          </w:p>
        </w:tc>
        <w:tc>
          <w:tcPr>
            <w:tcW w:w="1940" w:type="dxa"/>
            <w:vAlign w:val="bottom"/>
            <w:tcBorders>
              <w:bottom w:val="single" w:sz="8" w:color="CCEEFF"/>
            </w:tcBorders>
            <w:shd w:val="clear" w:color="auto" w:fill="CCEEFF"/>
          </w:tcPr>
          <w:p>
            <w:pPr>
              <w:spacing w:after="0"/>
              <w:rPr>
                <w:sz w:val="21"/>
                <w:szCs w:val="21"/>
                <w:color w:val="auto"/>
              </w:rPr>
            </w:pPr>
          </w:p>
        </w:tc>
      </w:tr>
      <w:tr>
        <w:trPr>
          <w:trHeight w:val="20"/>
        </w:trPr>
        <w:tc>
          <w:tcPr>
            <w:tcW w:w="7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57"/>
        </w:trPr>
        <w:tc>
          <w:tcPr>
            <w:tcW w:w="7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250"/>
        </w:trPr>
        <w:tc>
          <w:tcPr>
            <w:tcW w:w="7040" w:type="dxa"/>
            <w:vAlign w:val="bottom"/>
            <w:tcBorders>
              <w:bottom w:val="single" w:sz="8" w:color="CCEEFF"/>
            </w:tcBorders>
            <w:shd w:val="clear" w:color="auto" w:fill="CCEEFF"/>
          </w:tcPr>
          <w:p>
            <w:pPr>
              <w:ind w:left="1960"/>
              <w:spacing w:after="0"/>
              <w:rPr>
                <w:sz w:val="20"/>
                <w:szCs w:val="20"/>
                <w:color w:val="auto"/>
              </w:rPr>
            </w:pPr>
            <w:r>
              <w:rPr>
                <w:rFonts w:ascii="Arial" w:cs="Arial" w:eastAsia="Arial" w:hAnsi="Arial"/>
                <w:sz w:val="16"/>
                <w:szCs w:val="16"/>
                <w:color w:val="auto"/>
              </w:rPr>
              <w:t>Total loans and leases: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37"/>
        </w:trPr>
        <w:tc>
          <w:tcPr>
            <w:tcW w:w="7040" w:type="dxa"/>
            <w:vAlign w:val="bottom"/>
          </w:tcPr>
          <w:p>
            <w:pPr>
              <w:ind w:left="2080"/>
              <w:spacing w:after="0"/>
              <w:rPr>
                <w:sz w:val="20"/>
                <w:szCs w:val="20"/>
                <w:color w:val="auto"/>
              </w:rPr>
            </w:pPr>
            <w:r>
              <w:rPr>
                <w:rFonts w:ascii="Arial" w:cs="Arial" w:eastAsia="Arial" w:hAnsi="Arial"/>
                <w:sz w:val="16"/>
                <w:szCs w:val="16"/>
                <w:color w:val="auto"/>
              </w:rPr>
              <w:t>At period-end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8,493,254</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8,184,249</w:t>
            </w:r>
          </w:p>
        </w:tc>
        <w:tc>
          <w:tcPr>
            <w:tcW w:w="1940" w:type="dxa"/>
            <w:vAlign w:val="bottom"/>
          </w:tcPr>
          <w:p>
            <w:pPr>
              <w:spacing w:after="0"/>
              <w:rPr>
                <w:sz w:val="20"/>
                <w:szCs w:val="20"/>
                <w:color w:val="auto"/>
              </w:rPr>
            </w:pPr>
          </w:p>
        </w:tc>
      </w:tr>
      <w:tr>
        <w:trPr>
          <w:trHeight w:val="33"/>
        </w:trPr>
        <w:tc>
          <w:tcPr>
            <w:tcW w:w="7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080"/>
              <w:spacing w:after="0"/>
              <w:rPr>
                <w:sz w:val="20"/>
                <w:szCs w:val="20"/>
                <w:color w:val="auto"/>
              </w:rPr>
            </w:pPr>
            <w:r>
              <w:rPr>
                <w:rFonts w:ascii="Arial" w:cs="Arial" w:eastAsia="Arial" w:hAnsi="Arial"/>
                <w:sz w:val="16"/>
                <w:szCs w:val="16"/>
                <w:color w:val="auto"/>
              </w:rPr>
              <w:t>Average</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8,429,976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7,993,339</w:t>
            </w:r>
          </w:p>
        </w:tc>
        <w:tc>
          <w:tcPr>
            <w:tcW w:w="1940" w:type="dxa"/>
            <w:vAlign w:val="bottom"/>
            <w:tcBorders>
              <w:bottom w:val="single" w:sz="8" w:color="CCEEFF"/>
            </w:tcBorders>
            <w:shd w:val="clear" w:color="auto" w:fill="CCEEFF"/>
          </w:tcPr>
          <w:p>
            <w:pPr>
              <w:spacing w:after="0"/>
              <w:rPr>
                <w:sz w:val="21"/>
                <w:szCs w:val="21"/>
                <w:color w:val="auto"/>
              </w:rPr>
            </w:pPr>
          </w:p>
        </w:tc>
      </w:tr>
      <w:tr>
        <w:trPr>
          <w:trHeight w:val="220"/>
        </w:trPr>
        <w:tc>
          <w:tcPr>
            <w:tcW w:w="7040" w:type="dxa"/>
            <w:vAlign w:val="bottom"/>
          </w:tcPr>
          <w:p>
            <w:pPr>
              <w:ind w:left="1960"/>
              <w:spacing w:after="0"/>
              <w:rPr>
                <w:sz w:val="20"/>
                <w:szCs w:val="20"/>
                <w:color w:val="auto"/>
              </w:rPr>
            </w:pPr>
            <w:r>
              <w:rPr>
                <w:rFonts w:ascii="Arial" w:cs="Arial" w:eastAsia="Arial" w:hAnsi="Arial"/>
                <w:sz w:val="16"/>
                <w:szCs w:val="16"/>
                <w:color w:val="auto"/>
                <w:w w:val="92"/>
              </w:rPr>
              <w:t>Allowance for loan and lease losses as a percentage of period-end loans and</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06"/>
        </w:trPr>
        <w:tc>
          <w:tcPr>
            <w:tcW w:w="7040" w:type="dxa"/>
            <w:vAlign w:val="bottom"/>
          </w:tcPr>
          <w:p>
            <w:pPr>
              <w:ind w:left="1960"/>
              <w:spacing w:after="0"/>
              <w:rPr>
                <w:sz w:val="20"/>
                <w:szCs w:val="20"/>
                <w:color w:val="auto"/>
              </w:rPr>
            </w:pPr>
            <w:r>
              <w:rPr>
                <w:rFonts w:ascii="Arial" w:cs="Arial" w:eastAsia="Arial" w:hAnsi="Arial"/>
                <w:sz w:val="16"/>
                <w:szCs w:val="16"/>
                <w:color w:val="auto"/>
              </w:rPr>
              <w:t>leases</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0.73%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0.75%</w:t>
            </w:r>
          </w:p>
        </w:tc>
        <w:tc>
          <w:tcPr>
            <w:tcW w:w="1940" w:type="dxa"/>
            <w:vAlign w:val="bottom"/>
          </w:tcPr>
          <w:p>
            <w:pPr>
              <w:spacing w:after="0"/>
              <w:rPr>
                <w:sz w:val="17"/>
                <w:szCs w:val="17"/>
                <w:color w:val="auto"/>
              </w:rPr>
            </w:pPr>
          </w:p>
        </w:tc>
      </w:tr>
      <w:tr>
        <w:trPr>
          <w:trHeight w:val="33"/>
        </w:trPr>
        <w:tc>
          <w:tcPr>
            <w:tcW w:w="7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1960"/>
              <w:spacing w:after="0"/>
              <w:rPr>
                <w:sz w:val="20"/>
                <w:szCs w:val="20"/>
                <w:color w:val="auto"/>
              </w:rPr>
            </w:pPr>
            <w:r>
              <w:rPr>
                <w:rFonts w:ascii="Arial" w:cs="Arial" w:eastAsia="Arial" w:hAnsi="Arial"/>
                <w:sz w:val="16"/>
                <w:szCs w:val="16"/>
                <w:color w:val="auto"/>
              </w:rPr>
              <w:t>As a percentage of average loans (annualized):</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37"/>
        </w:trPr>
        <w:tc>
          <w:tcPr>
            <w:tcW w:w="7040" w:type="dxa"/>
            <w:vAlign w:val="bottom"/>
          </w:tcPr>
          <w:p>
            <w:pPr>
              <w:ind w:left="2080"/>
              <w:spacing w:after="0"/>
              <w:rPr>
                <w:sz w:val="20"/>
                <w:szCs w:val="20"/>
                <w:color w:val="auto"/>
              </w:rPr>
            </w:pPr>
            <w:r>
              <w:rPr>
                <w:rFonts w:ascii="Arial" w:cs="Arial" w:eastAsia="Arial" w:hAnsi="Arial"/>
                <w:sz w:val="16"/>
                <w:szCs w:val="16"/>
                <w:color w:val="auto"/>
              </w:rPr>
              <w:t>Net charge-offs</w:t>
            </w:r>
          </w:p>
        </w:tc>
        <w:tc>
          <w:tcPr>
            <w:tcW w:w="22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0.15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0.08</w:t>
            </w:r>
          </w:p>
        </w:tc>
        <w:tc>
          <w:tcPr>
            <w:tcW w:w="1940" w:type="dxa"/>
            <w:vAlign w:val="bottom"/>
          </w:tcPr>
          <w:p>
            <w:pPr>
              <w:spacing w:after="0"/>
              <w:rPr>
                <w:sz w:val="20"/>
                <w:szCs w:val="20"/>
                <w:color w:val="auto"/>
              </w:rPr>
            </w:pPr>
          </w:p>
        </w:tc>
      </w:tr>
      <w:tr>
        <w:trPr>
          <w:trHeight w:val="33"/>
        </w:trPr>
        <w:tc>
          <w:tcPr>
            <w:tcW w:w="7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7040" w:type="dxa"/>
            <w:vAlign w:val="bottom"/>
            <w:shd w:val="clear" w:color="auto" w:fill="CCEEFF"/>
          </w:tcPr>
          <w:p>
            <w:pPr>
              <w:ind w:left="2080"/>
              <w:spacing w:after="0"/>
              <w:rPr>
                <w:sz w:val="20"/>
                <w:szCs w:val="20"/>
                <w:color w:val="auto"/>
              </w:rPr>
            </w:pPr>
            <w:r>
              <w:rPr>
                <w:rFonts w:ascii="Arial" w:cs="Arial" w:eastAsia="Arial" w:hAnsi="Arial"/>
                <w:sz w:val="16"/>
                <w:szCs w:val="16"/>
                <w:color w:val="auto"/>
              </w:rPr>
              <w:t>Provision for loan and lease losses</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0.17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0.19</w:t>
            </w:r>
          </w:p>
        </w:tc>
        <w:tc>
          <w:tcPr>
            <w:tcW w:w="1940" w:type="dxa"/>
            <w:vAlign w:val="bottom"/>
            <w:shd w:val="clear" w:color="auto" w:fill="CCEEFF"/>
          </w:tcPr>
          <w:p>
            <w:pPr>
              <w:spacing w:after="0"/>
              <w:rPr>
                <w:sz w:val="20"/>
                <w:szCs w:val="20"/>
                <w:color w:val="auto"/>
              </w:rPr>
            </w:pPr>
          </w:p>
        </w:tc>
      </w:tr>
      <w:tr>
        <w:trPr>
          <w:trHeight w:val="33"/>
        </w:trPr>
        <w:tc>
          <w:tcPr>
            <w:tcW w:w="7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42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584" w:right="239" w:bottom="420" w:gutter="0" w:footer="0" w:header="0"/>
          <w:type w:val="continuous"/>
        </w:sectPr>
      </w:pPr>
    </w:p>
    <w:bookmarkStart w:id="56" w:name="page57"/>
    <w:bookmarkEnd w:id="56"/>
    <w:p>
      <w:pPr>
        <w:jc w:val="both"/>
        <w:spacing w:after="0" w:line="257" w:lineRule="auto"/>
        <w:rPr>
          <w:sz w:val="20"/>
          <w:szCs w:val="20"/>
          <w:color w:val="auto"/>
        </w:rPr>
      </w:pPr>
      <w:r>
        <w:rPr>
          <w:rFonts w:ascii="Arial" w:cs="Arial" w:eastAsia="Arial" w:hAnsi="Arial"/>
          <w:sz w:val="18"/>
          <w:szCs w:val="18"/>
          <w:color w:val="auto"/>
        </w:rPr>
        <w:t>The provision for credit losses charged to earnings is based upon management’s judgment of the amount necessary to maintain the allowance at a level appropriate to absorb probable incurred losses in the loan portfolio at the balance sheet date. The amount each quarter is dependent upon many factors, including growth and changes in the composition of the loan portfolio, net charge-offs, delinquencies, management’s assessment of loan portfolio quality, the value of collateral, and other macro-economic factors and trends. The evaluation of these factors is performed quarterly by management through an analysis of the appropriateness of the allowance for loan losses.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allowance for credit losses, which includes a portion related to unfunded commitments, totaled $64.8 million at March 31, 2019, compared with $64.6 million at December 31, 2018. At March 31, 2019, the allowance for loan losses was $61.6 million, or 0.73% of loans, compared with $61.2 million, or 0.73% of total loans, at December 31, 2018.</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believes that the allowance for credit losses at March 31, 2019 reflects the probable incurred losses in the loan portfolio and unfunded loan commitments. This assessment involves uncertainty and judgment and is subject to change in future periods. The amount of any changes could be significant if management’s assessment of loan quality or collateral values change substantially with respect to one or more loan relationships or portfolios. In addition, bank regulatory authorities, as part of their periodic examination of the Bank, may require adjustments to the allowance for credit losses in future periods if, in their opinion, the results of their review warrant such adjustments.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Nonperforming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nonperforming assets (“NPAs”).</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Table 9 - Nonperforming Assets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2019</w:t>
            </w:r>
          </w:p>
        </w:tc>
        <w:tc>
          <w:tcPr>
            <w:tcW w:w="180" w:type="dxa"/>
            <w:vAlign w:val="bottom"/>
          </w:tcPr>
          <w:p>
            <w:pPr>
              <w:spacing w:after="0"/>
              <w:rPr>
                <w:sz w:val="20"/>
                <w:szCs w:val="20"/>
                <w:color w:val="auto"/>
              </w:rPr>
            </w:pPr>
          </w:p>
        </w:tc>
        <w:tc>
          <w:tcPr>
            <w:tcW w:w="172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December 31, 2018</w:t>
            </w:r>
          </w:p>
        </w:tc>
      </w:tr>
      <w:tr>
        <w:trPr>
          <w:trHeight w:val="27"/>
        </w:trPr>
        <w:tc>
          <w:tcPr>
            <w:tcW w:w="7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Nonaccrual loans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23,624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23,778</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Foreclosed properties/other real estate owned ("OREO")</w:t>
            </w:r>
          </w:p>
        </w:tc>
        <w:tc>
          <w:tcPr>
            <w:tcW w:w="260" w:type="dxa"/>
            <w:vAlign w:val="bottom"/>
          </w:tcPr>
          <w:p>
            <w:pPr>
              <w:spacing w:after="0"/>
              <w:rPr>
                <w:sz w:val="21"/>
                <w:szCs w:val="21"/>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color w:val="auto"/>
              </w:rPr>
              <w:t>1,127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ind w:right="90"/>
              <w:spacing w:after="0"/>
              <w:rPr>
                <w:sz w:val="20"/>
                <w:szCs w:val="20"/>
                <w:color w:val="auto"/>
              </w:rPr>
            </w:pPr>
            <w:r>
              <w:rPr>
                <w:rFonts w:ascii="Arial" w:cs="Arial" w:eastAsia="Arial" w:hAnsi="Arial"/>
                <w:sz w:val="18"/>
                <w:szCs w:val="18"/>
                <w:color w:val="auto"/>
              </w:rPr>
              <w:t>1,305</w:t>
            </w:r>
          </w:p>
        </w:tc>
      </w:tr>
      <w:tr>
        <w:trPr>
          <w:trHeight w:val="27"/>
        </w:trPr>
        <w:tc>
          <w:tcPr>
            <w:tcW w:w="7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7"/>
        </w:trPr>
        <w:tc>
          <w:tcPr>
            <w:tcW w:w="7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nonperforming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24,751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25,083</w:t>
            </w:r>
          </w:p>
        </w:tc>
      </w:tr>
      <w:tr>
        <w:trPr>
          <w:trHeight w:val="20"/>
        </w:trPr>
        <w:tc>
          <w:tcPr>
            <w:tcW w:w="7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71"/>
        </w:trPr>
        <w:tc>
          <w:tcPr>
            <w:tcW w:w="7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Nonaccrual loans as a percentage of total loans and leases</w:t>
            </w:r>
          </w:p>
        </w:tc>
        <w:tc>
          <w:tcPr>
            <w:tcW w:w="2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0.28%</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Nonperforming assets as a percentage of total loans and OREO</w:t>
            </w:r>
          </w:p>
        </w:tc>
        <w:tc>
          <w:tcPr>
            <w:tcW w:w="260" w:type="dxa"/>
            <w:vAlign w:val="bottom"/>
          </w:tcPr>
          <w:p>
            <w:pPr>
              <w:spacing w:after="0"/>
              <w:rPr>
                <w:sz w:val="21"/>
                <w:szCs w:val="21"/>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ind w:right="90"/>
              <w:spacing w:after="0"/>
              <w:rPr>
                <w:sz w:val="20"/>
                <w:szCs w:val="20"/>
                <w:color w:val="auto"/>
              </w:rPr>
            </w:pPr>
            <w:r>
              <w:rPr>
                <w:rFonts w:ascii="Arial" w:cs="Arial" w:eastAsia="Arial" w:hAnsi="Arial"/>
                <w:sz w:val="18"/>
                <w:szCs w:val="18"/>
                <w:color w:val="auto"/>
              </w:rPr>
              <w:t>0.30</w:t>
            </w:r>
          </w:p>
        </w:tc>
      </w:tr>
      <w:tr>
        <w:trPr>
          <w:trHeight w:val="27"/>
        </w:trPr>
        <w:tc>
          <w:tcPr>
            <w:tcW w:w="7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43"/>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Nonperforming assets as a percentage of total assets</w:t>
            </w:r>
          </w:p>
        </w:tc>
        <w:tc>
          <w:tcPr>
            <w:tcW w:w="260" w:type="dxa"/>
            <w:vAlign w:val="bottom"/>
            <w:shd w:val="clear" w:color="auto" w:fill="CCEEFF"/>
          </w:tcPr>
          <w:p>
            <w:pPr>
              <w:spacing w:after="0"/>
              <w:rPr>
                <w:sz w:val="21"/>
                <w:szCs w:val="21"/>
                <w:color w:val="auto"/>
              </w:rPr>
            </w:pPr>
          </w:p>
        </w:tc>
        <w:tc>
          <w:tcPr>
            <w:tcW w:w="1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0.20</w:t>
            </w:r>
          </w:p>
        </w:tc>
      </w:tr>
      <w:tr>
        <w:trPr>
          <w:trHeight w:val="27"/>
        </w:trPr>
        <w:tc>
          <w:tcPr>
            <w:tcW w:w="74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United’s policy is to place loans on nonaccrual status when, in the opinion of management, the principal and interest on a loan is not likely to be repaid in full or when the loan becomes 90 days past due. When a loan is classified on nonaccrual status, interest previously accrued but not collected is reversed against current interest revenue. Principal and interest payments received on a nonaccrual loan are generally applied to reduce the loan’s recorded investment.</w:t>
      </w:r>
    </w:p>
    <w:p>
      <w:pPr>
        <w:spacing w:after="0" w:line="14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Purchased credit impaired (“PCI”) loans are considered past due or delinquent when the contractual principal or interest due in accordance with the terms of the loan agreement remains unpaid after the due date of the scheduled payment. However, these loans are considered as performing, even though they may be contractually past due, as any non-payment of contractual principal or interest is considered in the periodic re-estimation of expected cash flows and is included in the resulting recognition of current period loan loss provision or future period yield adjustments. The accrual of interest is discontinued on PCI loans if management can no longer reliably estimate future cash flows on the loan. No PCI loans were classified as nonaccrual at March 31, 2019 or December 31, 2018 as the carrying value of the respective loan or pool of loans cash flows were considered estimable and probable of collection. Therefore, interest revenue, through accretion of the difference between the carrying value of the loans and the expected cash flows, is being recognized on all PCI loans.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84"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The following table summarizes nonperforming assets by category and market as of the dates indicated.</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Table 10 - Nonperforming Assets by Category and Market</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4"/>
              </w:rPr>
              <w:t>March 31, 2019</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December 31, 2018</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Nonaccrual</w:t>
            </w: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Foreclosed</w:t>
            </w:r>
          </w:p>
        </w:tc>
        <w:tc>
          <w:tcPr>
            <w:tcW w:w="280" w:type="dxa"/>
            <w:vAlign w:val="bottom"/>
          </w:tcPr>
          <w:p>
            <w:pPr>
              <w:spacing w:after="0"/>
              <w:rPr>
                <w:sz w:val="18"/>
                <w:szCs w:val="18"/>
                <w:color w:val="auto"/>
              </w:rPr>
            </w:pPr>
          </w:p>
        </w:tc>
        <w:tc>
          <w:tcPr>
            <w:tcW w:w="108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auto"/>
                <w:w w:val="96"/>
              </w:rPr>
              <w:t>Nonaccrual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Foreclosed</w:t>
            </w:r>
          </w:p>
        </w:tc>
        <w:tc>
          <w:tcPr>
            <w:tcW w:w="260" w:type="dxa"/>
            <w:vAlign w:val="bottom"/>
          </w:tcPr>
          <w:p>
            <w:pPr>
              <w:spacing w:after="0"/>
              <w:rPr>
                <w:sz w:val="18"/>
                <w:szCs w:val="18"/>
                <w:color w:val="auto"/>
              </w:rPr>
            </w:pPr>
          </w:p>
        </w:tc>
        <w:tc>
          <w:tcPr>
            <w:tcW w:w="980" w:type="dxa"/>
            <w:vAlign w:val="bottom"/>
          </w:tcPr>
          <w:p>
            <w:pPr>
              <w:jc w:val="right"/>
              <w:ind w:right="359"/>
              <w:spacing w:after="0"/>
              <w:rPr>
                <w:sz w:val="20"/>
                <w:szCs w:val="20"/>
                <w:color w:val="auto"/>
              </w:rPr>
            </w:pPr>
            <w:r>
              <w:rPr>
                <w:rFonts w:ascii="Arial" w:cs="Arial" w:eastAsia="Arial" w:hAnsi="Arial"/>
                <w:sz w:val="16"/>
                <w:szCs w:val="16"/>
                <w:b w:val="1"/>
                <w:bCs w:val="1"/>
                <w:color w:val="auto"/>
              </w:rPr>
              <w:t>Total</w:t>
            </w:r>
          </w:p>
        </w:tc>
      </w:tr>
      <w:tr>
        <w:trPr>
          <w:trHeight w:val="210"/>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Loans</w:t>
            </w: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Properties</w:t>
            </w:r>
          </w:p>
        </w:tc>
        <w:tc>
          <w:tcPr>
            <w:tcW w:w="28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Arial" w:cs="Arial" w:eastAsia="Arial" w:hAnsi="Arial"/>
                <w:sz w:val="16"/>
                <w:szCs w:val="16"/>
                <w:b w:val="1"/>
                <w:bCs w:val="1"/>
                <w:color w:val="auto"/>
              </w:rPr>
              <w:t>NPAs</w:t>
            </w:r>
          </w:p>
        </w:tc>
        <w:tc>
          <w:tcPr>
            <w:tcW w:w="160" w:type="dxa"/>
            <w:vAlign w:val="bottom"/>
          </w:tcPr>
          <w:p>
            <w:pPr>
              <w:spacing w:after="0"/>
              <w:rPr>
                <w:sz w:val="18"/>
                <w:szCs w:val="18"/>
                <w:color w:val="auto"/>
              </w:rPr>
            </w:pPr>
          </w:p>
        </w:tc>
        <w:tc>
          <w:tcPr>
            <w:tcW w:w="1080" w:type="dxa"/>
            <w:vAlign w:val="bottom"/>
          </w:tcPr>
          <w:p>
            <w:pPr>
              <w:jc w:val="right"/>
              <w:ind w:right="339"/>
              <w:spacing w:after="0"/>
              <w:rPr>
                <w:sz w:val="20"/>
                <w:szCs w:val="20"/>
                <w:color w:val="auto"/>
              </w:rPr>
            </w:pPr>
            <w:r>
              <w:rPr>
                <w:rFonts w:ascii="Arial" w:cs="Arial" w:eastAsia="Arial" w:hAnsi="Arial"/>
                <w:sz w:val="16"/>
                <w:szCs w:val="16"/>
                <w:b w:val="1"/>
                <w:bCs w:val="1"/>
                <w:color w:val="auto"/>
              </w:rPr>
              <w:t>Loans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Properties</w:t>
            </w:r>
          </w:p>
        </w:tc>
        <w:tc>
          <w:tcPr>
            <w:tcW w:w="260" w:type="dxa"/>
            <w:vAlign w:val="bottom"/>
          </w:tcPr>
          <w:p>
            <w:pPr>
              <w:spacing w:after="0"/>
              <w:rPr>
                <w:sz w:val="18"/>
                <w:szCs w:val="18"/>
                <w:color w:val="auto"/>
              </w:rPr>
            </w:pPr>
          </w:p>
        </w:tc>
        <w:tc>
          <w:tcPr>
            <w:tcW w:w="980" w:type="dxa"/>
            <w:vAlign w:val="bottom"/>
          </w:tcPr>
          <w:p>
            <w:pPr>
              <w:jc w:val="right"/>
              <w:ind w:right="339"/>
              <w:spacing w:after="0"/>
              <w:rPr>
                <w:sz w:val="20"/>
                <w:szCs w:val="20"/>
                <w:color w:val="auto"/>
              </w:rPr>
            </w:pPr>
            <w:r>
              <w:rPr>
                <w:rFonts w:ascii="Arial" w:cs="Arial" w:eastAsia="Arial" w:hAnsi="Arial"/>
                <w:sz w:val="16"/>
                <w:szCs w:val="16"/>
                <w:b w:val="1"/>
                <w:bCs w:val="1"/>
                <w:color w:val="auto"/>
              </w:rPr>
              <w:t>NPAs</w:t>
            </w: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BY CATEGORY</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Owner occupied commercial real estate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7,030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7,175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6,421</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6,591</w:t>
            </w: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producing commercial real estate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1,160</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Commercial &amp; industrial</w:t>
            </w: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1,666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1,666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1,417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1,417</w:t>
            </w: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 construction</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1,026</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Equipment financing</w:t>
            </w: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1,813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2,677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2,677</w:t>
            </w: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commercial</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12,258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12,824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12,280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12,871</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Residential mortgage</w:t>
            </w: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8,281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336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8,617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8,035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654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8,689</w:t>
            </w: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Home equity lines of credit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2,420</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Residential construction</w:t>
            </w: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347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387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288</w:t>
            </w: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 direct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Indirect auto</w:t>
            </w: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458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458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726</w:t>
            </w: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34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Total NPAs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23,624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1,127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24,751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23,778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25,083</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3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BY MARKET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North Georgia</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5,848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430</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6,278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6,527</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286</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6,813</w:t>
            </w: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Atlanta MSA</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1,578</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North Carolina</w:t>
            </w: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3,464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484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3,948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3,259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743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4,002</w:t>
            </w: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Coastal Georgia</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1,491</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Gainesville MSA</w:t>
            </w: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479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479</w:t>
            </w: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East Tennessee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1,147</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South Carolina</w:t>
            </w: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4,476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4,689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4,123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276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4,399</w:t>
            </w: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 Banking Solutions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4,448</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Indirect auto</w:t>
            </w: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458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458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726</w:t>
            </w: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34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Total NPAs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23,624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1,127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24,751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23,778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25,083</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2019 and December 31, 2018, United had $50.3 million and $52.4 million, respectively, in loans with terms that have been modified in troubled debt restructurings (“TDRs”). Included therein were $6.68 million and $7.09 million, respectively, of TDRs that were classified as nonaccrual and were included in nonperforming loans. The remaining TDRs with an aggregate balance of $43.7 million and $45.3 million, respectively, were performing according to their modified terms and are therefore not considered to be nonperforming assets.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March 31, 2019 and December 31, 2018, there were $53.8 million and $55.4 million, respectively, of loans classified as impaired under the definition outlined in the Accounting Standards Codification, including TDRs which are by definition considered impaired. Included in impaired loans at March 31, 2019 and December 31, 2018 was $21.7 million and $23.5 million, respectively, that did not require specific reserves or had previously been charged down to net realizable value. The remaining balance of impaired loans at March 31, 2019 and December 31, 2018 of $32.1 million and $32.0 million, respectively, had specific reserves that totaled $2.22 million and $2.31 million, respectively. The average recorded investment in impaired loans for the first quarters of 2019 and 2018 was $54.3 million and $66.2 million, respectively. For the three months ended March 31, 2019, United recognized $745,000 in interest revenue on impaired loans compared to $746,000 for the same period of the prior year.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84"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The table below summarizes activity in nonperforming assets for the periods indicated.</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Table 11 - Activity in Nonperforming Assets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4"/>
              </w:rPr>
              <w:t>First Quarter 2019</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4"/>
              </w:rPr>
              <w:t>First Quarter 2018</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b w:val="1"/>
                <w:bCs w:val="1"/>
                <w:color w:val="auto"/>
                <w:w w:val="94"/>
              </w:rPr>
              <w:t>Nonaccrual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Foreclosed</w:t>
            </w:r>
          </w:p>
        </w:tc>
        <w:tc>
          <w:tcPr>
            <w:tcW w:w="240" w:type="dxa"/>
            <w:vAlign w:val="bottom"/>
          </w:tcPr>
          <w:p>
            <w:pPr>
              <w:spacing w:after="0"/>
              <w:rPr>
                <w:sz w:val="18"/>
                <w:szCs w:val="18"/>
                <w:color w:val="auto"/>
              </w:rPr>
            </w:pPr>
          </w:p>
        </w:tc>
        <w:tc>
          <w:tcPr>
            <w:tcW w:w="1020" w:type="dxa"/>
            <w:vAlign w:val="bottom"/>
            <w:gridSpan w:val="2"/>
          </w:tcPr>
          <w:p>
            <w:pPr>
              <w:ind w:left="16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8"/>
                <w:szCs w:val="18"/>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w w:val="91"/>
              </w:rPr>
              <w:t>Nonaccrual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Foreclosed</w:t>
            </w:r>
          </w:p>
        </w:tc>
        <w:tc>
          <w:tcPr>
            <w:tcW w:w="240" w:type="dxa"/>
            <w:vAlign w:val="bottom"/>
          </w:tcPr>
          <w:p>
            <w:pPr>
              <w:spacing w:after="0"/>
              <w:rPr>
                <w:sz w:val="18"/>
                <w:szCs w:val="18"/>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r>
      <w:tr>
        <w:trPr>
          <w:trHeight w:val="210"/>
        </w:trPr>
        <w:tc>
          <w:tcPr>
            <w:tcW w:w="4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279"/>
              <w:spacing w:after="0"/>
              <w:rPr>
                <w:sz w:val="20"/>
                <w:szCs w:val="20"/>
                <w:color w:val="auto"/>
              </w:rPr>
            </w:pPr>
            <w:r>
              <w:rPr>
                <w:rFonts w:ascii="Arial" w:cs="Arial" w:eastAsia="Arial" w:hAnsi="Arial"/>
                <w:sz w:val="16"/>
                <w:szCs w:val="16"/>
                <w:b w:val="1"/>
                <w:bCs w:val="1"/>
                <w:color w:val="auto"/>
              </w:rPr>
              <w:t>Loans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Properties</w:t>
            </w:r>
          </w:p>
        </w:tc>
        <w:tc>
          <w:tcPr>
            <w:tcW w:w="24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Arial" w:cs="Arial" w:eastAsia="Arial" w:hAnsi="Arial"/>
                <w:sz w:val="16"/>
                <w:szCs w:val="16"/>
                <w:b w:val="1"/>
                <w:bCs w:val="1"/>
                <w:color w:val="auto"/>
              </w:rPr>
              <w:t>NPAs</w:t>
            </w:r>
          </w:p>
        </w:tc>
        <w:tc>
          <w:tcPr>
            <w:tcW w:w="140" w:type="dxa"/>
            <w:vAlign w:val="bottom"/>
          </w:tcPr>
          <w:p>
            <w:pPr>
              <w:spacing w:after="0"/>
              <w:rPr>
                <w:sz w:val="18"/>
                <w:szCs w:val="18"/>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b w:val="1"/>
                <w:bCs w:val="1"/>
                <w:color w:val="auto"/>
              </w:rPr>
              <w:t>Loans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Properties</w:t>
            </w:r>
          </w:p>
        </w:tc>
        <w:tc>
          <w:tcPr>
            <w:tcW w:w="240" w:type="dxa"/>
            <w:vAlign w:val="bottom"/>
          </w:tcPr>
          <w:p>
            <w:pPr>
              <w:spacing w:after="0"/>
              <w:rPr>
                <w:sz w:val="18"/>
                <w:szCs w:val="18"/>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b w:val="1"/>
                <w:bCs w:val="1"/>
                <w:color w:val="auto"/>
              </w:rPr>
              <w:t>NPAs</w:t>
            </w:r>
          </w:p>
        </w:tc>
      </w:tr>
      <w:tr>
        <w:trPr>
          <w:trHeight w:val="33"/>
        </w:trPr>
        <w:tc>
          <w:tcPr>
            <w:tcW w:w="4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Beginning Balance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23,778</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1,305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25,083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23,658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3,234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26,892</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Acquisitions</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428</w:t>
            </w:r>
          </w:p>
        </w:tc>
      </w:tr>
      <w:tr>
        <w:trPr>
          <w:trHeight w:val="33"/>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 placed on nonaccrual</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7,463</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Payments received</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(3,534)</w:t>
            </w:r>
          </w:p>
        </w:tc>
      </w:tr>
      <w:tr>
        <w:trPr>
          <w:trHeight w:val="33"/>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 charge-offs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(1,150)</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Foreclosures</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(679)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751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sales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(957)</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Write downs</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33"/>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gains (losses) on sales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w:t>
            </w:r>
          </w:p>
        </w:tc>
      </w:tr>
      <w:tr>
        <w:trPr>
          <w:trHeight w:val="244"/>
        </w:trPr>
        <w:tc>
          <w:tcPr>
            <w:tcW w:w="4000" w:type="dxa"/>
            <w:vAlign w:val="bottom"/>
          </w:tcPr>
          <w:p>
            <w:pPr>
              <w:ind w:left="280"/>
              <w:spacing w:after="0"/>
              <w:rPr>
                <w:sz w:val="20"/>
                <w:szCs w:val="20"/>
                <w:color w:val="auto"/>
              </w:rPr>
            </w:pPr>
            <w:r>
              <w:rPr>
                <w:rFonts w:ascii="Arial" w:cs="Arial" w:eastAsia="Arial" w:hAnsi="Arial"/>
                <w:sz w:val="16"/>
                <w:szCs w:val="16"/>
                <w:b w:val="1"/>
                <w:bCs w:val="1"/>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23,624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1,127</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24,751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26,240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2,714</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28,954</w:t>
            </w: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Foreclosed property is initially recorded at fair value, less estimated costs to sell. If the fair value, less estimated costs to sell, at the time of foreclosure is less than the loan balance, the deficiency is charged against the allowance for loan losses. If the lesser of fair value, less estimated costs to sell, or the listed selling price, less the costs to sell, of the foreclosed property decreases during the holding period, a valuation allowance is established with a charge to foreclosed property expense. When the foreclosed property is sold, a gain or loss is recognized on the sale for the difference between the sales proceeds and the carrying amount of the property.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composition of the investment securities portfolio reflects United’s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 and borrowings, including repurchase agreements.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2019 and December 31, 2018, United had debt securities held-to-maturity with a carrying amount of $265 million and $274 million, respectively, and debt securities available-for-sale totaling $2.45 billion and $2.63 billion, respectively. At March 31, 2019 and December 31, 2018, the securities portfolio represented approximately 22% and 23%, respectively, of total assets. During the first quarter of 2019, management intentionally reduced securities and wholesale borrowings as part of a balance sheet deleveraging strategy.</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investment securities portfolio primarily consists of Treasury securities, U.S. government agency securities, U.S. government sponsored agency mortgage-backed securities, non-agency mortgage-backed securities, corporate securities, municipal securities and asset-backed securities. Mortgage-backed securities rely on the underlying pools of mortgage loans to provide a cash flow of principal and interest. The actual maturities of these securities will usually differ from contractual maturities because loans underlying the securities can prepay. Decreases in interest rates will generally cause an acceleration of prepayment levels. In a declining or prolonged low interest rate environment, United may not be able to reinvest the proceeds from these prepayments in assets that have comparable yields. In a rising rate environment, the opposite occurs - prepayments tend to slow and the weighted average life extends. This is referred to as extension risk which can lead to lower levels of liquidity due to the delay of cash receipts and can result in the holding of a below market yielding asset for a longer period of time. United’s asset-backed securities include collateralized loan obligations and securities backed by student loans.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evaluates its securities portfolio each quarter to determine if any security is considered to be other than temporarily impaired. In making this evaluation, management considers its ability and intent to hold securities to recover current market losses. Losses on United’s fixed income securities at March 31, 2019 primarily reflect the effect of changes in interest rates. United did not recognize any other than temporary impairment losses on its investment securities during the three months ended March 31, 2019 or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2019 and December 31, 2018, 10% and 12%, respectively, of the securities portfolio was invested in floating-rate securities.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84"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Goodwill and Other Intangibles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Goodwill represents the premium paid for acquired companies above the fair value of the assets acquired and liabilities assumed, including separately identifiable intangible assets.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Core deposit intangibles, representing the value of acquired deposit relationships, and noncompete agreements are amortizing intangible assets that are required to be tested for impairment only when events or circumstances indicate that impairment may exist. There were no events or circumstances that led management to believe that any impairment exists in goodwill or other intangible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customer deposits, excluding brokered deposits, as of March 31, 2019 were $9.98 billion, compared to $9.85 billion at December 31, 2018. Total core transaction deposits (demand, NOW, money market and savings deposits, excluding public funds deposits) of $7.09 billion at March 31, 2019 increased $135 million since December 31, 2018. Total customer time deposits increased $70.2 million. United’s high level of service, as evidenced by its strong customer satisfaction scores, has been instrumental in attracting and retaining customer deposit accounts.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 Activities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Bank is a shareholder in the Federal Home Loan Bank of Atlanta (“FHLB”). Through this affiliation, FHLB secured advances totaled $40 million and $160 million, respectively, as of March 31, 2019 and December 31, 2018. United anticipates continued use of this short and long-term source of funds, although the decrease in the first quarter of 2019 was attributable to management’s strategy to deleverage the balance sheet by reducing securities and wholesale borrowings. At March 31, 2019 and December 31, 2018, United also had long-term debt outstanding of $257 million and $267 million, respectively, which includes senior debentures, subordinated debentures, trust preferred securities, and securitized notes payable. Additional information regarding FHLB advances and long-term debt is provided in Notes 12 and 13, respectively, to the consolidated financial statements included in United’s Annual Report on Form 10-K for the year ended December 31,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have not been any material changes to United’s contractual obligations since December 31,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United is a party to financial instruments with off-balance sheet risk in the normal course of business to meet the financing needs of customers. These financial instruments include commitments to extend credit, letters of credit and financial guarantees.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commitment to extend credit is an agreement to lend to a customer as long as there is no violation of any condition established in the contract. Commitments generally have fixed expiration dates or other termination clauses and may require payment of a fee. Letters of credit and financial guarantees are conditional commitments issued to guarantee a customer’s performance to a third party and have essentially the same credit risk as extending loan facilities to customers. Those commitments are primarily issued to local businesses.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exposure to credit loss in the event of nonperformance by the other party to the commitments to extend credit, letters of credit and financial guarantees is represented by the contractual amount of these instruments. United uses the same credit underwriting procedures for making commitments, letters of credit and financial guarantees, as it uses for underwriting on-balance sheet instruments. Management evaluates each customer’s creditworthiness on a case-by-case basis and the amount of the collateral, if deemed necessary, is based on the credit evaluation. Collateral held varies, but may include unimproved and improved real estate, certificates of deposit, personal property or other acceptable collateral.</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All of these instruments involve, to varying degrees, elements of credit risk in excess of the amount recognized in the balance sheet. The total amount of these instruments does not necessarily represent future cash requirements because a significant portion of these instruments expire without being used. United is not involved in off-balance sheet contractual relationships, other than those disclosed in this report, that could result in liquidity needs or other commitments, or that could significantly affect earnings. See Note 20 to the consolidated financial statements included in United’s Annual Report on Form 10-K for the year ended December 31, 2018 for additional information on off-balance sheet arrangements.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84"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Interest Rate Sensitivity Management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absolute level and volatility of interest rates can have a significant effect on profitability, primarily in United’s core community banking activities of extending loans and accepting deposits. The objective of interest rate risk management is to identify and manage the sensitivity of net interest revenue to changing interest rates, consistent with United’s overall financial goals. Based on economic conditions, asset quality and various other considerations, management establishes tolerance ranges for interest rate sensitivity and manages within these ranges.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interest revenue and the fair value of financial instruments are influenced by changes in the level of interest rates. United limits its exposure to fluctuations in interest rates through policies established by its Asset/Liability Management Committee (“ALCO”) and approved by the Board of Directors. ALCO meets periodically and has responsibility for formulating and recommending asset/liability management policies to the Board of Directors, formulating and implementing strategies to improve balance sheet positioning and/or earnings, and reviewing United’s interest rate sensitivity.</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One of the tools management uses to estimate and manage the sensitivity of net interest revenue to changes in interest rates is an asset/liability simulation model. Resulting estimates are based upon a number of assumptions for each scenario, including loan and deposit re-pricing characteristics and the rate of prepayments. ALCO periodically reviews the assumptions for reasonableness based on historical data and future expectations; however, actual net interest revenue may differ from model results. The primary objective of the simulation model is to measure the potential change in net interest revenue over time using multiple interest rate scenarios. The base scenario assumes rates remain flat and is the scenario to which all others are compared to in order to measure the change in net interest revenue. Policy limits are based on immediate rate shock scenarios, as well as gradually rising and falling rate scenarios, which are all compared to the base scenario. Other scenarios analyzed may include delayed rate shocks, yield curve steepening or flattening, or other variations in rate movements. While the primary policy scenarios focus on a 12-month time frame, longer time horizons are also modeled.</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United’s policy is based on the 12-month impact on net interest revenue of interest rate shocks and ramps that increase from 100 to 400 basis points or decrease 100 to 200 basis points from the base scenario. In the shock scenarios, rates immediately change the full amount at the scenario onset. In the ramp scenarios, rates change by 25 basis points per month. United’s policy limits the projected change in net interest revenue over the first 12 months to a 5% decrease for each 100 basis point change in the increasing and decreasing rate ramp and shock scenarios. The following table presents United’s interest sensitivity position at the dates indicated. The change in simulation model results from December 31, 2018 to March 31, 2019 was primarily a result of a change in assumptions implemented in the first quarter of 2019, rather than a reflection of a significant change in balance sheet composition.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3"/>
          </w:tcPr>
          <w:p>
            <w:pPr>
              <w:spacing w:after="0"/>
              <w:rPr>
                <w:sz w:val="20"/>
                <w:szCs w:val="20"/>
                <w:color w:val="auto"/>
              </w:rPr>
            </w:pPr>
            <w:r>
              <w:rPr>
                <w:rFonts w:ascii="Arial" w:cs="Arial" w:eastAsia="Arial" w:hAnsi="Arial"/>
                <w:sz w:val="18"/>
                <w:szCs w:val="18"/>
                <w:b w:val="1"/>
                <w:bCs w:val="1"/>
                <w:color w:val="auto"/>
              </w:rPr>
              <w:t>Table 12 - Interest Sensitivity</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78"/>
        </w:trPr>
        <w:tc>
          <w:tcPr>
            <w:tcW w:w="10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80" w:type="dxa"/>
            <w:vAlign w:val="bottom"/>
            <w:gridSpan w:val="8"/>
          </w:tcPr>
          <w:p>
            <w:pPr>
              <w:ind w:left="120"/>
              <w:spacing w:after="0"/>
              <w:rPr>
                <w:sz w:val="20"/>
                <w:szCs w:val="20"/>
                <w:color w:val="auto"/>
              </w:rPr>
            </w:pPr>
            <w:r>
              <w:rPr>
                <w:rFonts w:ascii="Arial" w:cs="Arial" w:eastAsia="Arial" w:hAnsi="Arial"/>
                <w:sz w:val="18"/>
                <w:szCs w:val="18"/>
                <w:b w:val="1"/>
                <w:bCs w:val="1"/>
                <w:color w:val="auto"/>
              </w:rPr>
              <w:t>Increase (Decrease) in Net Interest Revenue from Base Scenario at</w:t>
            </w:r>
          </w:p>
        </w:tc>
      </w:tr>
      <w:tr>
        <w:trPr>
          <w:trHeight w:val="27"/>
        </w:trPr>
        <w:tc>
          <w:tcPr>
            <w:tcW w:w="10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80" w:type="dxa"/>
            <w:vAlign w:val="bottom"/>
            <w:tcBorders>
              <w:bottom w:val="single" w:sz="8" w:color="auto"/>
            </w:tcBorders>
            <w:gridSpan w:val="4"/>
          </w:tcPr>
          <w:p>
            <w:pPr>
              <w:spacing w:after="0"/>
              <w:rPr>
                <w:sz w:val="2"/>
                <w:szCs w:val="2"/>
                <w:color w:val="auto"/>
              </w:rPr>
            </w:pPr>
          </w:p>
        </w:tc>
        <w:tc>
          <w:tcPr>
            <w:tcW w:w="2600" w:type="dxa"/>
            <w:vAlign w:val="bottom"/>
            <w:tcBorders>
              <w:bottom w:val="single" w:sz="8" w:color="auto"/>
            </w:tcBorders>
            <w:gridSpan w:val="3"/>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10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gridSpan w:val="4"/>
          </w:tcPr>
          <w:p>
            <w:pPr>
              <w:ind w:left="700"/>
              <w:spacing w:after="0"/>
              <w:rPr>
                <w:sz w:val="20"/>
                <w:szCs w:val="20"/>
                <w:color w:val="auto"/>
              </w:rPr>
            </w:pPr>
            <w:r>
              <w:rPr>
                <w:rFonts w:ascii="Arial" w:cs="Arial" w:eastAsia="Arial" w:hAnsi="Arial"/>
                <w:sz w:val="18"/>
                <w:szCs w:val="18"/>
                <w:b w:val="1"/>
                <w:bCs w:val="1"/>
                <w:color w:val="auto"/>
              </w:rPr>
              <w:t>March 31, 2019</w:t>
            </w:r>
          </w:p>
        </w:tc>
        <w:tc>
          <w:tcPr>
            <w:tcW w:w="4000" w:type="dxa"/>
            <w:vAlign w:val="bottom"/>
            <w:gridSpan w:val="4"/>
          </w:tcPr>
          <w:p>
            <w:pPr>
              <w:ind w:left="580"/>
              <w:spacing w:after="0"/>
              <w:rPr>
                <w:sz w:val="20"/>
                <w:szCs w:val="20"/>
                <w:color w:val="auto"/>
              </w:rPr>
            </w:pPr>
            <w:r>
              <w:rPr>
                <w:rFonts w:ascii="Arial" w:cs="Arial" w:eastAsia="Arial" w:hAnsi="Arial"/>
                <w:sz w:val="18"/>
                <w:szCs w:val="18"/>
                <w:b w:val="1"/>
                <w:bCs w:val="1"/>
                <w:color w:val="auto"/>
              </w:rPr>
              <w:t>December 31, 2018</w:t>
            </w:r>
          </w:p>
        </w:tc>
      </w:tr>
      <w:tr>
        <w:trPr>
          <w:trHeight w:val="27"/>
        </w:trPr>
        <w:tc>
          <w:tcPr>
            <w:tcW w:w="1080" w:type="dxa"/>
            <w:vAlign w:val="bottom"/>
          </w:tcPr>
          <w:p>
            <w:pPr>
              <w:spacing w:after="0"/>
              <w:rPr>
                <w:sz w:val="2"/>
                <w:szCs w:val="2"/>
                <w:color w:val="auto"/>
              </w:rPr>
            </w:pPr>
          </w:p>
        </w:tc>
        <w:tc>
          <w:tcPr>
            <w:tcW w:w="3660" w:type="dxa"/>
            <w:vAlign w:val="bottom"/>
            <w:gridSpan w:val="2"/>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1080" w:type="dxa"/>
            <w:vAlign w:val="bottom"/>
          </w:tcPr>
          <w:p>
            <w:pPr>
              <w:spacing w:after="0"/>
              <w:rPr>
                <w:sz w:val="20"/>
                <w:szCs w:val="20"/>
                <w:color w:val="auto"/>
              </w:rPr>
            </w:pPr>
          </w:p>
        </w:tc>
        <w:tc>
          <w:tcPr>
            <w:tcW w:w="3660" w:type="dxa"/>
            <w:vAlign w:val="bottom"/>
            <w:gridSpan w:val="2"/>
          </w:tcPr>
          <w:p>
            <w:pPr>
              <w:ind w:left="1140"/>
              <w:spacing w:after="0"/>
              <w:rPr>
                <w:sz w:val="20"/>
                <w:szCs w:val="20"/>
                <w:color w:val="auto"/>
              </w:rPr>
            </w:pPr>
            <w:r>
              <w:rPr>
                <w:rFonts w:ascii="Arial" w:cs="Arial" w:eastAsia="Arial" w:hAnsi="Arial"/>
                <w:sz w:val="18"/>
                <w:szCs w:val="18"/>
                <w:b w:val="1"/>
                <w:bCs w:val="1"/>
                <w:color w:val="auto"/>
              </w:rPr>
              <w:t>Change in Rates</w:t>
            </w:r>
          </w:p>
        </w:tc>
        <w:tc>
          <w:tcPr>
            <w:tcW w:w="1340" w:type="dxa"/>
            <w:vAlign w:val="bottom"/>
            <w:gridSpan w:val="2"/>
          </w:tcPr>
          <w:p>
            <w:pPr>
              <w:ind w:left="380"/>
              <w:spacing w:after="0"/>
              <w:rPr>
                <w:sz w:val="20"/>
                <w:szCs w:val="20"/>
                <w:color w:val="auto"/>
              </w:rPr>
            </w:pPr>
            <w:r>
              <w:rPr>
                <w:rFonts w:ascii="Arial" w:cs="Arial" w:eastAsia="Arial" w:hAnsi="Arial"/>
                <w:sz w:val="18"/>
                <w:szCs w:val="18"/>
                <w:b w:val="1"/>
                <w:bCs w:val="1"/>
                <w:color w:val="auto"/>
              </w:rPr>
              <w:t>Shock</w:t>
            </w:r>
          </w:p>
        </w:tc>
        <w:tc>
          <w:tcPr>
            <w:tcW w:w="1340" w:type="dxa"/>
            <w:vAlign w:val="bottom"/>
            <w:gridSpan w:val="2"/>
          </w:tcPr>
          <w:p>
            <w:pPr>
              <w:ind w:left="380"/>
              <w:spacing w:after="0"/>
              <w:rPr>
                <w:sz w:val="20"/>
                <w:szCs w:val="20"/>
                <w:color w:val="auto"/>
              </w:rPr>
            </w:pPr>
            <w:r>
              <w:rPr>
                <w:rFonts w:ascii="Arial" w:cs="Arial" w:eastAsia="Arial" w:hAnsi="Arial"/>
                <w:sz w:val="18"/>
                <w:szCs w:val="18"/>
                <w:b w:val="1"/>
                <w:bCs w:val="1"/>
                <w:color w:val="auto"/>
              </w:rPr>
              <w:t>Ramp</w:t>
            </w:r>
          </w:p>
        </w:tc>
        <w:tc>
          <w:tcPr>
            <w:tcW w:w="1360" w:type="dxa"/>
            <w:vAlign w:val="bottom"/>
            <w:gridSpan w:val="2"/>
          </w:tcPr>
          <w:p>
            <w:pPr>
              <w:ind w:left="380"/>
              <w:spacing w:after="0"/>
              <w:rPr>
                <w:sz w:val="20"/>
                <w:szCs w:val="20"/>
                <w:color w:val="auto"/>
              </w:rPr>
            </w:pPr>
            <w:r>
              <w:rPr>
                <w:rFonts w:ascii="Arial" w:cs="Arial" w:eastAsia="Arial" w:hAnsi="Arial"/>
                <w:sz w:val="18"/>
                <w:szCs w:val="18"/>
                <w:b w:val="1"/>
                <w:bCs w:val="1"/>
                <w:color w:val="auto"/>
              </w:rPr>
              <w:t>Shock</w:t>
            </w:r>
          </w:p>
        </w:tc>
        <w:tc>
          <w:tcPr>
            <w:tcW w:w="2640" w:type="dxa"/>
            <w:vAlign w:val="bottom"/>
            <w:gridSpan w:val="2"/>
          </w:tcPr>
          <w:p>
            <w:pPr>
              <w:ind w:left="380"/>
              <w:spacing w:after="0"/>
              <w:rPr>
                <w:sz w:val="20"/>
                <w:szCs w:val="20"/>
                <w:color w:val="auto"/>
              </w:rPr>
            </w:pPr>
            <w:r>
              <w:rPr>
                <w:rFonts w:ascii="Arial" w:cs="Arial" w:eastAsia="Arial" w:hAnsi="Arial"/>
                <w:sz w:val="18"/>
                <w:szCs w:val="18"/>
                <w:b w:val="1"/>
                <w:bCs w:val="1"/>
                <w:color w:val="auto"/>
              </w:rPr>
              <w:t>Ramp</w:t>
            </w:r>
          </w:p>
        </w:tc>
      </w:tr>
      <w:tr>
        <w:trPr>
          <w:trHeight w:val="27"/>
        </w:trPr>
        <w:tc>
          <w:tcPr>
            <w:tcW w:w="1080" w:type="dxa"/>
            <w:vAlign w:val="bottom"/>
            <w:tcBorders>
              <w:bottom w:val="single" w:sz="8" w:color="CCEEFF"/>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44"/>
        </w:trPr>
        <w:tc>
          <w:tcPr>
            <w:tcW w:w="1080" w:type="dxa"/>
            <w:vAlign w:val="bottom"/>
            <w:tcBorders>
              <w:bottom w:val="single" w:sz="8" w:color="CCEEFF"/>
            </w:tcBorders>
            <w:shd w:val="clear" w:color="auto" w:fill="CCEEFF"/>
          </w:tcPr>
          <w:p>
            <w:pPr>
              <w:spacing w:after="0"/>
              <w:rPr>
                <w:sz w:val="21"/>
                <w:szCs w:val="21"/>
                <w:color w:val="auto"/>
              </w:rPr>
            </w:pPr>
          </w:p>
        </w:tc>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100 basis point increase</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1.91 %</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1.29 %</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w w:val="95"/>
              </w:rPr>
              <w:t>(0.37)%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w w:val="95"/>
              </w:rPr>
              <w:t>(0.81)%</w:t>
            </w: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1080" w:type="dxa"/>
            <w:vAlign w:val="bottom"/>
          </w:tcPr>
          <w:p>
            <w:pPr>
              <w:spacing w:after="0"/>
              <w:rPr>
                <w:sz w:val="21"/>
                <w:szCs w:val="21"/>
                <w:color w:val="auto"/>
              </w:rPr>
            </w:pP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100 basis point decrease</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1240" w:type="dxa"/>
            <w:vAlign w:val="bottom"/>
          </w:tcPr>
          <w:p>
            <w:pPr>
              <w:ind w:left="620"/>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1"/>
                <w:szCs w:val="21"/>
                <w:color w:val="auto"/>
              </w:rPr>
            </w:pPr>
          </w:p>
        </w:tc>
        <w:tc>
          <w:tcPr>
            <w:tcW w:w="1240" w:type="dxa"/>
            <w:vAlign w:val="bottom"/>
          </w:tcPr>
          <w:p>
            <w:pPr>
              <w:ind w:left="620"/>
              <w:spacing w:after="0"/>
              <w:rPr>
                <w:sz w:val="20"/>
                <w:szCs w:val="20"/>
                <w:color w:val="auto"/>
              </w:rPr>
            </w:pPr>
            <w:r>
              <w:rPr>
                <w:rFonts w:ascii="Arial" w:cs="Arial" w:eastAsia="Arial" w:hAnsi="Arial"/>
                <w:sz w:val="18"/>
                <w:szCs w:val="18"/>
                <w:color w:val="auto"/>
              </w:rPr>
              <w:t>(2.17)</w:t>
            </w:r>
          </w:p>
        </w:tc>
        <w:tc>
          <w:tcPr>
            <w:tcW w:w="1400" w:type="dxa"/>
            <w:vAlign w:val="bottom"/>
          </w:tcPr>
          <w:p>
            <w:pPr>
              <w:spacing w:after="0"/>
              <w:rPr>
                <w:sz w:val="21"/>
                <w:szCs w:val="21"/>
                <w:color w:val="auto"/>
              </w:rPr>
            </w:pPr>
          </w:p>
        </w:tc>
      </w:tr>
    </w:tbl>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Interest rate sensitivity is a function of the re-pricing characteristics of the portfolio of assets and liabilities. These re-pricing characteristics are the time frames within which the interest-earning assets and interest-bearing liabilities are subject to change in interest rates either at replacement, re-pricing or maturity. Interest rate sensitivity management focuses on the maturity structure of assets and liabilities and their re-pricing characteristics during periods of changes in market interest rates. Effective interest rate sensitivity management seeks to ensure that both assets and liabilities respond to changes in interest rates on a net basis within an acceptable timeframe, thereby minimizing the potentially adverse effect of interest rate changes on net interest revenue.</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United has discretion in the extent and timing of deposit re-pricing depending upon the competitive pressures in the markets in which it operates. Changes in the mix of earning assets or supporting liabilities can either increase or decrease the net interest margin without affecting interest rate sensitivity. The interest rate spread between an asset and its supporting liability can vary significantly even when the timing of re-pricing for both the asset and the liability remains the same, due to the two instruments re-pricing according to different indices. This is commonly referred to as basis risk.</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Derivative financial instruments are used to manage interest rate sensitivity. These contracts generally consist of interest rate swaps under which United pays a variable rate (or fixed rate, as the case may be) and receives a fixed rate (or variable rate, as the case may be). In addition, investment securities and wholesale funding strategies are used to manage interest rate risk.</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80" w:right="239" w:bottom="1440" w:gutter="0" w:footer="0" w:header="0"/>
        </w:sectPr>
      </w:pPr>
    </w:p>
    <w:bookmarkStart w:id="61" w:name="page62"/>
    <w:bookmarkEnd w:id="61"/>
    <w:p>
      <w:pPr>
        <w:jc w:val="both"/>
        <w:spacing w:after="0" w:line="255" w:lineRule="auto"/>
        <w:rPr>
          <w:sz w:val="20"/>
          <w:szCs w:val="20"/>
          <w:color w:val="auto"/>
        </w:rPr>
      </w:pPr>
      <w:r>
        <w:rPr>
          <w:rFonts w:ascii="Arial" w:cs="Arial" w:eastAsia="Arial" w:hAnsi="Arial"/>
          <w:sz w:val="18"/>
          <w:szCs w:val="18"/>
          <w:color w:val="auto"/>
        </w:rPr>
        <w:t>Derivative financial instruments that are designated as accounting hedges are classified as either cash flow or fair value hedges. The change in fair value of cash flow hedges is recognized in other comprehensive income. Fair value hedges recognize in earnings both the effect of the change in the fair value of the derivative financial instrument and the offsetting effect of the change in fair value of the hedged asset or liability associated with the particular risk of that asset or liability being hedged. United has other derivative financial instruments that are not designated as accounting hedges but are used for interest rate risk management purposes and as effective economic hedges. Derivative financial instruments that are not accounted for as accounting hedges are marked to market through earnings.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United will terminate hedging positions when conditions change and the position is no longer necessary to manage overall sensitivity to changes in interest rates. In those situations where the terminated contract was in an effective hedging relationship at the time of termination and the hedging relationship is expected to remain effective throughout the original term of the contract, the resulting gain or loss is amortized over the remaining life of the original contract. For swap contracts, the gain or loss is amortized over the remaining original contract term using the straight line method of amortization. United expects that $118,000 will be reclassified as an increase to interest expense from other comprehensive income over the next twelve months related to these terminated cash flow hedges.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United’s policy requires all non-customer facing derivative financial instruments be used only for asset/liability management through the hedging of specific transactions or positions, and not for trading or speculative purposes. Management believes that the risk associated with using derivative financial instruments to mitigate interest rate risk sensitivity is appropriately monitored and controlled and will not have any material adverse effect on financial condition or results of operations. In order to mitigate potential credit risk, from time to time United may require the counterparties to derivative contracts to pledge cash and/or securities as collateral to cover the net exposure.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Management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Liquidity is defined as the ability to convert assets into cash or cash equivalents without significant loss and to raise additional funds by increasing liabilities. Liquidity management involves maintaining the ability to meet the daily cash flow requirements of customers, both depositors and borrowers. The primary objective is to ensure that sufficient funding is available, at a reasonable cost, to meet ongoing operational cash needs and to take advantage of revenue producing opportunities as they arise. While the desired level of liquidity will vary depending upon a variety of factors, it is the primary goal of United to maintain a sufficient level of liquidity in all expected economic environments. To assist in determining the adequacy of its liquidity, United performs a variety of liquidity stress tests. United maintains an unencumbered liquid asset reserve to help ensure its ability to meet its obligations under normal conditions for at least a 12-month period and under severely adverse liquidity conditions for a minimum of 30 days.</w:t>
      </w:r>
    </w:p>
    <w:p>
      <w:pPr>
        <w:spacing w:after="0" w:line="17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An important part of the Bank’s liquidity resides in the asset portion of the balance sheet, which provides liquidity primarily through loan interest and principal repayments and the maturities and sales of securities, as well as the ability to use these assets as collateral for borrowings on a secured basis.</w:t>
      </w:r>
    </w:p>
    <w:p>
      <w:pPr>
        <w:spacing w:after="0" w:line="12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Bank’s main source of liquidity is customer interest-bearing and noninterest-bearing deposit accounts. Liquidity is also available from wholesale funding sources consisting primarily of Federal funds purchased, FHLB advances, brokered deposits and securities sold under agreements to repurchase. These sources of liquidity are generally short-term in nature and are used as necessary to fund asset growth and meet other short-term liquidity needs.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because the Holding Company is a separate entity and apart from the Bank, it must provide for its own liquidity. United’s holding company is responsible for the payment of dividends declared for its common shareholders, and interest and principal on any outstanding debt or trust preferred securities. The Holding Company currently has internal capital resources to meet these obligations. While the Holding Company has access to the capital markets and maintains a line of credit as a contingent funding source, the ultimate source of its liquidity is subsidiary service fees and dividends from the Bank, which are limited by applicable law and regulations. Holding Company liquidity is managed to a minimum of 15-months of positive cash flow after considering all of its liquidity needs over this period.</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March 31, 2019, United had sufficient qualifying collateral to increase FHLB advances by $1.20 billion and Federal Reserve discount window borrowing capacity of $1.56 billion, as well as unpledged investment securities of $1.88 billion that could be used as collateral for additional borrowings. In addition to these wholesale sources, United has the ability to attract retail deposits by competing more aggressively on pricing.</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disclosed in the consolidated statement of cash flows, net cash provided by operating activities was $35.9 million for the three months ended March 31, 2019. Net income of $44.3 million for the three-month period included non-cash expenses for the following: deferred income tax expense of $658,000, depreciation, amortization and accretion of $6.37 million, provision expense of $3.30 million and stock-based compensation expense of $1.99 million. Uses of cash from operating activities included a decrease in accrued expenses and other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84" w:right="239" w:bottom="1440" w:gutter="0" w:footer="0" w:header="0"/>
        </w:sectPr>
      </w:pPr>
    </w:p>
    <w:bookmarkStart w:id="62" w:name="page63"/>
    <w:bookmarkEnd w:id="62"/>
    <w:p>
      <w:pPr>
        <w:jc w:val="both"/>
        <w:spacing w:after="0" w:line="272" w:lineRule="auto"/>
        <w:rPr>
          <w:sz w:val="20"/>
          <w:szCs w:val="20"/>
          <w:color w:val="auto"/>
        </w:rPr>
      </w:pPr>
      <w:r>
        <w:rPr>
          <w:rFonts w:ascii="Arial" w:cs="Arial" w:eastAsia="Arial" w:hAnsi="Arial"/>
          <w:sz w:val="17"/>
          <w:szCs w:val="17"/>
          <w:color w:val="auto"/>
        </w:rPr>
        <w:t>liabilities of $5.99 million, an increase in other assets and accrued interest receivable of $6.21 million, and an increase in loans held for sale of $7.41 million. Net cash provided by investing activities of $113 million consisted primarily of proceeds from sales and maturities and calls of debt securities available for sale and equity securities of $179 million and $60.8 million, respectively, and proceeds from maturities and calls of debt securities held to maturity of $9.05 million. These sources of cash were offset by a $90.4 million net increase in loans, $34.7 million in purchases of debt securities available for sale and equity securities, and $11.7 million in purchases of premises and equipment. Net cash used in financing activities of $150 million consisted primarily of a net decrease in FHLB advances of $120 million, cash dividends of $12.9 million and repayments of long-term debt of $10.1 million. In the opinion of management, United’s liquidity position at March 31, 2019, was sufficient to meet its expected cash flow requirements.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 and Dividends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Shareholders’ equity at March 31, 2019 was $1.51 billion, an increase of $50.6 million from December 31, 2018 due to year-to-date earnings less dividends declared and an increase in the value of available-for-sale securities, partially offset by $7.84 million in share repurchases. Accumulated other comprehensive loss, which includes unrealized gains and losses on securities available-for-sale, the unrealized gains and losses on derivatives qualifying as cash flow hedges and unamortized prior service cost and actuarial gains and losses on United’s defined benefit pension plans, is excluded in the calculation of regulatory capital adequacy ratios.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shows United’s capital ratios, as calculated under applicable regulatory guidelines, at March 31, 2019 and December 31, 2018. As of March 31, 2019, capital levels remained characterized as “well-capitalized” under the Basel III Capital Rules in effect at the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13 – Capital Ratios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80" w:type="dxa"/>
            <w:vAlign w:val="bottom"/>
            <w:gridSpan w:val="5"/>
          </w:tcPr>
          <w:p>
            <w:pPr>
              <w:jc w:val="center"/>
              <w:ind w:right="240"/>
              <w:spacing w:after="0"/>
              <w:rPr>
                <w:sz w:val="20"/>
                <w:szCs w:val="20"/>
                <w:color w:val="auto"/>
              </w:rPr>
            </w:pPr>
            <w:r>
              <w:rPr>
                <w:rFonts w:ascii="Arial" w:cs="Arial" w:eastAsia="Arial" w:hAnsi="Arial"/>
                <w:sz w:val="17"/>
                <w:szCs w:val="17"/>
                <w:b w:val="1"/>
                <w:bCs w:val="1"/>
                <w:color w:val="auto"/>
                <w:w w:val="91"/>
              </w:rPr>
              <w:t>United Community Banks, Inc.</w:t>
            </w: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2"/>
        </w:trPr>
        <w:tc>
          <w:tcPr>
            <w:tcW w:w="2460" w:type="dxa"/>
            <w:vAlign w:val="bottom"/>
          </w:tcPr>
          <w:p>
            <w:pPr>
              <w:spacing w:after="0"/>
              <w:rPr>
                <w:sz w:val="19"/>
                <w:szCs w:val="19"/>
                <w:color w:val="auto"/>
              </w:rPr>
            </w:pPr>
          </w:p>
        </w:tc>
        <w:tc>
          <w:tcPr>
            <w:tcW w:w="2800" w:type="dxa"/>
            <w:vAlign w:val="bottom"/>
            <w:gridSpan w:val="4"/>
          </w:tcPr>
          <w:p>
            <w:pPr>
              <w:ind w:left="640"/>
              <w:spacing w:after="0"/>
              <w:rPr>
                <w:sz w:val="20"/>
                <w:szCs w:val="20"/>
                <w:color w:val="auto"/>
              </w:rPr>
            </w:pPr>
            <w:r>
              <w:rPr>
                <w:rFonts w:ascii="Arial" w:cs="Arial" w:eastAsia="Arial" w:hAnsi="Arial"/>
                <w:sz w:val="17"/>
                <w:szCs w:val="17"/>
                <w:b w:val="1"/>
                <w:bCs w:val="1"/>
                <w:color w:val="auto"/>
              </w:rPr>
              <w:t>Basel III Guidelines</w:t>
            </w:r>
          </w:p>
        </w:tc>
        <w:tc>
          <w:tcPr>
            <w:tcW w:w="160" w:type="dxa"/>
            <w:vAlign w:val="bottom"/>
          </w:tcPr>
          <w:p>
            <w:pPr>
              <w:spacing w:after="0"/>
              <w:rPr>
                <w:sz w:val="19"/>
                <w:szCs w:val="19"/>
                <w:color w:val="auto"/>
              </w:rPr>
            </w:pPr>
          </w:p>
        </w:tc>
        <w:tc>
          <w:tcPr>
            <w:tcW w:w="2980" w:type="dxa"/>
            <w:vAlign w:val="bottom"/>
            <w:gridSpan w:val="5"/>
          </w:tcPr>
          <w:p>
            <w:pPr>
              <w:jc w:val="center"/>
              <w:ind w:right="240"/>
              <w:spacing w:after="0"/>
              <w:rPr>
                <w:sz w:val="20"/>
                <w:szCs w:val="20"/>
                <w:color w:val="auto"/>
              </w:rPr>
            </w:pPr>
            <w:r>
              <w:rPr>
                <w:rFonts w:ascii="Arial" w:cs="Arial" w:eastAsia="Arial" w:hAnsi="Arial"/>
                <w:sz w:val="17"/>
                <w:szCs w:val="17"/>
                <w:b w:val="1"/>
                <w:bCs w:val="1"/>
                <w:color w:val="auto"/>
                <w:w w:val="89"/>
              </w:rPr>
              <w:t>(Consolidated)</w:t>
            </w:r>
          </w:p>
        </w:tc>
        <w:tc>
          <w:tcPr>
            <w:tcW w:w="140" w:type="dxa"/>
            <w:vAlign w:val="bottom"/>
          </w:tcPr>
          <w:p>
            <w:pPr>
              <w:spacing w:after="0"/>
              <w:rPr>
                <w:sz w:val="19"/>
                <w:szCs w:val="19"/>
                <w:color w:val="auto"/>
              </w:rPr>
            </w:pPr>
          </w:p>
        </w:tc>
        <w:tc>
          <w:tcPr>
            <w:tcW w:w="2880" w:type="dxa"/>
            <w:vAlign w:val="bottom"/>
            <w:gridSpan w:val="4"/>
          </w:tcPr>
          <w:p>
            <w:pPr>
              <w:jc w:val="right"/>
              <w:ind w:right="495"/>
              <w:spacing w:after="0"/>
              <w:rPr>
                <w:sz w:val="20"/>
                <w:szCs w:val="20"/>
                <w:color w:val="auto"/>
              </w:rPr>
            </w:pPr>
            <w:r>
              <w:rPr>
                <w:rFonts w:ascii="Arial" w:cs="Arial" w:eastAsia="Arial" w:hAnsi="Arial"/>
                <w:sz w:val="17"/>
                <w:szCs w:val="17"/>
                <w:b w:val="1"/>
                <w:bCs w:val="1"/>
                <w:color w:val="auto"/>
              </w:rPr>
              <w:t>United Community Bank</w:t>
            </w:r>
          </w:p>
        </w:tc>
      </w:tr>
      <w:tr>
        <w:trPr>
          <w:trHeight w:val="31"/>
        </w:trPr>
        <w:tc>
          <w:tcPr>
            <w:tcW w:w="24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9"/>
        </w:trPr>
        <w:tc>
          <w:tcPr>
            <w:tcW w:w="2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7"/>
              </w:rPr>
              <w:t>Well</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ind w:left="40"/>
              <w:spacing w:after="0"/>
              <w:rPr>
                <w:sz w:val="20"/>
                <w:szCs w:val="20"/>
                <w:color w:val="auto"/>
              </w:rPr>
            </w:pPr>
            <w:r>
              <w:rPr>
                <w:rFonts w:ascii="Arial" w:cs="Arial" w:eastAsia="Arial" w:hAnsi="Arial"/>
                <w:sz w:val="17"/>
                <w:szCs w:val="17"/>
                <w:b w:val="1"/>
                <w:bCs w:val="1"/>
                <w:color w:val="auto"/>
              </w:rPr>
              <w:t>December 31,</w:t>
            </w: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115"/>
              <w:spacing w:after="0"/>
              <w:rPr>
                <w:sz w:val="20"/>
                <w:szCs w:val="20"/>
                <w:color w:val="auto"/>
              </w:rPr>
            </w:pPr>
            <w:r>
              <w:rPr>
                <w:rFonts w:ascii="Arial" w:cs="Arial" w:eastAsia="Arial" w:hAnsi="Arial"/>
                <w:sz w:val="17"/>
                <w:szCs w:val="17"/>
                <w:b w:val="1"/>
                <w:bCs w:val="1"/>
                <w:color w:val="auto"/>
                <w:w w:val="92"/>
              </w:rPr>
              <w:t>December 31,</w:t>
            </w:r>
          </w:p>
        </w:tc>
      </w:tr>
      <w:tr>
        <w:trPr>
          <w:trHeight w:val="253"/>
        </w:trPr>
        <w:tc>
          <w:tcPr>
            <w:tcW w:w="2460" w:type="dxa"/>
            <w:vAlign w:val="bottom"/>
          </w:tcPr>
          <w:p>
            <w:pPr>
              <w:spacing w:after="0"/>
              <w:rPr>
                <w:sz w:val="22"/>
                <w:szCs w:val="22"/>
                <w:color w:val="auto"/>
              </w:rPr>
            </w:pPr>
          </w:p>
        </w:tc>
        <w:tc>
          <w:tcPr>
            <w:tcW w:w="1400" w:type="dxa"/>
            <w:vAlign w:val="bottom"/>
            <w:gridSpan w:val="2"/>
          </w:tcPr>
          <w:p>
            <w:pPr>
              <w:ind w:left="180"/>
              <w:spacing w:after="0" w:line="253" w:lineRule="exact"/>
              <w:rPr>
                <w:sz w:val="20"/>
                <w:szCs w:val="20"/>
                <w:color w:val="auto"/>
              </w:rPr>
            </w:pPr>
            <w:r>
              <w:rPr>
                <w:rFonts w:ascii="Arial" w:cs="Arial" w:eastAsia="Arial" w:hAnsi="Arial"/>
                <w:sz w:val="17"/>
                <w:szCs w:val="17"/>
                <w:b w:val="1"/>
                <w:bCs w:val="1"/>
                <w:color w:val="auto"/>
              </w:rPr>
              <w:t xml:space="preserve">Minimum </w:t>
            </w:r>
            <w:r>
              <w:rPr>
                <w:rFonts w:ascii="Arial" w:cs="Arial" w:eastAsia="Arial" w:hAnsi="Arial"/>
                <w:sz w:val="28"/>
                <w:szCs w:val="28"/>
                <w:b w:val="1"/>
                <w:bCs w:val="1"/>
                <w:color w:val="auto"/>
                <w:vertAlign w:val="superscript"/>
              </w:rPr>
              <w:t>(1)</w:t>
            </w:r>
          </w:p>
        </w:tc>
        <w:tc>
          <w:tcPr>
            <w:tcW w:w="140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3"/>
              </w:rPr>
              <w:t>Capitalized</w:t>
            </w:r>
          </w:p>
        </w:tc>
        <w:tc>
          <w:tcPr>
            <w:tcW w:w="160" w:type="dxa"/>
            <w:vAlign w:val="bottom"/>
          </w:tcPr>
          <w:p>
            <w:pPr>
              <w:spacing w:after="0"/>
              <w:rPr>
                <w:sz w:val="22"/>
                <w:szCs w:val="22"/>
                <w:color w:val="auto"/>
              </w:rPr>
            </w:pPr>
          </w:p>
        </w:tc>
        <w:tc>
          <w:tcPr>
            <w:tcW w:w="1460" w:type="dxa"/>
            <w:vAlign w:val="bottom"/>
            <w:gridSpan w:val="2"/>
          </w:tcPr>
          <w:p>
            <w:pPr>
              <w:ind w:left="40"/>
              <w:spacing w:after="0"/>
              <w:rPr>
                <w:sz w:val="20"/>
                <w:szCs w:val="20"/>
                <w:color w:val="auto"/>
              </w:rPr>
            </w:pPr>
            <w:r>
              <w:rPr>
                <w:rFonts w:ascii="Arial" w:cs="Arial" w:eastAsia="Arial" w:hAnsi="Arial"/>
                <w:sz w:val="17"/>
                <w:szCs w:val="17"/>
                <w:b w:val="1"/>
                <w:bCs w:val="1"/>
                <w:color w:val="auto"/>
              </w:rPr>
              <w:t>March 31, 2019</w:t>
            </w:r>
          </w:p>
        </w:tc>
        <w:tc>
          <w:tcPr>
            <w:tcW w:w="160" w:type="dxa"/>
            <w:vAlign w:val="bottom"/>
          </w:tcPr>
          <w:p>
            <w:pPr>
              <w:spacing w:after="0"/>
              <w:rPr>
                <w:sz w:val="22"/>
                <w:szCs w:val="22"/>
                <w:color w:val="auto"/>
              </w:rPr>
            </w:pPr>
          </w:p>
        </w:tc>
        <w:tc>
          <w:tcPr>
            <w:tcW w:w="1240" w:type="dxa"/>
            <w:vAlign w:val="bottom"/>
          </w:tcPr>
          <w:p>
            <w:pPr>
              <w:jc w:val="right"/>
              <w:ind w:right="435"/>
              <w:spacing w:after="0"/>
              <w:rPr>
                <w:sz w:val="20"/>
                <w:szCs w:val="20"/>
                <w:color w:val="auto"/>
              </w:rPr>
            </w:pPr>
            <w:r>
              <w:rPr>
                <w:rFonts w:ascii="Arial" w:cs="Arial" w:eastAsia="Arial" w:hAnsi="Arial"/>
                <w:sz w:val="17"/>
                <w:szCs w:val="17"/>
                <w:b w:val="1"/>
                <w:bCs w:val="1"/>
                <w:color w:val="auto"/>
              </w:rPr>
              <w:t>2018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gridSpan w:val="2"/>
          </w:tcPr>
          <w:p>
            <w:pPr>
              <w:ind w:left="40"/>
              <w:spacing w:after="0"/>
              <w:rPr>
                <w:sz w:val="20"/>
                <w:szCs w:val="20"/>
                <w:color w:val="auto"/>
              </w:rPr>
            </w:pPr>
            <w:r>
              <w:rPr>
                <w:rFonts w:ascii="Arial" w:cs="Arial" w:eastAsia="Arial" w:hAnsi="Arial"/>
                <w:sz w:val="17"/>
                <w:szCs w:val="17"/>
                <w:b w:val="1"/>
                <w:bCs w:val="1"/>
                <w:color w:val="auto"/>
              </w:rPr>
              <w:t>March 31, 2019</w:t>
            </w:r>
          </w:p>
        </w:tc>
        <w:tc>
          <w:tcPr>
            <w:tcW w:w="160" w:type="dxa"/>
            <w:vAlign w:val="bottom"/>
          </w:tcPr>
          <w:p>
            <w:pPr>
              <w:spacing w:after="0"/>
              <w:rPr>
                <w:sz w:val="22"/>
                <w:szCs w:val="22"/>
                <w:color w:val="auto"/>
              </w:rPr>
            </w:pPr>
          </w:p>
        </w:tc>
        <w:tc>
          <w:tcPr>
            <w:tcW w:w="1240" w:type="dxa"/>
            <w:vAlign w:val="bottom"/>
          </w:tcPr>
          <w:p>
            <w:pPr>
              <w:jc w:val="right"/>
              <w:ind w:right="455"/>
              <w:spacing w:after="0"/>
              <w:rPr>
                <w:sz w:val="20"/>
                <w:szCs w:val="20"/>
                <w:color w:val="auto"/>
              </w:rPr>
            </w:pPr>
            <w:r>
              <w:rPr>
                <w:rFonts w:ascii="Arial" w:cs="Arial" w:eastAsia="Arial" w:hAnsi="Arial"/>
                <w:sz w:val="17"/>
                <w:szCs w:val="17"/>
                <w:b w:val="1"/>
                <w:bCs w:val="1"/>
                <w:color w:val="auto"/>
              </w:rPr>
              <w:t>2018</w:t>
            </w:r>
          </w:p>
        </w:tc>
      </w:tr>
      <w:tr>
        <w:trPr>
          <w:trHeight w:val="244"/>
        </w:trPr>
        <w:tc>
          <w:tcPr>
            <w:tcW w:w="2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Risk-based ratios:</w:t>
            </w: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9"/>
        </w:trPr>
        <w:tc>
          <w:tcPr>
            <w:tcW w:w="2460" w:type="dxa"/>
            <w:vAlign w:val="bottom"/>
          </w:tcPr>
          <w:p>
            <w:pPr>
              <w:ind w:left="180"/>
              <w:spacing w:after="0"/>
              <w:rPr>
                <w:sz w:val="20"/>
                <w:szCs w:val="20"/>
                <w:color w:val="auto"/>
              </w:rPr>
            </w:pPr>
            <w:r>
              <w:rPr>
                <w:rFonts w:ascii="Arial" w:cs="Arial" w:eastAsia="Arial" w:hAnsi="Arial"/>
                <w:sz w:val="17"/>
                <w:szCs w:val="17"/>
                <w:color w:val="auto"/>
              </w:rPr>
              <w:t>Common equity tier 1 capital</w:t>
            </w:r>
          </w:p>
        </w:tc>
        <w:tc>
          <w:tcPr>
            <w:tcW w:w="1280" w:type="dxa"/>
            <w:vAlign w:val="bottom"/>
          </w:tcPr>
          <w:p>
            <w:pPr>
              <w:ind w:left="900"/>
              <w:spacing w:after="0"/>
              <w:rPr>
                <w:sz w:val="20"/>
                <w:szCs w:val="20"/>
                <w:color w:val="auto"/>
              </w:rPr>
            </w:pPr>
            <w:r>
              <w:rPr>
                <w:rFonts w:ascii="Arial" w:cs="Arial" w:eastAsia="Arial" w:hAnsi="Arial"/>
                <w:sz w:val="17"/>
                <w:szCs w:val="17"/>
                <w:color w:val="auto"/>
                <w:w w:val="92"/>
              </w:rPr>
              <w:t>4.5%</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12.44%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12.16%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13.35%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12.91%</w:t>
            </w:r>
          </w:p>
        </w:tc>
      </w:tr>
      <w:tr>
        <w:trPr>
          <w:trHeight w:val="31"/>
        </w:trPr>
        <w:tc>
          <w:tcPr>
            <w:tcW w:w="2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Tier 1 capital</w:t>
            </w:r>
          </w:p>
        </w:tc>
        <w:tc>
          <w:tcPr>
            <w:tcW w:w="12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7"/>
                <w:szCs w:val="17"/>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12.69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12.42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13.35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12.91</w:t>
            </w:r>
          </w:p>
        </w:tc>
      </w:tr>
      <w:tr>
        <w:trPr>
          <w:trHeight w:val="239"/>
        </w:trPr>
        <w:tc>
          <w:tcPr>
            <w:tcW w:w="2460" w:type="dxa"/>
            <w:vAlign w:val="bottom"/>
          </w:tcPr>
          <w:p>
            <w:pPr>
              <w:ind w:left="180"/>
              <w:spacing w:after="0"/>
              <w:rPr>
                <w:sz w:val="20"/>
                <w:szCs w:val="20"/>
                <w:color w:val="auto"/>
              </w:rPr>
            </w:pPr>
            <w:r>
              <w:rPr>
                <w:rFonts w:ascii="Arial" w:cs="Arial" w:eastAsia="Arial" w:hAnsi="Arial"/>
                <w:sz w:val="17"/>
                <w:szCs w:val="17"/>
                <w:color w:val="auto"/>
              </w:rPr>
              <w:t>Total capital</w:t>
            </w:r>
          </w:p>
        </w:tc>
        <w:tc>
          <w:tcPr>
            <w:tcW w:w="1280" w:type="dxa"/>
            <w:vAlign w:val="bottom"/>
          </w:tcPr>
          <w:p>
            <w:pPr>
              <w:ind w:left="900"/>
              <w:spacing w:after="0"/>
              <w:rPr>
                <w:sz w:val="20"/>
                <w:szCs w:val="20"/>
                <w:color w:val="auto"/>
              </w:rPr>
            </w:pPr>
            <w:r>
              <w:rPr>
                <w:rFonts w:ascii="Arial" w:cs="Arial" w:eastAsia="Arial" w:hAnsi="Arial"/>
                <w:sz w:val="17"/>
                <w:szCs w:val="17"/>
                <w:color w:val="auto"/>
              </w:rPr>
              <w:t>8.0</w:t>
            </w:r>
          </w:p>
        </w:tc>
        <w:tc>
          <w:tcPr>
            <w:tcW w:w="120" w:type="dxa"/>
            <w:vAlign w:val="bottom"/>
          </w:tcPr>
          <w:p>
            <w:pPr>
              <w:spacing w:after="0"/>
              <w:rPr>
                <w:sz w:val="20"/>
                <w:szCs w:val="20"/>
                <w:color w:val="auto"/>
              </w:rPr>
            </w:pPr>
          </w:p>
        </w:tc>
        <w:tc>
          <w:tcPr>
            <w:tcW w:w="1300" w:type="dxa"/>
            <w:vAlign w:val="bottom"/>
          </w:tcPr>
          <w:p>
            <w:pPr>
              <w:jc w:val="right"/>
              <w:ind w:right="95"/>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95"/>
              <w:spacing w:after="0"/>
              <w:rPr>
                <w:sz w:val="20"/>
                <w:szCs w:val="20"/>
                <w:color w:val="auto"/>
              </w:rPr>
            </w:pPr>
            <w:r>
              <w:rPr>
                <w:rFonts w:ascii="Arial" w:cs="Arial" w:eastAsia="Arial" w:hAnsi="Arial"/>
                <w:sz w:val="17"/>
                <w:szCs w:val="17"/>
                <w:color w:val="auto"/>
              </w:rPr>
              <w:t>14.55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75"/>
              <w:spacing w:after="0"/>
              <w:rPr>
                <w:sz w:val="20"/>
                <w:szCs w:val="20"/>
                <w:color w:val="auto"/>
              </w:rPr>
            </w:pPr>
            <w:r>
              <w:rPr>
                <w:rFonts w:ascii="Arial" w:cs="Arial" w:eastAsia="Arial" w:hAnsi="Arial"/>
                <w:sz w:val="17"/>
                <w:szCs w:val="17"/>
                <w:color w:val="auto"/>
              </w:rPr>
              <w:t>14.29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75"/>
              <w:spacing w:after="0"/>
              <w:rPr>
                <w:sz w:val="20"/>
                <w:szCs w:val="20"/>
                <w:color w:val="auto"/>
              </w:rPr>
            </w:pPr>
            <w:r>
              <w:rPr>
                <w:rFonts w:ascii="Arial" w:cs="Arial" w:eastAsia="Arial" w:hAnsi="Arial"/>
                <w:sz w:val="17"/>
                <w:szCs w:val="17"/>
                <w:color w:val="auto"/>
              </w:rPr>
              <w:t>14.04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95"/>
              <w:spacing w:after="0"/>
              <w:rPr>
                <w:sz w:val="20"/>
                <w:szCs w:val="20"/>
                <w:color w:val="auto"/>
              </w:rPr>
            </w:pPr>
            <w:r>
              <w:rPr>
                <w:rFonts w:ascii="Arial" w:cs="Arial" w:eastAsia="Arial" w:hAnsi="Arial"/>
                <w:sz w:val="17"/>
                <w:szCs w:val="17"/>
                <w:color w:val="auto"/>
              </w:rPr>
              <w:t>13.60</w:t>
            </w:r>
          </w:p>
        </w:tc>
      </w:tr>
      <w:tr>
        <w:trPr>
          <w:trHeight w:val="31"/>
        </w:trPr>
        <w:tc>
          <w:tcPr>
            <w:tcW w:w="2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Leverage ratio</w:t>
            </w:r>
          </w:p>
        </w:tc>
        <w:tc>
          <w:tcPr>
            <w:tcW w:w="12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7"/>
                <w:szCs w:val="17"/>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9.88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9.61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10.40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9.98</w:t>
            </w:r>
          </w:p>
        </w:tc>
      </w:tr>
      <w:tr>
        <w:trPr>
          <w:trHeight w:val="324"/>
        </w:trPr>
        <w:tc>
          <w:tcPr>
            <w:tcW w:w="2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Common equity tier 1 capital</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1,180,309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1,148,355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1,264,669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1,216,449</w:t>
            </w:r>
          </w:p>
        </w:tc>
      </w:tr>
      <w:tr>
        <w:trPr>
          <w:trHeight w:val="239"/>
        </w:trPr>
        <w:tc>
          <w:tcPr>
            <w:tcW w:w="2460" w:type="dxa"/>
            <w:vAlign w:val="bottom"/>
          </w:tcPr>
          <w:p>
            <w:pPr>
              <w:ind w:left="40"/>
              <w:spacing w:after="0"/>
              <w:rPr>
                <w:sz w:val="20"/>
                <w:szCs w:val="20"/>
                <w:color w:val="auto"/>
              </w:rPr>
            </w:pPr>
            <w:r>
              <w:rPr>
                <w:rFonts w:ascii="Arial" w:cs="Arial" w:eastAsia="Arial" w:hAnsi="Arial"/>
                <w:sz w:val="17"/>
                <w:szCs w:val="17"/>
                <w:color w:val="auto"/>
              </w:rPr>
              <w:t>Tier 1 capital</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95"/>
              <w:spacing w:after="0"/>
              <w:rPr>
                <w:sz w:val="20"/>
                <w:szCs w:val="20"/>
                <w:color w:val="auto"/>
              </w:rPr>
            </w:pPr>
            <w:r>
              <w:rPr>
                <w:rFonts w:ascii="Arial" w:cs="Arial" w:eastAsia="Arial" w:hAnsi="Arial"/>
                <w:sz w:val="17"/>
                <w:szCs w:val="17"/>
                <w:color w:val="auto"/>
              </w:rPr>
              <w:t>1,204,559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75"/>
              <w:spacing w:after="0"/>
              <w:rPr>
                <w:sz w:val="20"/>
                <w:szCs w:val="20"/>
                <w:color w:val="auto"/>
              </w:rPr>
            </w:pPr>
            <w:r>
              <w:rPr>
                <w:rFonts w:ascii="Arial" w:cs="Arial" w:eastAsia="Arial" w:hAnsi="Arial"/>
                <w:sz w:val="17"/>
                <w:szCs w:val="17"/>
                <w:color w:val="auto"/>
              </w:rPr>
              <w:t>1,172,605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75"/>
              <w:spacing w:after="0"/>
              <w:rPr>
                <w:sz w:val="20"/>
                <w:szCs w:val="20"/>
                <w:color w:val="auto"/>
              </w:rPr>
            </w:pPr>
            <w:r>
              <w:rPr>
                <w:rFonts w:ascii="Arial" w:cs="Arial" w:eastAsia="Arial" w:hAnsi="Arial"/>
                <w:sz w:val="17"/>
                <w:szCs w:val="17"/>
                <w:color w:val="auto"/>
              </w:rPr>
              <w:t>1,264,669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95"/>
              <w:spacing w:after="0"/>
              <w:rPr>
                <w:sz w:val="20"/>
                <w:szCs w:val="20"/>
                <w:color w:val="auto"/>
              </w:rPr>
            </w:pPr>
            <w:r>
              <w:rPr>
                <w:rFonts w:ascii="Arial" w:cs="Arial" w:eastAsia="Arial" w:hAnsi="Arial"/>
                <w:sz w:val="17"/>
                <w:szCs w:val="17"/>
                <w:color w:val="auto"/>
              </w:rPr>
              <w:t>1,216,449</w:t>
            </w:r>
          </w:p>
        </w:tc>
      </w:tr>
      <w:tr>
        <w:trPr>
          <w:trHeight w:val="31"/>
        </w:trPr>
        <w:tc>
          <w:tcPr>
            <w:tcW w:w="2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capital</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1,380,963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1,348,843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1,329,452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1,281,062</w:t>
            </w:r>
          </w:p>
        </w:tc>
      </w:tr>
      <w:tr>
        <w:trPr>
          <w:trHeight w:val="239"/>
        </w:trPr>
        <w:tc>
          <w:tcPr>
            <w:tcW w:w="2460" w:type="dxa"/>
            <w:vAlign w:val="bottom"/>
          </w:tcPr>
          <w:p>
            <w:pPr>
              <w:ind w:left="40"/>
              <w:spacing w:after="0"/>
              <w:rPr>
                <w:sz w:val="20"/>
                <w:szCs w:val="20"/>
                <w:color w:val="auto"/>
              </w:rPr>
            </w:pPr>
            <w:r>
              <w:rPr>
                <w:rFonts w:ascii="Arial" w:cs="Arial" w:eastAsia="Arial" w:hAnsi="Arial"/>
                <w:sz w:val="17"/>
                <w:szCs w:val="17"/>
                <w:color w:val="auto"/>
              </w:rPr>
              <w:t>Risk-weighted assets</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95"/>
              <w:spacing w:after="0"/>
              <w:rPr>
                <w:sz w:val="20"/>
                <w:szCs w:val="20"/>
                <w:color w:val="auto"/>
              </w:rPr>
            </w:pPr>
            <w:r>
              <w:rPr>
                <w:rFonts w:ascii="Arial" w:cs="Arial" w:eastAsia="Arial" w:hAnsi="Arial"/>
                <w:sz w:val="17"/>
                <w:szCs w:val="17"/>
                <w:color w:val="auto"/>
              </w:rPr>
              <w:t>9,491,554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75"/>
              <w:spacing w:after="0"/>
              <w:rPr>
                <w:sz w:val="20"/>
                <w:szCs w:val="20"/>
                <w:color w:val="auto"/>
              </w:rPr>
            </w:pPr>
            <w:r>
              <w:rPr>
                <w:rFonts w:ascii="Arial" w:cs="Arial" w:eastAsia="Arial" w:hAnsi="Arial"/>
                <w:sz w:val="17"/>
                <w:szCs w:val="17"/>
                <w:color w:val="auto"/>
              </w:rPr>
              <w:t>9,441,622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75"/>
              <w:spacing w:after="0"/>
              <w:rPr>
                <w:sz w:val="20"/>
                <w:szCs w:val="20"/>
                <w:color w:val="auto"/>
              </w:rPr>
            </w:pPr>
            <w:r>
              <w:rPr>
                <w:rFonts w:ascii="Arial" w:cs="Arial" w:eastAsia="Arial" w:hAnsi="Arial"/>
                <w:sz w:val="17"/>
                <w:szCs w:val="17"/>
                <w:color w:val="auto"/>
              </w:rPr>
              <w:t>9,469,757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95"/>
              <w:spacing w:after="0"/>
              <w:rPr>
                <w:sz w:val="20"/>
                <w:szCs w:val="20"/>
                <w:color w:val="auto"/>
              </w:rPr>
            </w:pPr>
            <w:r>
              <w:rPr>
                <w:rFonts w:ascii="Arial" w:cs="Arial" w:eastAsia="Arial" w:hAnsi="Arial"/>
                <w:sz w:val="17"/>
                <w:szCs w:val="17"/>
                <w:color w:val="auto"/>
              </w:rPr>
              <w:t>9,421,009</w:t>
            </w:r>
          </w:p>
        </w:tc>
      </w:tr>
      <w:tr>
        <w:trPr>
          <w:trHeight w:val="270"/>
        </w:trPr>
        <w:tc>
          <w:tcPr>
            <w:tcW w:w="2460" w:type="dxa"/>
            <w:vAlign w:val="bottom"/>
          </w:tcPr>
          <w:p>
            <w:pPr>
              <w:ind w:left="40"/>
              <w:spacing w:after="0"/>
              <w:rPr>
                <w:sz w:val="20"/>
                <w:szCs w:val="20"/>
                <w:color w:val="auto"/>
              </w:rPr>
            </w:pPr>
            <w:r>
              <w:rPr>
                <w:rFonts w:ascii="Arial" w:cs="Arial" w:eastAsia="Arial" w:hAnsi="Arial"/>
                <w:sz w:val="17"/>
                <w:szCs w:val="17"/>
                <w:color w:val="auto"/>
              </w:rPr>
              <w:t>Average total assets</w:t>
            </w: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ind w:right="95"/>
              <w:spacing w:after="0"/>
              <w:rPr>
                <w:sz w:val="20"/>
                <w:szCs w:val="20"/>
                <w:color w:val="auto"/>
              </w:rPr>
            </w:pPr>
            <w:r>
              <w:rPr>
                <w:rFonts w:ascii="Arial" w:cs="Arial" w:eastAsia="Arial" w:hAnsi="Arial"/>
                <w:sz w:val="17"/>
                <w:szCs w:val="17"/>
                <w:color w:val="auto"/>
              </w:rPr>
              <w:t>12,186,441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75"/>
              <w:spacing w:after="0"/>
              <w:rPr>
                <w:sz w:val="20"/>
                <w:szCs w:val="20"/>
                <w:color w:val="auto"/>
              </w:rPr>
            </w:pPr>
            <w:r>
              <w:rPr>
                <w:rFonts w:ascii="Arial" w:cs="Arial" w:eastAsia="Arial" w:hAnsi="Arial"/>
                <w:sz w:val="17"/>
                <w:szCs w:val="17"/>
                <w:color w:val="auto"/>
              </w:rPr>
              <w:t>12,207,986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jc w:val="right"/>
              <w:ind w:right="75"/>
              <w:spacing w:after="0"/>
              <w:rPr>
                <w:sz w:val="20"/>
                <w:szCs w:val="20"/>
                <w:color w:val="auto"/>
              </w:rPr>
            </w:pPr>
            <w:r>
              <w:rPr>
                <w:rFonts w:ascii="Arial" w:cs="Arial" w:eastAsia="Arial" w:hAnsi="Arial"/>
                <w:sz w:val="17"/>
                <w:szCs w:val="17"/>
                <w:color w:val="auto"/>
              </w:rPr>
              <w:t>12,159,520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95"/>
              <w:spacing w:after="0"/>
              <w:rPr>
                <w:sz w:val="20"/>
                <w:szCs w:val="20"/>
                <w:color w:val="auto"/>
              </w:rPr>
            </w:pPr>
            <w:r>
              <w:rPr>
                <w:rFonts w:ascii="Arial" w:cs="Arial" w:eastAsia="Arial" w:hAnsi="Arial"/>
                <w:sz w:val="17"/>
                <w:szCs w:val="17"/>
                <w:color w:val="auto"/>
              </w:rPr>
              <w:t>12,183,341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200" w:hanging="192"/>
        <w:spacing w:after="0" w:line="218" w:lineRule="auto"/>
        <w:tabs>
          <w:tab w:leader="none" w:pos="200" w:val="left"/>
        </w:tabs>
        <w:numPr>
          <w:ilvl w:val="0"/>
          <w:numId w:val="4"/>
        </w:numPr>
        <w:rPr>
          <w:rFonts w:ascii="Arial" w:cs="Arial" w:eastAsia="Arial" w:hAnsi="Arial"/>
          <w:sz w:val="23"/>
          <w:szCs w:val="23"/>
          <w:color w:val="auto"/>
          <w:vertAlign w:val="superscript"/>
        </w:rPr>
      </w:pPr>
      <w:r>
        <w:rPr>
          <w:rFonts w:ascii="Arial" w:cs="Arial" w:eastAsia="Arial" w:hAnsi="Arial"/>
          <w:sz w:val="15"/>
          <w:szCs w:val="15"/>
          <w:color w:val="auto"/>
        </w:rPr>
        <w:t>As of March 31, 2019 and December 31, 2018 the additional capital conservation buffer in effect was 2.50% and 1.87%, respectively.</w:t>
      </w:r>
    </w:p>
    <w:p>
      <w:pPr>
        <w:spacing w:after="0" w:line="18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United’s common stock trades on the Nasdaq Global Select Market under the symbol “UCBI.” Below is a quarterly schedule of high, low and closing stock prices and average daily volume for 2019 and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r>
              <w:rPr>
                <w:rFonts w:ascii="Arial" w:cs="Arial" w:eastAsia="Arial" w:hAnsi="Arial"/>
                <w:sz w:val="18"/>
                <w:szCs w:val="18"/>
                <w:b w:val="1"/>
                <w:bCs w:val="1"/>
                <w:color w:val="auto"/>
              </w:rPr>
              <w:t>Table 14 - Stock Price Information</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78"/>
        </w:trPr>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8"/>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Avg Daily</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7"/>
              </w:rPr>
              <w:t>Avg Daily</w:t>
            </w:r>
          </w:p>
        </w:tc>
      </w:tr>
      <w:tr>
        <w:trPr>
          <w:trHeight w:val="234"/>
        </w:trPr>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b w:val="1"/>
                <w:bCs w:val="1"/>
                <w:color w:val="auto"/>
              </w:rPr>
              <w:t>High</w:t>
            </w:r>
          </w:p>
        </w:tc>
        <w:tc>
          <w:tcPr>
            <w:tcW w:w="200" w:type="dxa"/>
            <w:vAlign w:val="bottom"/>
          </w:tcPr>
          <w:p>
            <w:pPr>
              <w:spacing w:after="0"/>
              <w:rPr>
                <w:sz w:val="20"/>
                <w:szCs w:val="20"/>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b w:val="1"/>
                <w:bCs w:val="1"/>
                <w:color w:val="auto"/>
              </w:rPr>
              <w:t>Low</w:t>
            </w:r>
          </w:p>
        </w:tc>
        <w:tc>
          <w:tcPr>
            <w:tcW w:w="140" w:type="dxa"/>
            <w:vAlign w:val="bottom"/>
          </w:tcPr>
          <w:p>
            <w:pPr>
              <w:spacing w:after="0"/>
              <w:rPr>
                <w:sz w:val="20"/>
                <w:szCs w:val="20"/>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b w:val="1"/>
                <w:bCs w:val="1"/>
                <w:color w:val="auto"/>
              </w:rPr>
              <w:t>Close</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Volume</w:t>
            </w:r>
          </w:p>
        </w:tc>
        <w:tc>
          <w:tcPr>
            <w:tcW w:w="1000" w:type="dxa"/>
            <w:vAlign w:val="bottom"/>
            <w:gridSpan w:val="2"/>
          </w:tcPr>
          <w:p>
            <w:pPr>
              <w:ind w:left="260"/>
              <w:spacing w:after="0"/>
              <w:rPr>
                <w:sz w:val="20"/>
                <w:szCs w:val="20"/>
                <w:color w:val="auto"/>
              </w:rPr>
            </w:pPr>
            <w:r>
              <w:rPr>
                <w:rFonts w:ascii="Arial" w:cs="Arial" w:eastAsia="Arial" w:hAnsi="Arial"/>
                <w:sz w:val="18"/>
                <w:szCs w:val="18"/>
                <w:b w:val="1"/>
                <w:bCs w:val="1"/>
                <w:color w:val="auto"/>
              </w:rPr>
              <w:t>High</w:t>
            </w:r>
          </w:p>
        </w:tc>
        <w:tc>
          <w:tcPr>
            <w:tcW w:w="1020" w:type="dxa"/>
            <w:vAlign w:val="bottom"/>
            <w:gridSpan w:val="2"/>
          </w:tcPr>
          <w:p>
            <w:pPr>
              <w:ind w:left="300"/>
              <w:spacing w:after="0"/>
              <w:rPr>
                <w:sz w:val="20"/>
                <w:szCs w:val="20"/>
                <w:color w:val="auto"/>
              </w:rPr>
            </w:pPr>
            <w:r>
              <w:rPr>
                <w:rFonts w:ascii="Arial" w:cs="Arial" w:eastAsia="Arial" w:hAnsi="Arial"/>
                <w:sz w:val="18"/>
                <w:szCs w:val="18"/>
                <w:b w:val="1"/>
                <w:bCs w:val="1"/>
                <w:color w:val="auto"/>
              </w:rPr>
              <w:t>Low</w:t>
            </w:r>
          </w:p>
        </w:tc>
        <w:tc>
          <w:tcPr>
            <w:tcW w:w="200" w:type="dxa"/>
            <w:vAlign w:val="bottom"/>
          </w:tcPr>
          <w:p>
            <w:pPr>
              <w:spacing w:after="0"/>
              <w:rPr>
                <w:sz w:val="20"/>
                <w:szCs w:val="20"/>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b w:val="1"/>
                <w:bCs w:val="1"/>
                <w:color w:val="auto"/>
              </w:rPr>
              <w:t>Close</w:t>
            </w: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Volume</w:t>
            </w: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507,207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   33.60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   27.73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31.65</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529,613</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34.18</w:t>
            </w:r>
          </w:p>
        </w:tc>
        <w:tc>
          <w:tcPr>
            <w:tcW w:w="1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30.52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30.67</w:t>
            </w: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402,230</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414,541</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28.88</w:t>
            </w:r>
          </w:p>
        </w:tc>
        <w:tc>
          <w:tcPr>
            <w:tcW w:w="1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21.46</w:t>
            </w: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509,152</w:t>
            </w:r>
          </w:p>
        </w:tc>
      </w:tr>
      <w:tr>
        <w:trPr>
          <w:trHeight w:val="702"/>
        </w:trPr>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470"/>
              <w:spacing w:after="0"/>
              <w:rPr>
                <w:sz w:val="20"/>
                <w:szCs w:val="20"/>
                <w:color w:val="auto"/>
              </w:rPr>
            </w:pPr>
            <w:r>
              <w:rPr>
                <w:rFonts w:ascii="Arial" w:cs="Arial" w:eastAsia="Arial" w:hAnsi="Arial"/>
                <w:sz w:val="18"/>
                <w:szCs w:val="18"/>
                <w:color w:val="auto"/>
                <w:w w:val="89"/>
              </w:rPr>
              <w:t>58</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Effect of Inflation and Changing Prices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bank’s asset and liability structure is substantially different from that of an industrial firm in that primarily all assets and liabilities of a bank are monetary in nature with relatively little investment in fixed assets or inventories. Inflation has an important effect on the growth of total assets and the resulting need to increase equity capital at higher than normal rates in order to maintain an appropriate equity to assets ratio.</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believes the effect of inflation on financial results depends on United’s ability to react to changes in interest rates, and by such reaction, reduce the inflationary effect on performance. United has an asset/liability management program to manage interest rate sensitivity. In addition, periodic reviews of banking services and products are conducted to adjust pricing in view of current and expected costs.</w:t>
      </w:r>
    </w:p>
    <w:p>
      <w:pPr>
        <w:spacing w:after="0" w:line="17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have been no material changes in United’s market risk as of March 31, 2019 from that presented in the Annual Report on Form 10-K for the year ended December 31, 2018. The interest rate sensitivity position at March 31, 2019 is included in Table 12 in management’s discussion and analysis of this report.</w:t>
      </w:r>
    </w:p>
    <w:p>
      <w:pPr>
        <w:spacing w:after="0" w:line="12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United’s management, including the Chief Executive Officer and Chief Financial Officer, supervised and participated in an evaluation of United’s disclosure controls and procedures as of March 31, 2019. Based on, and as of the date of that evaluation, United’s Chief Executive Officer and Chief Financial Officer have concluded that the disclosure controls and procedures were effective in accumulating and communicating information to management, including the Chief Executive Officer and Chief Financial Officer, as appropriate to allow timely decisions regarding required disclosures of that information under the SEC’s rules and forms and that the disclosure controls and procedures are designed to ensure that the information required to be disclosed in reports that are filed or submitted by United under the Exchange Act is recorded, processed, summarized and reported within the time periods specified in the SEC’s rules and forms.</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significant changes in the internal controls or in other factors that could significantly affect these controls subsequent to the date of their evaluation.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580" w:right="239" w:bottom="1440" w:gutter="0" w:footer="0" w:header="0"/>
        </w:sectPr>
      </w:pPr>
    </w:p>
    <w:bookmarkStart w:id="64" w:name="page65"/>
    <w:bookmarkEnd w:id="64"/>
    <w:p>
      <w:pPr>
        <w:spacing w:after="0"/>
        <w:tabs>
          <w:tab w:leader="none" w:pos="74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operations, United and the Bank are defendants in various legal proceedings. Additionally, in the ordinary course of business, United and the Bank are subject to regulatory examinations and investigations. Based on our current knowledge and advice of counsel, in the opinion of management there is no such pending or threatened legal matter which would result in a material adverse change in the consolidated financial condition or results of operations of United.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1A. Risk Factors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United’s Annual Report on Form 10-K for the year ended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for shares repurchased during the first quarter of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 Number of</w:t>
            </w:r>
          </w:p>
        </w:tc>
        <w:tc>
          <w:tcPr>
            <w:tcW w:w="260" w:type="dxa"/>
            <w:vAlign w:val="bottom"/>
          </w:tcPr>
          <w:p>
            <w:pPr>
              <w:spacing w:after="0"/>
              <w:rPr>
                <w:sz w:val="18"/>
                <w:szCs w:val="18"/>
                <w:color w:val="auto"/>
              </w:rPr>
            </w:pPr>
          </w:p>
        </w:tc>
        <w:tc>
          <w:tcPr>
            <w:tcW w:w="2580" w:type="dxa"/>
            <w:vAlign w:val="bottom"/>
          </w:tcPr>
          <w:p>
            <w:pPr>
              <w:jc w:val="center"/>
              <w:ind w:right="170"/>
              <w:spacing w:after="0"/>
              <w:rPr>
                <w:sz w:val="20"/>
                <w:szCs w:val="20"/>
                <w:color w:val="auto"/>
              </w:rPr>
            </w:pPr>
            <w:r>
              <w:rPr>
                <w:rFonts w:ascii="Arial" w:cs="Arial" w:eastAsia="Arial" w:hAnsi="Arial"/>
                <w:sz w:val="18"/>
                <w:szCs w:val="18"/>
                <w:b w:val="1"/>
                <w:bCs w:val="1"/>
                <w:color w:val="auto"/>
                <w:w w:val="95"/>
              </w:rPr>
              <w:t>Maximum Number (or</w:t>
            </w: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 Purchased</w:t>
            </w:r>
          </w:p>
        </w:tc>
        <w:tc>
          <w:tcPr>
            <w:tcW w:w="260" w:type="dxa"/>
            <w:vAlign w:val="bottom"/>
          </w:tcPr>
          <w:p>
            <w:pPr>
              <w:spacing w:after="0"/>
              <w:rPr>
                <w:sz w:val="18"/>
                <w:szCs w:val="18"/>
                <w:color w:val="auto"/>
              </w:rPr>
            </w:pPr>
          </w:p>
        </w:tc>
        <w:tc>
          <w:tcPr>
            <w:tcW w:w="258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Approximate Dollar</w:t>
            </w: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c>
          <w:tcPr>
            <w:tcW w:w="2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as Part of Publicly</w:t>
            </w:r>
          </w:p>
        </w:tc>
        <w:tc>
          <w:tcPr>
            <w:tcW w:w="260" w:type="dxa"/>
            <w:vAlign w:val="bottom"/>
          </w:tcPr>
          <w:p>
            <w:pPr>
              <w:spacing w:after="0"/>
              <w:rPr>
                <w:sz w:val="18"/>
                <w:szCs w:val="18"/>
                <w:color w:val="auto"/>
              </w:rPr>
            </w:pPr>
          </w:p>
        </w:tc>
        <w:tc>
          <w:tcPr>
            <w:tcW w:w="258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Value) of Shares that May</w:t>
            </w: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Price Paid</w:t>
            </w:r>
          </w:p>
        </w:tc>
        <w:tc>
          <w:tcPr>
            <w:tcW w:w="2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Announced Plans</w:t>
            </w:r>
          </w:p>
        </w:tc>
        <w:tc>
          <w:tcPr>
            <w:tcW w:w="260" w:type="dxa"/>
            <w:vAlign w:val="bottom"/>
          </w:tcPr>
          <w:p>
            <w:pPr>
              <w:spacing w:after="0"/>
              <w:rPr>
                <w:sz w:val="18"/>
                <w:szCs w:val="18"/>
                <w:color w:val="auto"/>
              </w:rPr>
            </w:pPr>
          </w:p>
        </w:tc>
        <w:tc>
          <w:tcPr>
            <w:tcW w:w="258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Yet Be Purchased Under</w:t>
            </w:r>
          </w:p>
        </w:tc>
      </w:tr>
      <w:tr>
        <w:trPr>
          <w:trHeight w:val="255"/>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w w:val="91"/>
              </w:rPr>
              <w:t>(Dollars in thousands, except for per share amounts)</w:t>
            </w:r>
          </w:p>
        </w:tc>
        <w:tc>
          <w:tcPr>
            <w:tcW w:w="12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per Share</w:t>
            </w:r>
          </w:p>
        </w:tc>
        <w:tc>
          <w:tcPr>
            <w:tcW w:w="120" w:type="dxa"/>
            <w:vAlign w:val="bottom"/>
            <w:tcBorders>
              <w:bottom w:val="single" w:sz="8" w:color="CCEEFF"/>
            </w:tcBorders>
          </w:tcPr>
          <w:p>
            <w:pPr>
              <w:spacing w:after="0"/>
              <w:rPr>
                <w:sz w:val="22"/>
                <w:szCs w:val="22"/>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or Programs</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8"/>
              </w:rPr>
              <w:t xml:space="preserve">the Plans or Programs </w:t>
            </w:r>
            <w:r>
              <w:rPr>
                <w:rFonts w:ascii="Arial" w:cs="Arial" w:eastAsia="Arial" w:hAnsi="Arial"/>
                <w:sz w:val="18"/>
                <w:szCs w:val="18"/>
                <w:b w:val="1"/>
                <w:bCs w:val="1"/>
                <w:color w:val="auto"/>
                <w:w w:val="88"/>
                <w:vertAlign w:val="superscript"/>
              </w:rPr>
              <w:t>(1)</w:t>
            </w: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1, 2019 - January 31, 2019</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26.13</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47,518</w:t>
            </w: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February 1, 2019 - February 28, 2019</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81,600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26.61</w:t>
            </w:r>
          </w:p>
        </w:tc>
        <w:tc>
          <w:tcPr>
            <w:tcW w:w="12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81,600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80" w:type="dxa"/>
            <w:vAlign w:val="bottom"/>
          </w:tcPr>
          <w:p>
            <w:pPr>
              <w:jc w:val="right"/>
              <w:ind w:right="10"/>
              <w:spacing w:after="0"/>
              <w:rPr>
                <w:sz w:val="20"/>
                <w:szCs w:val="20"/>
                <w:color w:val="auto"/>
              </w:rPr>
            </w:pPr>
            <w:r>
              <w:rPr>
                <w:rFonts w:ascii="Arial" w:cs="Arial" w:eastAsia="Arial" w:hAnsi="Arial"/>
                <w:sz w:val="18"/>
                <w:szCs w:val="18"/>
                <w:color w:val="auto"/>
              </w:rPr>
              <w:t>45,347</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7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1, 2019 - March 31, 2019</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128,452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24.80</w:t>
            </w: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128,452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42,160</w:t>
            </w:r>
          </w:p>
        </w:tc>
      </w:tr>
      <w:tr>
        <w:trPr>
          <w:trHeight w:val="257"/>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305,052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25.70</w:t>
            </w:r>
          </w:p>
        </w:tc>
        <w:tc>
          <w:tcPr>
            <w:tcW w:w="120" w:type="dxa"/>
            <w:vAlign w:val="bottom"/>
          </w:tcPr>
          <w:p>
            <w:pPr>
              <w:spacing w:after="0"/>
              <w:rPr>
                <w:sz w:val="22"/>
                <w:szCs w:val="22"/>
                <w:color w:val="auto"/>
              </w:rPr>
            </w:pPr>
          </w:p>
        </w:tc>
        <w:tc>
          <w:tcPr>
            <w:tcW w:w="1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305,052</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2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42,160</w:t>
            </w: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8"/>
        <w:spacing w:after="0" w:line="257" w:lineRule="auto"/>
        <w:tabs>
          <w:tab w:leader="none" w:pos="163" w:val="left"/>
        </w:tabs>
        <w:numPr>
          <w:ilvl w:val="0"/>
          <w:numId w:val="5"/>
        </w:numPr>
        <w:rPr>
          <w:rFonts w:ascii="Arial" w:cs="Arial" w:eastAsia="Arial" w:hAnsi="Arial"/>
          <w:sz w:val="18"/>
          <w:szCs w:val="18"/>
          <w:color w:val="auto"/>
          <w:vertAlign w:val="superscript"/>
        </w:rPr>
      </w:pPr>
      <w:r>
        <w:rPr>
          <w:rFonts w:ascii="Arial" w:cs="Arial" w:eastAsia="Arial" w:hAnsi="Arial"/>
          <w:sz w:val="18"/>
          <w:szCs w:val="18"/>
          <w:color w:val="auto"/>
        </w:rPr>
        <w:t>In November 2018, United’s Board of Directors approved an increase and extension of the existing common stock repurchase plan, authorizing $50 million of repurchases through December 31, 2019. Under the program, the shares may be repurchased periodically in open market transactions at prevailing market prices, in privately negotiated transactions, or by other means in accordance with federal securities laws. The actual timing, number and value of shares repurchased under the program depends on a number of factors, including the market price of United’s common stock, general market and economic conditions, and applicable legal requirements.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 – 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 – 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 – None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580"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4"/>
        </w:trPr>
        <w:tc>
          <w:tcPr>
            <w:tcW w:w="1880" w:type="dxa"/>
            <w:vAlign w:val="bottom"/>
            <w:gridSpan w:val="4"/>
          </w:tcPr>
          <w:p>
            <w:pPr>
              <w:spacing w:after="0"/>
              <w:rPr>
                <w:sz w:val="20"/>
                <w:szCs w:val="20"/>
                <w:color w:val="auto"/>
              </w:rPr>
            </w:pPr>
            <w:r>
              <w:rPr>
                <w:rFonts w:ascii="Arial" w:cs="Arial" w:eastAsia="Arial" w:hAnsi="Arial"/>
                <w:sz w:val="18"/>
                <w:szCs w:val="18"/>
                <w:b w:val="1"/>
                <w:bCs w:val="1"/>
                <w:color w:val="auto"/>
              </w:rPr>
              <w:t>Item 6. Exhibits</w:t>
            </w:r>
          </w:p>
        </w:tc>
        <w:tc>
          <w:tcPr>
            <w:tcW w:w="7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594"/>
        </w:trPr>
        <w:tc>
          <w:tcPr>
            <w:tcW w:w="188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rPr>
              <w:t>Exhibit No.</w:t>
            </w:r>
          </w:p>
        </w:tc>
        <w:tc>
          <w:tcPr>
            <w:tcW w:w="9500" w:type="dxa"/>
            <w:vAlign w:val="bottom"/>
            <w:gridSpan w:val="4"/>
          </w:tcPr>
          <w:p>
            <w:pPr>
              <w:ind w:left="4300"/>
              <w:spacing w:after="0"/>
              <w:rPr>
                <w:sz w:val="20"/>
                <w:szCs w:val="20"/>
                <w:color w:val="auto"/>
              </w:rPr>
            </w:pPr>
            <w:r>
              <w:rPr>
                <w:rFonts w:ascii="Arial" w:cs="Arial" w:eastAsia="Arial" w:hAnsi="Arial"/>
                <w:sz w:val="18"/>
                <w:szCs w:val="18"/>
                <w:b w:val="1"/>
                <w:bCs w:val="1"/>
                <w:color w:val="auto"/>
              </w:rPr>
              <w:t>Description</w:t>
            </w:r>
          </w:p>
        </w:tc>
      </w:tr>
      <w:tr>
        <w:trPr>
          <w:trHeight w:val="554"/>
        </w:trPr>
        <w:tc>
          <w:tcPr>
            <w:tcW w:w="1880" w:type="dxa"/>
            <w:vAlign w:val="bottom"/>
            <w:gridSpan w:val="4"/>
          </w:tcPr>
          <w:p>
            <w:pPr>
              <w:jc w:val="right"/>
              <w:ind w:right="520"/>
              <w:spacing w:after="0"/>
              <w:rPr>
                <w:rFonts w:ascii="Arial" w:cs="Arial" w:eastAsia="Arial" w:hAnsi="Arial"/>
                <w:sz w:val="18"/>
                <w:szCs w:val="18"/>
                <w:color w:val="0000FF"/>
              </w:rPr>
            </w:pPr>
            <w:hyperlink w:anchor="page68">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9500" w:type="dxa"/>
            <w:vAlign w:val="bottom"/>
            <w:gridSpan w:val="4"/>
          </w:tcPr>
          <w:p>
            <w:pPr>
              <w:spacing w:after="0"/>
              <w:rPr>
                <w:rFonts w:ascii="Arial" w:cs="Arial" w:eastAsia="Arial" w:hAnsi="Arial"/>
                <w:sz w:val="18"/>
                <w:szCs w:val="18"/>
                <w:color w:val="0000FF"/>
                <w:w w:val="94"/>
              </w:rPr>
            </w:pPr>
            <w:hyperlink w:anchor="page68">
              <w:r>
                <w:rPr>
                  <w:rFonts w:ascii="Arial" w:cs="Arial" w:eastAsia="Arial" w:hAnsi="Arial"/>
                  <w:sz w:val="18"/>
                  <w:szCs w:val="18"/>
                  <w:color w:val="0000FF"/>
                  <w:w w:val="94"/>
                </w:rPr>
                <w:t>Certification by H. Lynn Harton, President and Chief Executive Officer of United Community Banks, Inc., pursuant to Exchange</w:t>
              </w:r>
            </w:hyperlink>
          </w:p>
        </w:tc>
      </w:tr>
      <w:tr>
        <w:trPr>
          <w:trHeight w:val="196"/>
        </w:trPr>
        <w:tc>
          <w:tcPr>
            <w:tcW w:w="104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520" w:type="dxa"/>
            <w:vAlign w:val="bottom"/>
          </w:tcPr>
          <w:p>
            <w:pPr>
              <w:spacing w:after="0"/>
              <w:rPr>
                <w:sz w:val="17"/>
                <w:szCs w:val="17"/>
                <w:color w:val="auto"/>
              </w:rPr>
            </w:pPr>
          </w:p>
        </w:tc>
        <w:tc>
          <w:tcPr>
            <w:tcW w:w="77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9"/>
              </w:rPr>
            </w:pPr>
            <w:hyperlink w:anchor="page68">
              <w:r>
                <w:rPr>
                  <w:rFonts w:ascii="Arial" w:cs="Arial" w:eastAsia="Arial" w:hAnsi="Arial"/>
                  <w:sz w:val="18"/>
                  <w:szCs w:val="18"/>
                  <w:color w:val="0000FF"/>
                  <w:w w:val="89"/>
                </w:rPr>
                <w:t>Act Rules 13a-14(a) and 15d-14(a), as adopted pursuant to Section 302 of the Sarbanes-Oxley Act of 2002.</w:t>
              </w:r>
            </w:hyperlink>
          </w:p>
        </w:tc>
        <w:tc>
          <w:tcPr>
            <w:tcW w:w="1780" w:type="dxa"/>
            <w:vAlign w:val="bottom"/>
            <w:tcBorders>
              <w:top w:val="single" w:sz="8" w:color="0000FF"/>
            </w:tcBorders>
            <w:gridSpan w:val="3"/>
          </w:tcPr>
          <w:p>
            <w:pPr>
              <w:spacing w:after="0"/>
              <w:rPr>
                <w:sz w:val="17"/>
                <w:szCs w:val="17"/>
                <w:color w:val="auto"/>
              </w:rPr>
            </w:pPr>
          </w:p>
        </w:tc>
      </w:tr>
      <w:tr>
        <w:trPr>
          <w:trHeight w:val="520"/>
        </w:trPr>
        <w:tc>
          <w:tcPr>
            <w:tcW w:w="1880" w:type="dxa"/>
            <w:vAlign w:val="bottom"/>
            <w:gridSpan w:val="4"/>
          </w:tcPr>
          <w:p>
            <w:pPr>
              <w:jc w:val="right"/>
              <w:ind w:right="520"/>
              <w:spacing w:after="0"/>
              <w:rPr>
                <w:rFonts w:ascii="Arial" w:cs="Arial" w:eastAsia="Arial" w:hAnsi="Arial"/>
                <w:sz w:val="18"/>
                <w:szCs w:val="18"/>
                <w:color w:val="0000FF"/>
              </w:rPr>
            </w:pPr>
            <w:hyperlink w:anchor="page69">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9500" w:type="dxa"/>
            <w:vAlign w:val="bottom"/>
            <w:gridSpan w:val="4"/>
          </w:tcPr>
          <w:p>
            <w:pPr>
              <w:spacing w:after="0"/>
              <w:rPr>
                <w:rFonts w:ascii="Arial" w:cs="Arial" w:eastAsia="Arial" w:hAnsi="Arial"/>
                <w:sz w:val="18"/>
                <w:szCs w:val="18"/>
                <w:color w:val="0000FF"/>
                <w:w w:val="94"/>
              </w:rPr>
            </w:pPr>
            <w:hyperlink w:anchor="page69">
              <w:r>
                <w:rPr>
                  <w:rFonts w:ascii="Arial" w:cs="Arial" w:eastAsia="Arial" w:hAnsi="Arial"/>
                  <w:sz w:val="18"/>
                  <w:szCs w:val="18"/>
                  <w:color w:val="0000FF"/>
                  <w:w w:val="94"/>
                </w:rPr>
                <w:t>Certification by Jefferson L. Harralson, Executive Vice President and Chief Financial Officer of United Community Banks, Inc.,</w:t>
              </w:r>
            </w:hyperlink>
          </w:p>
        </w:tc>
      </w:tr>
      <w:tr>
        <w:trPr>
          <w:trHeight w:val="196"/>
        </w:trPr>
        <w:tc>
          <w:tcPr>
            <w:tcW w:w="104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520" w:type="dxa"/>
            <w:vAlign w:val="bottom"/>
          </w:tcPr>
          <w:p>
            <w:pPr>
              <w:spacing w:after="0"/>
              <w:rPr>
                <w:sz w:val="17"/>
                <w:szCs w:val="17"/>
                <w:color w:val="auto"/>
              </w:rPr>
            </w:pPr>
          </w:p>
        </w:tc>
        <w:tc>
          <w:tcPr>
            <w:tcW w:w="9500" w:type="dxa"/>
            <w:vAlign w:val="bottom"/>
            <w:tcBorders>
              <w:top w:val="single" w:sz="8" w:color="0000FF"/>
            </w:tcBorders>
            <w:gridSpan w:val="4"/>
          </w:tcPr>
          <w:p>
            <w:pPr>
              <w:spacing w:after="0" w:line="196" w:lineRule="exact"/>
              <w:rPr>
                <w:rFonts w:ascii="Arial" w:cs="Arial" w:eastAsia="Arial" w:hAnsi="Arial"/>
                <w:sz w:val="18"/>
                <w:szCs w:val="18"/>
                <w:color w:val="0000FF"/>
                <w:w w:val="91"/>
              </w:rPr>
            </w:pPr>
            <w:hyperlink w:anchor="page69">
              <w:r>
                <w:rPr>
                  <w:rFonts w:ascii="Arial" w:cs="Arial" w:eastAsia="Arial" w:hAnsi="Arial"/>
                  <w:sz w:val="18"/>
                  <w:szCs w:val="18"/>
                  <w:color w:val="0000FF"/>
                  <w:w w:val="91"/>
                </w:rPr>
                <w:t>pursuant to Exchange Act Rules 13a-14(a) and 15d-14(a), as adopted pursuant to Section 302 of the Sarbanes-Oxley Act of 2002.</w:t>
              </w:r>
            </w:hyperlink>
          </w:p>
        </w:tc>
      </w:tr>
      <w:tr>
        <w:trPr>
          <w:trHeight w:val="520"/>
        </w:trPr>
        <w:tc>
          <w:tcPr>
            <w:tcW w:w="1360" w:type="dxa"/>
            <w:vAlign w:val="bottom"/>
            <w:gridSpan w:val="3"/>
          </w:tcPr>
          <w:p>
            <w:pPr>
              <w:jc w:val="right"/>
              <w:spacing w:after="0"/>
              <w:rPr>
                <w:rFonts w:ascii="Arial" w:cs="Arial" w:eastAsia="Arial" w:hAnsi="Arial"/>
                <w:sz w:val="18"/>
                <w:szCs w:val="18"/>
                <w:color w:val="0000FF"/>
              </w:rPr>
            </w:pPr>
            <w:hyperlink w:anchor="page70">
              <w:r>
                <w:rPr>
                  <w:rFonts w:ascii="Arial" w:cs="Arial" w:eastAsia="Arial" w:hAnsi="Arial"/>
                  <w:sz w:val="18"/>
                  <w:szCs w:val="18"/>
                  <w:color w:val="0000FF"/>
                </w:rPr>
                <w:t>32</w:t>
              </w:r>
            </w:hyperlink>
          </w:p>
        </w:tc>
        <w:tc>
          <w:tcPr>
            <w:tcW w:w="520" w:type="dxa"/>
            <w:vAlign w:val="bottom"/>
          </w:tcPr>
          <w:p>
            <w:pPr>
              <w:spacing w:after="0"/>
              <w:rPr>
                <w:sz w:val="24"/>
                <w:szCs w:val="24"/>
                <w:color w:val="auto"/>
              </w:rPr>
            </w:pPr>
          </w:p>
        </w:tc>
        <w:tc>
          <w:tcPr>
            <w:tcW w:w="9320" w:type="dxa"/>
            <w:vAlign w:val="bottom"/>
            <w:tcBorders>
              <w:top w:val="single" w:sz="8" w:color="0000FF"/>
            </w:tcBorders>
            <w:gridSpan w:val="3"/>
          </w:tcPr>
          <w:p>
            <w:pPr>
              <w:spacing w:after="0"/>
              <w:rPr>
                <w:rFonts w:ascii="Arial" w:cs="Arial" w:eastAsia="Arial" w:hAnsi="Arial"/>
                <w:sz w:val="18"/>
                <w:szCs w:val="18"/>
                <w:color w:val="0000FF"/>
                <w:w w:val="96"/>
              </w:rPr>
            </w:pPr>
            <w:hyperlink w:anchor="page70">
              <w:r>
                <w:rPr>
                  <w:rFonts w:ascii="Arial" w:cs="Arial" w:eastAsia="Arial" w:hAnsi="Arial"/>
                  <w:sz w:val="18"/>
                  <w:szCs w:val="18"/>
                  <w:color w:val="0000FF"/>
                  <w:w w:val="96"/>
                </w:rPr>
                <w:t>Certification pursuant to 18 U.S.C. Section 1350, as adopted pursuant to Section 906 of the Sarbanes-Oxley Act of 2002.</w:t>
              </w:r>
            </w:hyperlink>
          </w:p>
        </w:tc>
        <w:tc>
          <w:tcPr>
            <w:tcW w:w="180" w:type="dxa"/>
            <w:vAlign w:val="bottom"/>
          </w:tcPr>
          <w:p>
            <w:pPr>
              <w:spacing w:after="0"/>
              <w:rPr>
                <w:sz w:val="24"/>
                <w:szCs w:val="24"/>
                <w:color w:val="auto"/>
              </w:rPr>
            </w:pPr>
          </w:p>
        </w:tc>
      </w:tr>
      <w:tr>
        <w:trPr>
          <w:trHeight w:val="20"/>
        </w:trPr>
        <w:tc>
          <w:tcPr>
            <w:tcW w:w="11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700" w:type="dxa"/>
            <w:vAlign w:val="bottom"/>
            <w:gridSpan w:val="2"/>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561"/>
        </w:trPr>
        <w:tc>
          <w:tcPr>
            <w:tcW w:w="1880" w:type="dxa"/>
            <w:vAlign w:val="bottom"/>
            <w:gridSpan w:val="4"/>
          </w:tcPr>
          <w:p>
            <w:pPr>
              <w:jc w:val="right"/>
              <w:ind w:right="520"/>
              <w:spacing w:after="0"/>
              <w:rPr>
                <w:sz w:val="20"/>
                <w:szCs w:val="20"/>
                <w:color w:val="auto"/>
              </w:rPr>
            </w:pPr>
            <w:r>
              <w:rPr>
                <w:rFonts w:ascii="Arial" w:cs="Arial" w:eastAsia="Arial" w:hAnsi="Arial"/>
                <w:sz w:val="18"/>
                <w:szCs w:val="18"/>
                <w:color w:val="auto"/>
              </w:rPr>
              <w:t>101.INS</w:t>
            </w:r>
          </w:p>
        </w:tc>
        <w:tc>
          <w:tcPr>
            <w:tcW w:w="9500" w:type="dxa"/>
            <w:vAlign w:val="bottom"/>
            <w:gridSpan w:val="4"/>
          </w:tcPr>
          <w:p>
            <w:pPr>
              <w:spacing w:after="0"/>
              <w:rPr>
                <w:sz w:val="20"/>
                <w:szCs w:val="20"/>
                <w:color w:val="auto"/>
              </w:rPr>
            </w:pPr>
            <w:r>
              <w:rPr>
                <w:rFonts w:ascii="Arial" w:cs="Arial" w:eastAsia="Arial" w:hAnsi="Arial"/>
                <w:sz w:val="18"/>
                <w:szCs w:val="18"/>
                <w:color w:val="auto"/>
              </w:rPr>
              <w:t>XBRL Instance Document</w:t>
            </w:r>
          </w:p>
        </w:tc>
      </w:tr>
      <w:tr>
        <w:trPr>
          <w:trHeight w:val="540"/>
        </w:trPr>
        <w:tc>
          <w:tcPr>
            <w:tcW w:w="1880" w:type="dxa"/>
            <w:vAlign w:val="bottom"/>
            <w:gridSpan w:val="4"/>
          </w:tcPr>
          <w:p>
            <w:pPr>
              <w:jc w:val="right"/>
              <w:ind w:right="520"/>
              <w:spacing w:after="0"/>
              <w:rPr>
                <w:sz w:val="20"/>
                <w:szCs w:val="20"/>
                <w:color w:val="auto"/>
              </w:rPr>
            </w:pPr>
            <w:r>
              <w:rPr>
                <w:rFonts w:ascii="Arial" w:cs="Arial" w:eastAsia="Arial" w:hAnsi="Arial"/>
                <w:sz w:val="18"/>
                <w:szCs w:val="18"/>
                <w:color w:val="auto"/>
              </w:rPr>
              <w:t>101.SCH</w:t>
            </w:r>
          </w:p>
        </w:tc>
        <w:tc>
          <w:tcPr>
            <w:tcW w:w="950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1880" w:type="dxa"/>
            <w:vAlign w:val="bottom"/>
            <w:gridSpan w:val="4"/>
          </w:tcPr>
          <w:p>
            <w:pPr>
              <w:jc w:val="right"/>
              <w:ind w:right="520"/>
              <w:spacing w:after="0"/>
              <w:rPr>
                <w:sz w:val="20"/>
                <w:szCs w:val="20"/>
                <w:color w:val="auto"/>
              </w:rPr>
            </w:pPr>
            <w:r>
              <w:rPr>
                <w:rFonts w:ascii="Arial" w:cs="Arial" w:eastAsia="Arial" w:hAnsi="Arial"/>
                <w:sz w:val="18"/>
                <w:szCs w:val="18"/>
                <w:color w:val="auto"/>
              </w:rPr>
              <w:t>101.CAL</w:t>
            </w:r>
          </w:p>
        </w:tc>
        <w:tc>
          <w:tcPr>
            <w:tcW w:w="950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1880" w:type="dxa"/>
            <w:vAlign w:val="bottom"/>
            <w:gridSpan w:val="4"/>
          </w:tcPr>
          <w:p>
            <w:pPr>
              <w:jc w:val="right"/>
              <w:ind w:right="520"/>
              <w:spacing w:after="0"/>
              <w:rPr>
                <w:sz w:val="20"/>
                <w:szCs w:val="20"/>
                <w:color w:val="auto"/>
              </w:rPr>
            </w:pPr>
            <w:r>
              <w:rPr>
                <w:rFonts w:ascii="Arial" w:cs="Arial" w:eastAsia="Arial" w:hAnsi="Arial"/>
                <w:sz w:val="18"/>
                <w:szCs w:val="18"/>
                <w:color w:val="auto"/>
              </w:rPr>
              <w:t>101.DEF</w:t>
            </w:r>
          </w:p>
        </w:tc>
        <w:tc>
          <w:tcPr>
            <w:tcW w:w="950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540"/>
        </w:trPr>
        <w:tc>
          <w:tcPr>
            <w:tcW w:w="1880" w:type="dxa"/>
            <w:vAlign w:val="bottom"/>
            <w:gridSpan w:val="4"/>
          </w:tcPr>
          <w:p>
            <w:pPr>
              <w:jc w:val="right"/>
              <w:ind w:right="520"/>
              <w:spacing w:after="0"/>
              <w:rPr>
                <w:sz w:val="20"/>
                <w:szCs w:val="20"/>
                <w:color w:val="auto"/>
              </w:rPr>
            </w:pPr>
            <w:r>
              <w:rPr>
                <w:rFonts w:ascii="Arial" w:cs="Arial" w:eastAsia="Arial" w:hAnsi="Arial"/>
                <w:sz w:val="18"/>
                <w:szCs w:val="18"/>
                <w:color w:val="auto"/>
              </w:rPr>
              <w:t>101.LAB</w:t>
            </w:r>
          </w:p>
        </w:tc>
        <w:tc>
          <w:tcPr>
            <w:tcW w:w="950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540"/>
        </w:trPr>
        <w:tc>
          <w:tcPr>
            <w:tcW w:w="1880" w:type="dxa"/>
            <w:vAlign w:val="bottom"/>
            <w:gridSpan w:val="4"/>
          </w:tcPr>
          <w:p>
            <w:pPr>
              <w:jc w:val="right"/>
              <w:ind w:right="520"/>
              <w:spacing w:after="0"/>
              <w:rPr>
                <w:sz w:val="20"/>
                <w:szCs w:val="20"/>
                <w:color w:val="auto"/>
              </w:rPr>
            </w:pPr>
            <w:r>
              <w:rPr>
                <w:rFonts w:ascii="Arial" w:cs="Arial" w:eastAsia="Arial" w:hAnsi="Arial"/>
                <w:sz w:val="18"/>
                <w:szCs w:val="18"/>
                <w:color w:val="auto"/>
              </w:rPr>
              <w:t>101.PRE</w:t>
            </w:r>
          </w:p>
        </w:tc>
        <w:tc>
          <w:tcPr>
            <w:tcW w:w="950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702"/>
        </w:trPr>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720" w:type="dxa"/>
            <w:vAlign w:val="bottom"/>
          </w:tcPr>
          <w:p>
            <w:pPr>
              <w:ind w:left="3740"/>
              <w:spacing w:after="0"/>
              <w:rPr>
                <w:sz w:val="20"/>
                <w:szCs w:val="20"/>
                <w:color w:val="auto"/>
              </w:rPr>
            </w:pPr>
            <w:r>
              <w:rPr>
                <w:rFonts w:ascii="Arial" w:cs="Arial" w:eastAsia="Arial" w:hAnsi="Arial"/>
                <w:sz w:val="18"/>
                <w:szCs w:val="18"/>
                <w:color w:val="auto"/>
              </w:rPr>
              <w:t>61</w:t>
            </w: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1380"/>
          </w:cols>
          <w:pgMar w:left="240" w:top="580" w:right="27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UNITED COMMUNITY BANKS, INC.</w:t>
      </w:r>
    </w:p>
    <w:p>
      <w:pPr>
        <w:spacing w:after="0" w:line="33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H. Lynn Harton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pacing w:after="0" w:line="33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Jefferson L. Harralson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p>
      <w:pPr>
        <w:spacing w:after="0" w:line="33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Alan H. Kumler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and Chief Accounting Officer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Accounting Officer)</w:t>
      </w:r>
    </w:p>
    <w:p>
      <w:pPr>
        <w:spacing w:after="0" w:line="33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Date: May 8, 2019</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580"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H. Lynn Harton, certify that:</w:t>
      </w:r>
    </w:p>
    <w:p>
      <w:pPr>
        <w:spacing w:after="0" w:line="225"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1" w:lineRule="exact"/>
        <w:rPr>
          <w:rFonts w:ascii="Arial" w:cs="Arial" w:eastAsia="Arial" w:hAnsi="Arial"/>
          <w:sz w:val="18"/>
          <w:szCs w:val="18"/>
          <w:color w:val="auto"/>
        </w:rPr>
      </w:pPr>
    </w:p>
    <w:p>
      <w:pPr>
        <w:jc w:val="both"/>
        <w:ind w:firstLine="656"/>
        <w:spacing w:after="0" w:line="264" w:lineRule="auto"/>
        <w:tabs>
          <w:tab w:leader="none" w:pos="851"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656"/>
        <w:spacing w:after="0" w:line="264" w:lineRule="auto"/>
        <w:tabs>
          <w:tab w:leader="none" w:pos="8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20" w:firstLine="656"/>
        <w:spacing w:after="0" w:line="277" w:lineRule="auto"/>
        <w:tabs>
          <w:tab w:leader="none" w:pos="879"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656"/>
        <w:spacing w:after="0" w:line="264" w:lineRule="auto"/>
        <w:tabs>
          <w:tab w:leader="none" w:pos="8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right="20" w:firstLine="656"/>
        <w:spacing w:after="0" w:line="277" w:lineRule="auto"/>
        <w:tabs>
          <w:tab w:leader="none" w:pos="846"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853"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55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H. Lynn Harton</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 of the Registrant</w:t>
      </w:r>
    </w:p>
    <w:p>
      <w:pPr>
        <w:spacing w:after="0" w:line="33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Date: May 8, 2019</w:t>
      </w:r>
    </w:p>
    <w:p>
      <w:pPr>
        <w:sectPr>
          <w:pgSz w:w="11900" w:h="16838" w:orient="portrait"/>
          <w:cols w:equalWidth="0" w:num="1">
            <w:col w:w="11420"/>
          </w:cols>
          <w:pgMar w:left="240" w:top="580"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Jefferson L. Harralson, certify that:</w:t>
      </w:r>
    </w:p>
    <w:p>
      <w:pPr>
        <w:spacing w:after="0" w:line="225"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1" w:lineRule="exact"/>
        <w:rPr>
          <w:rFonts w:ascii="Arial" w:cs="Arial" w:eastAsia="Arial" w:hAnsi="Arial"/>
          <w:sz w:val="18"/>
          <w:szCs w:val="18"/>
          <w:color w:val="auto"/>
        </w:rPr>
      </w:pPr>
    </w:p>
    <w:p>
      <w:pPr>
        <w:jc w:val="both"/>
        <w:ind w:firstLine="656"/>
        <w:spacing w:after="0" w:line="264" w:lineRule="auto"/>
        <w:tabs>
          <w:tab w:leader="none" w:pos="851"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656"/>
        <w:spacing w:after="0" w:line="264" w:lineRule="auto"/>
        <w:tabs>
          <w:tab w:leader="none" w:pos="8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20" w:firstLine="656"/>
        <w:spacing w:after="0" w:line="277" w:lineRule="auto"/>
        <w:tabs>
          <w:tab w:leader="none" w:pos="879"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656"/>
        <w:spacing w:after="0" w:line="264" w:lineRule="auto"/>
        <w:tabs>
          <w:tab w:leader="none" w:pos="8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right="20" w:firstLine="656"/>
        <w:spacing w:after="0" w:line="277" w:lineRule="auto"/>
        <w:tabs>
          <w:tab w:leader="none" w:pos="846"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853"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5860"/>
        <w:spacing w:after="0"/>
        <w:tabs>
          <w:tab w:leader="none" w:pos="6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Jefferson L. Harralson</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Executive Vice President and Chief Financial Officer of the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Registrant</w:t>
      </w:r>
    </w:p>
    <w:p>
      <w:pPr>
        <w:spacing w:after="0" w:line="31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Date: May 8, 2019</w:t>
      </w:r>
    </w:p>
    <w:p>
      <w:pPr>
        <w:sectPr>
          <w:pgSz w:w="11900" w:h="16838" w:orient="portrait"/>
          <w:cols w:equalWidth="0" w:num="1">
            <w:col w:w="11420"/>
          </w:cols>
          <w:pgMar w:left="240" w:top="580"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United Community Banks, Inc. (“United”) on Form 10-Q for the period ending March 31, 2019 filed with the Securities and Exchange Commission on the date hereof (the “Report”), I, H. Lynn Harton, President and Chief Executive Officer of United, and I, Jefferson L. Harralson, Executive Vice President and Chief Financial Officer of United, certify, pursuant to 18 U.S.C. Section 1350, as adopted pursuant to Section 906 of the Sarbanes-Oxley Act of 2002, that: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(1)The Report fully complies with the requirements of section 13(a) or 15(d) of the Securities Exchange Act of 1934;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(2)The information contained in the Report fairly presents, in all material respects, the financial condition and result of operations of United.</w:t>
      </w:r>
    </w:p>
    <w:p>
      <w:pPr>
        <w:spacing w:after="0" w:line="157" w:lineRule="exact"/>
        <w:rPr>
          <w:sz w:val="20"/>
          <w:szCs w:val="20"/>
          <w:color w:val="auto"/>
        </w:rPr>
      </w:pPr>
    </w:p>
    <w:p>
      <w:pPr>
        <w:ind w:left="5860"/>
        <w:spacing w:after="0"/>
        <w:tabs>
          <w:tab w:leader="none" w:pos="6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H. Lynn Harton</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President and Chief Executive Officer</w:t>
      </w:r>
    </w:p>
    <w:p>
      <w:pPr>
        <w:spacing w:after="0" w:line="333" w:lineRule="exact"/>
        <w:rPr>
          <w:sz w:val="20"/>
          <w:szCs w:val="20"/>
          <w:color w:val="auto"/>
        </w:rPr>
      </w:pPr>
    </w:p>
    <w:p>
      <w:pPr>
        <w:ind w:left="5860"/>
        <w:spacing w:after="0"/>
        <w:tabs>
          <w:tab w:leader="none" w:pos="6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Jefferson L. Harralson</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Executive Vice President and Chief Financial Officer</w:t>
      </w:r>
    </w:p>
    <w:p>
      <w:pPr>
        <w:spacing w:after="0" w:line="33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Date: May 8, 2019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2019-12-28T12:50:22Z</dcterms:created>
  <dcterms:modified xsi:type="dcterms:W3CDTF">2019-12-28T12:50:22Z</dcterms:modified>
</cp:coreProperties>
</file>